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27D4" w14:textId="3C278F72" w:rsidR="003E7CA3" w:rsidRPr="003E7CA3" w:rsidRDefault="003E7CA3" w:rsidP="003E7C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it-IT" w:eastAsia="it-IT"/>
        </w:rPr>
      </w:pPr>
      <w:r w:rsidRPr="003E7CA3">
        <w:rPr>
          <w:rFonts w:eastAsia="Times New Roman"/>
          <w:b/>
          <w:bCs/>
          <w:bdr w:val="none" w:sz="0" w:space="0" w:color="auto"/>
          <w:lang w:val="it-IT" w:eastAsia="it-IT"/>
        </w:rPr>
        <w:t>SEO Title</w:t>
      </w:r>
      <w:r w:rsidR="00AC7329">
        <w:rPr>
          <w:rFonts w:eastAsia="Times New Roman"/>
          <w:b/>
          <w:bCs/>
          <w:bdr w:val="none" w:sz="0" w:space="0" w:color="auto"/>
          <w:lang w:val="it-IT" w:eastAsia="it-IT"/>
        </w:rPr>
        <w:t xml:space="preserve">: </w:t>
      </w:r>
      <w:r w:rsidR="00AC7329" w:rsidRPr="00AC7329">
        <w:rPr>
          <w:rFonts w:eastAsia="Times New Roman"/>
          <w:bdr w:val="none" w:sz="0" w:space="0" w:color="auto"/>
          <w:lang w:val="it-IT" w:eastAsia="it-IT"/>
        </w:rPr>
        <w:t>Indicatori rischio gioco online</w:t>
      </w:r>
      <w:r w:rsidR="00AC7329">
        <w:rPr>
          <w:rFonts w:eastAsia="Times New Roman"/>
          <w:bdr w:val="none" w:sz="0" w:space="0" w:color="auto"/>
          <w:lang w:val="it-IT" w:eastAsia="it-IT"/>
        </w:rPr>
        <w:t>.</w:t>
      </w:r>
      <w:r w:rsidR="00AC7329" w:rsidRPr="00AC7329">
        <w:rPr>
          <w:rFonts w:eastAsia="Times New Roman"/>
          <w:bdr w:val="none" w:sz="0" w:space="0" w:color="auto"/>
          <w:lang w:val="it-IT" w:eastAsia="it-IT"/>
        </w:rPr>
        <w:t xml:space="preserve"> </w:t>
      </w:r>
      <w:r w:rsidR="00AC7329">
        <w:rPr>
          <w:rFonts w:eastAsia="Times New Roman"/>
          <w:bdr w:val="none" w:sz="0" w:space="0" w:color="auto"/>
          <w:lang w:val="it-IT" w:eastAsia="it-IT"/>
        </w:rPr>
        <w:t>Arriva il</w:t>
      </w:r>
      <w:r w:rsidR="00AC7329" w:rsidRPr="00AC7329">
        <w:rPr>
          <w:rFonts w:eastAsia="Times New Roman"/>
          <w:bdr w:val="none" w:sz="0" w:space="0" w:color="auto"/>
          <w:lang w:val="it-IT" w:eastAsia="it-IT"/>
        </w:rPr>
        <w:t xml:space="preserve"> nuovo standard europeo</w:t>
      </w:r>
    </w:p>
    <w:p w14:paraId="618EE979" w14:textId="3836C1F1" w:rsidR="003E7CA3" w:rsidRPr="003E7CA3" w:rsidRDefault="003E7CA3" w:rsidP="003E7C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it-IT" w:eastAsia="it-IT"/>
        </w:rPr>
      </w:pPr>
      <w:r w:rsidRPr="003E7CA3">
        <w:rPr>
          <w:rFonts w:eastAsia="Times New Roman"/>
          <w:b/>
          <w:bCs/>
          <w:bdr w:val="none" w:sz="0" w:space="0" w:color="auto"/>
          <w:lang w:val="it-IT" w:eastAsia="it-IT"/>
        </w:rPr>
        <w:t xml:space="preserve">Meta </w:t>
      </w:r>
      <w:proofErr w:type="spellStart"/>
      <w:r w:rsidRPr="003E7CA3">
        <w:rPr>
          <w:rFonts w:eastAsia="Times New Roman"/>
          <w:b/>
          <w:bCs/>
          <w:bdr w:val="none" w:sz="0" w:space="0" w:color="auto"/>
          <w:lang w:val="it-IT" w:eastAsia="it-IT"/>
        </w:rPr>
        <w:t>description</w:t>
      </w:r>
      <w:proofErr w:type="spellEnd"/>
      <w:r w:rsidR="00AC7329">
        <w:rPr>
          <w:rFonts w:eastAsia="Times New Roman"/>
          <w:b/>
          <w:bCs/>
          <w:bdr w:val="none" w:sz="0" w:space="0" w:color="auto"/>
          <w:lang w:val="it-IT" w:eastAsia="it-IT"/>
        </w:rPr>
        <w:t xml:space="preserve">: </w:t>
      </w:r>
      <w:r w:rsidRPr="003E7CA3">
        <w:rPr>
          <w:rFonts w:eastAsia="Times New Roman"/>
          <w:bdr w:val="none" w:sz="0" w:space="0" w:color="auto"/>
          <w:lang w:val="it-IT" w:eastAsia="it-IT"/>
        </w:rPr>
        <w:t>CEN approva i nuovi standard per gli indicatori di rischio del gioco online. Italia senza posizione. Marker comportamentali e finanziari.</w:t>
      </w:r>
    </w:p>
    <w:p w14:paraId="429FB1A8" w14:textId="1E47176B" w:rsidR="003E7CA3" w:rsidRPr="003E7CA3" w:rsidRDefault="003E7CA3" w:rsidP="003E7C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it-IT" w:eastAsia="it-IT"/>
        </w:rPr>
      </w:pPr>
      <w:proofErr w:type="spellStart"/>
      <w:r w:rsidRPr="003E7CA3">
        <w:rPr>
          <w:rFonts w:eastAsia="Times New Roman"/>
          <w:b/>
          <w:bCs/>
          <w:bdr w:val="none" w:sz="0" w:space="0" w:color="auto"/>
          <w:lang w:val="it-IT" w:eastAsia="it-IT"/>
        </w:rPr>
        <w:t>Caption</w:t>
      </w:r>
      <w:proofErr w:type="spellEnd"/>
      <w:r w:rsidR="00AC7329">
        <w:rPr>
          <w:rFonts w:eastAsia="Times New Roman"/>
          <w:b/>
          <w:bCs/>
          <w:bdr w:val="none" w:sz="0" w:space="0" w:color="auto"/>
          <w:lang w:val="it-IT" w:eastAsia="it-IT"/>
        </w:rPr>
        <w:t xml:space="preserve">: </w:t>
      </w:r>
      <w:r w:rsidRPr="003E7CA3">
        <w:rPr>
          <w:rFonts w:eastAsia="Times New Roman"/>
          <w:bdr w:val="none" w:sz="0" w:space="0" w:color="auto"/>
          <w:lang w:val="it-IT" w:eastAsia="it-IT"/>
        </w:rPr>
        <w:t>Standard europeo per identificare giocatori a rischio</w:t>
      </w:r>
    </w:p>
    <w:p w14:paraId="5EF77A71" w14:textId="5191EE15" w:rsidR="003E7CA3" w:rsidRPr="003E7CA3" w:rsidRDefault="003E7CA3" w:rsidP="003E7C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it-IT" w:eastAsia="it-IT"/>
        </w:rPr>
      </w:pPr>
      <w:r w:rsidRPr="003E7CA3">
        <w:rPr>
          <w:rFonts w:eastAsia="Times New Roman"/>
          <w:bdr w:val="none" w:sz="0" w:space="0" w:color="auto"/>
          <w:lang w:val="it-IT" w:eastAsia="it-IT"/>
        </w:rPr>
        <w:t xml:space="preserve">&lt;strong&gt;Il Comitato Europeo di Normazione ha approvato a larga maggioranza lo standard sugli indicatori di rischio nel gioco online. La votazione di fine settembre chiude tre anni di </w:t>
      </w:r>
      <w:proofErr w:type="gramStart"/>
      <w:r w:rsidRPr="003E7CA3">
        <w:rPr>
          <w:rFonts w:eastAsia="Times New Roman"/>
          <w:bdr w:val="none" w:sz="0" w:space="0" w:color="auto"/>
          <w:lang w:val="it-IT" w:eastAsia="it-IT"/>
        </w:rPr>
        <w:t>lavoro.&lt;</w:t>
      </w:r>
      <w:proofErr w:type="gramEnd"/>
      <w:r w:rsidRPr="003E7CA3">
        <w:rPr>
          <w:rFonts w:eastAsia="Times New Roman"/>
          <w:bdr w:val="none" w:sz="0" w:space="0" w:color="auto"/>
          <w:lang w:val="it-IT" w:eastAsia="it-IT"/>
        </w:rPr>
        <w:t>/strong&gt;</w:t>
      </w:r>
      <w:r w:rsidR="00AC7329">
        <w:rPr>
          <w:rFonts w:eastAsia="Times New Roman"/>
          <w:bdr w:val="none" w:sz="0" w:space="0" w:color="auto"/>
          <w:lang w:val="it-IT" w:eastAsia="it-IT"/>
        </w:rPr>
        <w:br/>
      </w:r>
    </w:p>
    <w:p w14:paraId="57213D35" w14:textId="77777777" w:rsidR="003E7CA3" w:rsidRPr="003E7CA3" w:rsidRDefault="003E7CA3" w:rsidP="003E7C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it-IT" w:eastAsia="it-IT"/>
        </w:rPr>
      </w:pPr>
      <w:r w:rsidRPr="003E7CA3">
        <w:rPr>
          <w:rFonts w:eastAsia="Times New Roman"/>
          <w:bdr w:val="none" w:sz="0" w:space="0" w:color="auto"/>
          <w:lang w:val="it-IT" w:eastAsia="it-IT"/>
        </w:rPr>
        <w:t xml:space="preserve">&lt;h2&gt;Il voto che cambia le regole europee&lt;/h2&gt; </w:t>
      </w:r>
    </w:p>
    <w:p w14:paraId="3135F345" w14:textId="2AF5640D" w:rsidR="003E7CA3" w:rsidRPr="003E7CA3" w:rsidRDefault="003E7CA3" w:rsidP="003E7C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it-IT" w:eastAsia="it-IT"/>
        </w:rPr>
      </w:pPr>
      <w:r w:rsidRPr="003E7CA3">
        <w:rPr>
          <w:rFonts w:eastAsia="Times New Roman"/>
          <w:bdr w:val="none" w:sz="0" w:space="0" w:color="auto"/>
          <w:lang w:val="it-IT" w:eastAsia="it-IT"/>
        </w:rPr>
        <w:t xml:space="preserve">Gli enti nazionali di standardizzazione hanno chiuso il processo il &lt;strong&gt;25 settembre 2025 con ampia maggioranza&lt;/strong&gt;. La bozza </w:t>
      </w:r>
      <w:proofErr w:type="spellStart"/>
      <w:r w:rsidRPr="003E7CA3">
        <w:rPr>
          <w:rFonts w:eastAsia="Times New Roman"/>
          <w:bdr w:val="none" w:sz="0" w:space="0" w:color="auto"/>
          <w:lang w:val="it-IT" w:eastAsia="it-IT"/>
        </w:rPr>
        <w:t>prEN</w:t>
      </w:r>
      <w:proofErr w:type="spellEnd"/>
      <w:r w:rsidRPr="003E7CA3">
        <w:rPr>
          <w:rFonts w:eastAsia="Times New Roman"/>
          <w:bdr w:val="none" w:sz="0" w:space="0" w:color="auto"/>
          <w:lang w:val="it-IT" w:eastAsia="it-IT"/>
        </w:rPr>
        <w:t xml:space="preserve"> 18144 rappresenta il primo linguaggio comune europeo per riconoscere comportamenti problematici. Un risultato atteso dopo mesi di negoziazioni tra regolatori, operatori e accademici.</w:t>
      </w:r>
    </w:p>
    <w:p w14:paraId="7DC26FCF" w14:textId="4B83352D" w:rsidR="003E7CA3" w:rsidRPr="003E7CA3" w:rsidRDefault="003E7CA3" w:rsidP="003E7C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it-IT" w:eastAsia="it-IT"/>
        </w:rPr>
      </w:pPr>
      <w:r w:rsidRPr="003E7CA3">
        <w:rPr>
          <w:rFonts w:eastAsia="Times New Roman"/>
          <w:bdr w:val="none" w:sz="0" w:space="0" w:color="auto"/>
          <w:lang w:val="it-IT" w:eastAsia="it-IT"/>
        </w:rPr>
        <w:t>Tutto è iniziato a dicembre 2022 quando l'</w:t>
      </w:r>
      <w:proofErr w:type="spellStart"/>
      <w:r w:rsidRPr="003E7CA3">
        <w:rPr>
          <w:rFonts w:eastAsia="Times New Roman"/>
          <w:bdr w:val="none" w:sz="0" w:space="0" w:color="auto"/>
          <w:lang w:val="it-IT" w:eastAsia="it-IT"/>
        </w:rPr>
        <w:t>European</w:t>
      </w:r>
      <w:proofErr w:type="spellEnd"/>
      <w:r w:rsidRPr="003E7CA3">
        <w:rPr>
          <w:rFonts w:eastAsia="Times New Roman"/>
          <w:bdr w:val="none" w:sz="0" w:space="0" w:color="auto"/>
          <w:lang w:val="it-IT" w:eastAsia="it-IT"/>
        </w:rPr>
        <w:t xml:space="preserve"> Gaming and Betting Association ha proposto al CEN di sviluppare uno strumento condiviso. Il voto favorevole è arrivato subito, ma il lavoro sostanziale è cominciato dal &lt;strong&gt;primo trimestre 2023&lt;/strong&gt;. La dottoressa Maris Catania ha coordinato un gruppo multidisciplinare</w:t>
      </w:r>
      <w:r w:rsidR="00AC7329">
        <w:rPr>
          <w:rFonts w:eastAsia="Times New Roman"/>
          <w:bdr w:val="none" w:sz="0" w:space="0" w:color="auto"/>
          <w:lang w:val="it-IT" w:eastAsia="it-IT"/>
        </w:rPr>
        <w:t>.</w:t>
      </w:r>
    </w:p>
    <w:p w14:paraId="27485EEC" w14:textId="0B5E09D5" w:rsidR="003E7CA3" w:rsidRPr="003E7CA3" w:rsidRDefault="003E7CA3" w:rsidP="003E7C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it-IT" w:eastAsia="it-IT"/>
        </w:rPr>
      </w:pPr>
      <w:r w:rsidRPr="003E7CA3">
        <w:rPr>
          <w:rFonts w:eastAsia="Times New Roman"/>
          <w:bdr w:val="none" w:sz="0" w:space="0" w:color="auto"/>
          <w:lang w:val="it-IT" w:eastAsia="it-IT"/>
        </w:rPr>
        <w:t xml:space="preserve">L'ente francese AFNOR ha gestito il Segretariato presso il CEN, orchestrando consultazioni con i comitati nazionali. Un processo lungo e articolato, necessario per costruire consenso su un tema che tocca questioni sanitarie, economiche e normative. Maarten </w:t>
      </w:r>
      <w:proofErr w:type="spellStart"/>
      <w:r w:rsidRPr="003E7CA3">
        <w:rPr>
          <w:rFonts w:eastAsia="Times New Roman"/>
          <w:bdr w:val="none" w:sz="0" w:space="0" w:color="auto"/>
          <w:lang w:val="it-IT" w:eastAsia="it-IT"/>
        </w:rPr>
        <w:t>Haijer</w:t>
      </w:r>
      <w:proofErr w:type="spellEnd"/>
      <w:r w:rsidRPr="003E7CA3">
        <w:rPr>
          <w:rFonts w:eastAsia="Times New Roman"/>
          <w:bdr w:val="none" w:sz="0" w:space="0" w:color="auto"/>
          <w:lang w:val="it-IT" w:eastAsia="it-IT"/>
        </w:rPr>
        <w:t xml:space="preserve"> di EGBA lo definisce una &lt;strong&gt;testimonianza della forza della collaborazione&lt;/strong&gt; settoriale.</w:t>
      </w:r>
    </w:p>
    <w:p w14:paraId="1E6E4DD7" w14:textId="289F0DC3" w:rsidR="003E7CA3" w:rsidRPr="003E7CA3" w:rsidRDefault="003E7CA3" w:rsidP="003E7C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it-IT" w:eastAsia="it-IT"/>
        </w:rPr>
      </w:pPr>
      <w:r w:rsidRPr="003E7CA3">
        <w:rPr>
          <w:rFonts w:eastAsia="Times New Roman"/>
          <w:bdr w:val="none" w:sz="0" w:space="0" w:color="auto"/>
          <w:lang w:val="it-IT" w:eastAsia="it-IT"/>
        </w:rPr>
        <w:t xml:space="preserve">Il documento finale supera il precedente CWA 16259 del 2011, che conteneva </w:t>
      </w:r>
      <w:proofErr w:type="spellStart"/>
      <w:r w:rsidRPr="003E7CA3">
        <w:rPr>
          <w:rFonts w:eastAsia="Times New Roman"/>
          <w:bdr w:val="none" w:sz="0" w:space="0" w:color="auto"/>
          <w:lang w:val="it-IT" w:eastAsia="it-IT"/>
        </w:rPr>
        <w:t>centotrentaquattro</w:t>
      </w:r>
      <w:proofErr w:type="spellEnd"/>
      <w:r w:rsidRPr="003E7CA3">
        <w:rPr>
          <w:rFonts w:eastAsia="Times New Roman"/>
          <w:bdr w:val="none" w:sz="0" w:space="0" w:color="auto"/>
          <w:lang w:val="it-IT" w:eastAsia="it-IT"/>
        </w:rPr>
        <w:t xml:space="preserve"> raccomandazioni su nove obiettivi politici. Il nuovo testo fornisce &lt;strong&gt;indicatori precisi e misurabili&lt;/strong&gt;, confrontabili tra diverse giurisdizioni. Tutti i membri EGBA devono rispettare questi standard attraverso audit di </w:t>
      </w:r>
      <w:proofErr w:type="spellStart"/>
      <w:r w:rsidRPr="003E7CA3">
        <w:rPr>
          <w:rFonts w:eastAsia="Times New Roman"/>
          <w:bdr w:val="none" w:sz="0" w:space="0" w:color="auto"/>
          <w:lang w:val="it-IT" w:eastAsia="it-IT"/>
        </w:rPr>
        <w:t>eCOGRA</w:t>
      </w:r>
      <w:proofErr w:type="spellEnd"/>
      <w:r w:rsidRPr="003E7CA3">
        <w:rPr>
          <w:rFonts w:eastAsia="Times New Roman"/>
          <w:bdr w:val="none" w:sz="0" w:space="0" w:color="auto"/>
          <w:lang w:val="it-IT" w:eastAsia="it-IT"/>
        </w:rPr>
        <w:t xml:space="preserve"> per garantire uniformità operativa.</w:t>
      </w:r>
    </w:p>
    <w:p w14:paraId="08ACFD3C" w14:textId="77777777" w:rsidR="003E7CA3" w:rsidRPr="003E7CA3" w:rsidRDefault="003E7CA3" w:rsidP="003E7C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it-IT" w:eastAsia="it-IT"/>
        </w:rPr>
      </w:pPr>
      <w:r w:rsidRPr="003E7CA3">
        <w:rPr>
          <w:rFonts w:eastAsia="Times New Roman"/>
          <w:bdr w:val="none" w:sz="0" w:space="0" w:color="auto"/>
          <w:lang w:val="it-IT" w:eastAsia="it-IT"/>
        </w:rPr>
        <w:t xml:space="preserve">&lt;h2&gt;Indicatori tecnici e posizione italiana&lt;/h2&gt; </w:t>
      </w:r>
    </w:p>
    <w:p w14:paraId="6F7BAF40" w14:textId="38097843" w:rsidR="003E7CA3" w:rsidRPr="003E7CA3" w:rsidRDefault="003E7CA3" w:rsidP="003E7C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it-IT" w:eastAsia="it-IT"/>
        </w:rPr>
      </w:pPr>
      <w:r w:rsidRPr="003E7CA3">
        <w:rPr>
          <w:rFonts w:eastAsia="Times New Roman"/>
          <w:bdr w:val="none" w:sz="0" w:space="0" w:color="auto"/>
          <w:lang w:val="it-IT" w:eastAsia="it-IT"/>
        </w:rPr>
        <w:t>Il documento definisce marker comportamentali e finanziari precisi. La lista include frequenza di gioco, velocità e durata delle sessioni, importi e frequenza di depositi, utilizzo di &lt;strong&gt;metodi di pagamento multipli&lt;/strong&gt;, depositi durante sessioni attive e storno dei prelievi. Gli indicatori temporali aggiungono precisione operativa.</w:t>
      </w:r>
    </w:p>
    <w:p w14:paraId="76FF1CE3" w14:textId="5A5E23BF" w:rsidR="003E7CA3" w:rsidRPr="003E7CA3" w:rsidRDefault="003E7CA3" w:rsidP="003E7C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it-IT" w:eastAsia="it-IT"/>
        </w:rPr>
      </w:pPr>
      <w:r w:rsidRPr="003E7CA3">
        <w:rPr>
          <w:rFonts w:eastAsia="Times New Roman"/>
          <w:bdr w:val="none" w:sz="0" w:space="0" w:color="auto"/>
          <w:lang w:val="it-IT" w:eastAsia="it-IT"/>
        </w:rPr>
        <w:t>Lo standard non fissa soglie predefinite né protocolli rigidi. Gli operatori potranno adattare l'implementazione ai contesti nazionali, mantenendo &lt;a href="https://www.egba.eu/news-post/cen-to-develop-a-european-standard-on-markers-of-harm-for-online-gambling/" target="_blank"&gt;flessibilità necessaria in un continente&lt;/a&gt; con ventuno regimi diversi. Il GREF ha precisato che l'adozione rimarrà &lt;strong&gt;volontaria per gli Stati&lt;/strong&gt; membri.</w:t>
      </w:r>
    </w:p>
    <w:p w14:paraId="34042D39" w14:textId="35E7C430" w:rsidR="003E7CA3" w:rsidRPr="003E7CA3" w:rsidRDefault="003E7CA3" w:rsidP="003E7C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it-IT" w:eastAsia="it-IT"/>
        </w:rPr>
      </w:pPr>
      <w:r w:rsidRPr="003E7CA3">
        <w:rPr>
          <w:rFonts w:eastAsia="Times New Roman"/>
          <w:bdr w:val="none" w:sz="0" w:space="0" w:color="auto"/>
          <w:lang w:val="it-IT" w:eastAsia="it-IT"/>
        </w:rPr>
        <w:t xml:space="preserve">Gli indicatori temporali rivelano dati significativi. Il gioco nelle ore notturne tra mezzanotte e le sei presenta un &lt;strong&gt;rischio superiore del trentasei percento&lt;/strong&gt; rispetto ad altri </w:t>
      </w:r>
      <w:r w:rsidRPr="003E7CA3">
        <w:rPr>
          <w:rFonts w:eastAsia="Times New Roman"/>
          <w:bdr w:val="none" w:sz="0" w:space="0" w:color="auto"/>
          <w:lang w:val="it-IT" w:eastAsia="it-IT"/>
        </w:rPr>
        <w:lastRenderedPageBreak/>
        <w:t>orari. Altri campanelli includono cambiamenti improvvisi nei pattern, modifiche alle impostazioni di gioco responsabile e tentativi di deposito rifiutati.</w:t>
      </w:r>
    </w:p>
    <w:p w14:paraId="1F47A7D2" w14:textId="3D43DC25" w:rsidR="003E7CA3" w:rsidRPr="003E7CA3" w:rsidRDefault="003E7CA3" w:rsidP="003E7C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it-IT" w:eastAsia="it-IT"/>
        </w:rPr>
      </w:pPr>
      <w:r w:rsidRPr="003E7CA3">
        <w:rPr>
          <w:rFonts w:eastAsia="Times New Roman"/>
          <w:bdr w:val="none" w:sz="0" w:space="0" w:color="auto"/>
          <w:lang w:val="it-IT" w:eastAsia="it-IT"/>
        </w:rPr>
        <w:t>L'Agenzia delle Dogane e dei Monopoli non ha rilasciato dichiarazioni ufficiali sull'eventuale adozione italiana. Due giorni dopo, ADM ha organizzato il convegno "</w:t>
      </w:r>
      <w:proofErr w:type="spellStart"/>
      <w:r w:rsidRPr="003E7CA3">
        <w:rPr>
          <w:rFonts w:eastAsia="Times New Roman"/>
          <w:bdr w:val="none" w:sz="0" w:space="0" w:color="auto"/>
          <w:lang w:val="it-IT" w:eastAsia="it-IT"/>
        </w:rPr>
        <w:t>Ital_IA</w:t>
      </w:r>
      <w:proofErr w:type="spellEnd"/>
      <w:r w:rsidRPr="003E7CA3">
        <w:rPr>
          <w:rFonts w:eastAsia="Times New Roman"/>
          <w:bdr w:val="none" w:sz="0" w:space="0" w:color="auto"/>
          <w:lang w:val="it-IT" w:eastAsia="it-IT"/>
        </w:rPr>
        <w:t>" dove Sogei ha spiegato che &lt;strong&gt;tecniche di intelligenza artificiale&lt;/strong&gt; permettono di individuare giocatori a rischio.</w:t>
      </w:r>
    </w:p>
    <w:p w14:paraId="1128E677" w14:textId="2DA8209B" w:rsidR="00991978" w:rsidRPr="003E7CA3" w:rsidRDefault="00991978" w:rsidP="003E7CA3"/>
    <w:sectPr w:rsidR="00991978" w:rsidRPr="003E7CA3">
      <w:headerReference w:type="default" r:id="rId6"/>
      <w:footerReference w:type="default" r:id="rId7"/>
      <w:pgSz w:w="11900" w:h="16840"/>
      <w:pgMar w:top="1440" w:right="1440" w:bottom="144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13772" w14:textId="77777777" w:rsidR="00405488" w:rsidRDefault="00405488">
      <w:r>
        <w:separator/>
      </w:r>
    </w:p>
  </w:endnote>
  <w:endnote w:type="continuationSeparator" w:id="0">
    <w:p w14:paraId="21EB7E7F" w14:textId="77777777" w:rsidR="00405488" w:rsidRDefault="00405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45F77" w14:textId="77777777" w:rsidR="00991978" w:rsidRDefault="00000000">
    <w:pPr>
      <w:pStyle w:val="Intestazioneepidipagina"/>
      <w:tabs>
        <w:tab w:val="center" w:pos="4510"/>
      </w:tabs>
    </w:pPr>
    <w:r>
      <w:t>Piè di pagina</w:t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FE3FD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9503A" w14:textId="77777777" w:rsidR="00405488" w:rsidRDefault="00405488">
      <w:r>
        <w:separator/>
      </w:r>
    </w:p>
  </w:footnote>
  <w:footnote w:type="continuationSeparator" w:id="0">
    <w:p w14:paraId="41ECF8DD" w14:textId="77777777" w:rsidR="00405488" w:rsidRDefault="00405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162D9" w14:textId="77777777" w:rsidR="00991978" w:rsidRDefault="0099197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978"/>
    <w:rsid w:val="00117B55"/>
    <w:rsid w:val="003E7CA3"/>
    <w:rsid w:val="00405488"/>
    <w:rsid w:val="009742F0"/>
    <w:rsid w:val="00991978"/>
    <w:rsid w:val="00AC7329"/>
    <w:rsid w:val="00D17D42"/>
    <w:rsid w:val="00FE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BB699"/>
  <w15:docId w15:val="{8D999FA8-7C78-0243-9129-47679EE6B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sz w:val="24"/>
      <w:szCs w:val="24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idefault">
    <w:name w:val="Di 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pt-PT"/>
      <w14:textOutline w14:w="0" w14:cap="flat" w14:cmpd="sng" w14:algn="ctr">
        <w14:noFill/>
        <w14:prstDash w14:val="solid"/>
        <w14:bevel/>
      </w14:textOutline>
    </w:rPr>
  </w:style>
  <w:style w:type="paragraph" w:customStyle="1" w:styleId="whitespace-normal">
    <w:name w:val="whitespace-normal"/>
    <w:basedOn w:val="Normale"/>
    <w:rsid w:val="00FE3FD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it-IT" w:eastAsia="it-IT"/>
    </w:rPr>
  </w:style>
  <w:style w:type="character" w:styleId="Enfasigrassetto">
    <w:name w:val="Strong"/>
    <w:basedOn w:val="Carpredefinitoparagrafo"/>
    <w:uiPriority w:val="22"/>
    <w:qFormat/>
    <w:rsid w:val="00FE3FD9"/>
    <w:rPr>
      <w:b/>
      <w:bCs/>
    </w:rPr>
  </w:style>
  <w:style w:type="character" w:styleId="Enfasicorsivo">
    <w:name w:val="Emphasis"/>
    <w:basedOn w:val="Carpredefinitoparagrafo"/>
    <w:uiPriority w:val="20"/>
    <w:qFormat/>
    <w:rsid w:val="00FE3F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36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Lattuada</cp:lastModifiedBy>
  <cp:revision>4</cp:revision>
  <dcterms:created xsi:type="dcterms:W3CDTF">2025-10-15T18:29:00Z</dcterms:created>
  <dcterms:modified xsi:type="dcterms:W3CDTF">2025-10-16T06:13:00Z</dcterms:modified>
</cp:coreProperties>
</file>