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D201"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b/>
          <w:bCs/>
          <w:sz w:val="24"/>
          <w:szCs w:val="24"/>
          <w:lang w:val="it-IT" w:eastAsia="it-IT"/>
        </w:rPr>
        <w:t>SEO Title:</w:t>
      </w:r>
      <w:r w:rsidRPr="001D795B">
        <w:rPr>
          <w:rFonts w:ascii="Times New Roman" w:eastAsia="Times New Roman" w:hAnsi="Times New Roman" w:cs="Times New Roman"/>
          <w:sz w:val="24"/>
          <w:szCs w:val="24"/>
          <w:lang w:val="it-IT" w:eastAsia="it-IT"/>
        </w:rPr>
        <w:t xml:space="preserve"> </w:t>
      </w:r>
      <w:proofErr w:type="spellStart"/>
      <w:r w:rsidRPr="001D795B">
        <w:rPr>
          <w:rFonts w:ascii="Times New Roman" w:eastAsia="Times New Roman" w:hAnsi="Times New Roman" w:cs="Times New Roman"/>
          <w:sz w:val="24"/>
          <w:szCs w:val="24"/>
          <w:lang w:val="it-IT" w:eastAsia="it-IT"/>
        </w:rPr>
        <w:t>Multigioco</w:t>
      </w:r>
      <w:proofErr w:type="spellEnd"/>
      <w:r w:rsidRPr="001D795B">
        <w:rPr>
          <w:rFonts w:ascii="Times New Roman" w:eastAsia="Times New Roman" w:hAnsi="Times New Roman" w:cs="Times New Roman"/>
          <w:sz w:val="24"/>
          <w:szCs w:val="24"/>
          <w:lang w:val="it-IT" w:eastAsia="it-IT"/>
        </w:rPr>
        <w:t>: ADM revoca licenza per debiti fiscali e fideiussione</w:t>
      </w:r>
    </w:p>
    <w:p w14:paraId="007A0882" w14:textId="4724CF0C"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5100E">
        <w:rPr>
          <w:rFonts w:ascii="Times New Roman" w:eastAsia="Times New Roman" w:hAnsi="Times New Roman" w:cs="Times New Roman"/>
          <w:b/>
          <w:bCs/>
          <w:sz w:val="24"/>
          <w:szCs w:val="24"/>
          <w:lang w:val="it-IT" w:eastAsia="it-IT"/>
        </w:rPr>
        <w:t xml:space="preserve">Meta </w:t>
      </w:r>
      <w:proofErr w:type="spellStart"/>
      <w:r w:rsidRPr="0015100E">
        <w:rPr>
          <w:rFonts w:ascii="Times New Roman" w:eastAsia="Times New Roman" w:hAnsi="Times New Roman" w:cs="Times New Roman"/>
          <w:b/>
          <w:bCs/>
          <w:sz w:val="24"/>
          <w:szCs w:val="24"/>
          <w:lang w:val="it-IT" w:eastAsia="it-IT"/>
        </w:rPr>
        <w:t>description</w:t>
      </w:r>
      <w:proofErr w:type="spellEnd"/>
      <w:r w:rsidRPr="0015100E">
        <w:rPr>
          <w:rFonts w:ascii="Times New Roman" w:eastAsia="Times New Roman" w:hAnsi="Times New Roman" w:cs="Times New Roman"/>
          <w:b/>
          <w:bCs/>
          <w:sz w:val="24"/>
          <w:szCs w:val="24"/>
          <w:lang w:val="it-IT" w:eastAsia="it-IT"/>
        </w:rPr>
        <w:t>:</w:t>
      </w:r>
      <w:r w:rsidRPr="001D795B">
        <w:rPr>
          <w:rFonts w:ascii="Times New Roman" w:eastAsia="Times New Roman" w:hAnsi="Times New Roman" w:cs="Times New Roman"/>
          <w:sz w:val="24"/>
          <w:szCs w:val="24"/>
          <w:lang w:val="it-IT" w:eastAsia="it-IT"/>
        </w:rPr>
        <w:t xml:space="preserve"> ADM revoca </w:t>
      </w:r>
      <w:r w:rsidR="0015100E">
        <w:rPr>
          <w:rFonts w:ascii="Times New Roman" w:eastAsia="Times New Roman" w:hAnsi="Times New Roman" w:cs="Times New Roman"/>
          <w:sz w:val="24"/>
          <w:szCs w:val="24"/>
          <w:lang w:val="it-IT" w:eastAsia="it-IT"/>
        </w:rPr>
        <w:t xml:space="preserve">la </w:t>
      </w:r>
      <w:r w:rsidRPr="001D795B">
        <w:rPr>
          <w:rFonts w:ascii="Times New Roman" w:eastAsia="Times New Roman" w:hAnsi="Times New Roman" w:cs="Times New Roman"/>
          <w:sz w:val="24"/>
          <w:szCs w:val="24"/>
          <w:lang w:val="it-IT" w:eastAsia="it-IT"/>
        </w:rPr>
        <w:t xml:space="preserve">concessione </w:t>
      </w:r>
      <w:r w:rsidR="0015100E">
        <w:rPr>
          <w:rFonts w:ascii="Times New Roman" w:eastAsia="Times New Roman" w:hAnsi="Times New Roman" w:cs="Times New Roman"/>
          <w:sz w:val="24"/>
          <w:szCs w:val="24"/>
          <w:lang w:val="it-IT" w:eastAsia="it-IT"/>
        </w:rPr>
        <w:t xml:space="preserve">a </w:t>
      </w:r>
      <w:proofErr w:type="spellStart"/>
      <w:r w:rsidRPr="001D795B">
        <w:rPr>
          <w:rFonts w:ascii="Times New Roman" w:eastAsia="Times New Roman" w:hAnsi="Times New Roman" w:cs="Times New Roman"/>
          <w:sz w:val="24"/>
          <w:szCs w:val="24"/>
          <w:lang w:val="it-IT" w:eastAsia="it-IT"/>
        </w:rPr>
        <w:t>Multigioco</w:t>
      </w:r>
      <w:proofErr w:type="spellEnd"/>
      <w:r w:rsidRPr="001D795B">
        <w:rPr>
          <w:rFonts w:ascii="Times New Roman" w:eastAsia="Times New Roman" w:hAnsi="Times New Roman" w:cs="Times New Roman"/>
          <w:sz w:val="24"/>
          <w:szCs w:val="24"/>
          <w:lang w:val="it-IT" w:eastAsia="it-IT"/>
        </w:rPr>
        <w:t xml:space="preserve"> per debiti fiscali, fideiussione bancaria mancata e account bloccati. </w:t>
      </w:r>
      <w:r w:rsidR="0015100E">
        <w:rPr>
          <w:rFonts w:ascii="Times New Roman" w:eastAsia="Times New Roman" w:hAnsi="Times New Roman" w:cs="Times New Roman"/>
          <w:sz w:val="24"/>
          <w:szCs w:val="24"/>
          <w:lang w:val="it-IT" w:eastAsia="it-IT"/>
        </w:rPr>
        <w:t>Scopri t</w:t>
      </w:r>
      <w:r w:rsidRPr="001D795B">
        <w:rPr>
          <w:rFonts w:ascii="Times New Roman" w:eastAsia="Times New Roman" w:hAnsi="Times New Roman" w:cs="Times New Roman"/>
          <w:sz w:val="24"/>
          <w:szCs w:val="24"/>
          <w:lang w:val="it-IT" w:eastAsia="it-IT"/>
        </w:rPr>
        <w:t>utti i dettagli della determina.</w:t>
      </w:r>
    </w:p>
    <w:p w14:paraId="2CE34360"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proofErr w:type="spellStart"/>
      <w:r w:rsidRPr="0015100E">
        <w:rPr>
          <w:rFonts w:ascii="Times New Roman" w:eastAsia="Times New Roman" w:hAnsi="Times New Roman" w:cs="Times New Roman"/>
          <w:b/>
          <w:bCs/>
          <w:sz w:val="24"/>
          <w:szCs w:val="24"/>
          <w:lang w:val="it-IT" w:eastAsia="it-IT"/>
        </w:rPr>
        <w:t>Caption</w:t>
      </w:r>
      <w:proofErr w:type="spellEnd"/>
      <w:r w:rsidRPr="0015100E">
        <w:rPr>
          <w:rFonts w:ascii="Times New Roman" w:eastAsia="Times New Roman" w:hAnsi="Times New Roman" w:cs="Times New Roman"/>
          <w:b/>
          <w:bCs/>
          <w:sz w:val="24"/>
          <w:szCs w:val="24"/>
          <w:lang w:val="it-IT" w:eastAsia="it-IT"/>
        </w:rPr>
        <w:t>:</w:t>
      </w:r>
      <w:r w:rsidRPr="001D795B">
        <w:rPr>
          <w:rFonts w:ascii="Times New Roman" w:eastAsia="Times New Roman" w:hAnsi="Times New Roman" w:cs="Times New Roman"/>
          <w:sz w:val="24"/>
          <w:szCs w:val="24"/>
          <w:lang w:val="it-IT" w:eastAsia="it-IT"/>
        </w:rPr>
        <w:t xml:space="preserve"> ADM revoca licenza </w:t>
      </w:r>
      <w:proofErr w:type="spellStart"/>
      <w:r w:rsidRPr="001D795B">
        <w:rPr>
          <w:rFonts w:ascii="Times New Roman" w:eastAsia="Times New Roman" w:hAnsi="Times New Roman" w:cs="Times New Roman"/>
          <w:sz w:val="24"/>
          <w:szCs w:val="24"/>
          <w:lang w:val="it-IT" w:eastAsia="it-IT"/>
        </w:rPr>
        <w:t>Multigioco</w:t>
      </w:r>
      <w:proofErr w:type="spellEnd"/>
      <w:r w:rsidRPr="001D795B">
        <w:rPr>
          <w:rFonts w:ascii="Times New Roman" w:eastAsia="Times New Roman" w:hAnsi="Times New Roman" w:cs="Times New Roman"/>
          <w:sz w:val="24"/>
          <w:szCs w:val="24"/>
          <w:lang w:val="it-IT" w:eastAsia="it-IT"/>
        </w:rPr>
        <w:t xml:space="preserve"> agosto 2025</w:t>
      </w:r>
    </w:p>
    <w:p w14:paraId="0054E241" w14:textId="66C3BF19"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t xml:space="preserve">&lt;strong&gt;ADM revoca la concessione a </w:t>
      </w:r>
      <w:proofErr w:type="spellStart"/>
      <w:r w:rsidRPr="001D795B">
        <w:rPr>
          <w:rFonts w:ascii="Times New Roman" w:eastAsia="Times New Roman" w:hAnsi="Times New Roman" w:cs="Times New Roman"/>
          <w:sz w:val="24"/>
          <w:szCs w:val="24"/>
          <w:lang w:val="it-IT" w:eastAsia="it-IT"/>
        </w:rPr>
        <w:t>Multigioco</w:t>
      </w:r>
      <w:proofErr w:type="spellEnd"/>
      <w:r w:rsidRPr="001D795B">
        <w:rPr>
          <w:rFonts w:ascii="Times New Roman" w:eastAsia="Times New Roman" w:hAnsi="Times New Roman" w:cs="Times New Roman"/>
          <w:sz w:val="24"/>
          <w:szCs w:val="24"/>
          <w:lang w:val="it-IT" w:eastAsia="it-IT"/>
        </w:rPr>
        <w:t xml:space="preserve"> </w:t>
      </w:r>
      <w:proofErr w:type="spellStart"/>
      <w:r w:rsidRPr="001D795B">
        <w:rPr>
          <w:rFonts w:ascii="Times New Roman" w:eastAsia="Times New Roman" w:hAnsi="Times New Roman" w:cs="Times New Roman"/>
          <w:sz w:val="24"/>
          <w:szCs w:val="24"/>
          <w:lang w:val="it-IT" w:eastAsia="it-IT"/>
        </w:rPr>
        <w:t>Srl</w:t>
      </w:r>
      <w:proofErr w:type="spellEnd"/>
      <w:r w:rsidRPr="001D795B">
        <w:rPr>
          <w:rFonts w:ascii="Times New Roman" w:eastAsia="Times New Roman" w:hAnsi="Times New Roman" w:cs="Times New Roman"/>
          <w:sz w:val="24"/>
          <w:szCs w:val="24"/>
          <w:lang w:val="it-IT" w:eastAsia="it-IT"/>
        </w:rPr>
        <w:t xml:space="preserve"> il 21 agosto 2025 per inadempimenti fiscali, mancata fideiussione bancaria obbligatoria e accumulo di debiti verso l'erario. La determina ufficiale chiude definitivamente le operazioni dell'operatore nel mercato autorizzato </w:t>
      </w:r>
      <w:proofErr w:type="gramStart"/>
      <w:r w:rsidRPr="001D795B">
        <w:rPr>
          <w:rFonts w:ascii="Times New Roman" w:eastAsia="Times New Roman" w:hAnsi="Times New Roman" w:cs="Times New Roman"/>
          <w:sz w:val="24"/>
          <w:szCs w:val="24"/>
          <w:lang w:val="it-IT" w:eastAsia="it-IT"/>
        </w:rPr>
        <w:t>italiano.&lt;</w:t>
      </w:r>
      <w:proofErr w:type="gramEnd"/>
      <w:r w:rsidRPr="001D795B">
        <w:rPr>
          <w:rFonts w:ascii="Times New Roman" w:eastAsia="Times New Roman" w:hAnsi="Times New Roman" w:cs="Times New Roman"/>
          <w:sz w:val="24"/>
          <w:szCs w:val="24"/>
          <w:lang w:val="it-IT" w:eastAsia="it-IT"/>
        </w:rPr>
        <w:t>/strong&gt;</w:t>
      </w:r>
    </w:p>
    <w:p w14:paraId="5365988D"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t>&lt;h2&gt;Gli inadempimenti fiscali documentati&lt;/h2&gt;</w:t>
      </w:r>
    </w:p>
    <w:p w14:paraId="697432A4"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t>La determina ADM elenca &lt;strong&gt;debiti per imposta unica&lt;/strong&gt; non versata. Nel mercato italiano questo tributo rappresenta il 24,5% dei ricavi online degli operatori autorizzati. La società risulta inadempiente per canone di concessione e oneri di proroga, oltre ai contributi verso le federazioni sportive italiane. Il documento ufficiale certifica violazioni multiple delle disposizioni fiscali vigenti.</w:t>
      </w:r>
    </w:p>
    <w:p w14:paraId="6C55CF85" w14:textId="39308154"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proofErr w:type="spellStart"/>
      <w:r w:rsidRPr="001D795B">
        <w:rPr>
          <w:rFonts w:ascii="Times New Roman" w:eastAsia="Times New Roman" w:hAnsi="Times New Roman" w:cs="Times New Roman"/>
          <w:sz w:val="24"/>
          <w:szCs w:val="24"/>
          <w:lang w:val="it-IT" w:eastAsia="it-IT"/>
        </w:rPr>
        <w:t>Multigioco</w:t>
      </w:r>
      <w:proofErr w:type="spellEnd"/>
      <w:r w:rsidRPr="001D795B">
        <w:rPr>
          <w:rFonts w:ascii="Times New Roman" w:eastAsia="Times New Roman" w:hAnsi="Times New Roman" w:cs="Times New Roman"/>
          <w:sz w:val="24"/>
          <w:szCs w:val="24"/>
          <w:lang w:val="it-IT" w:eastAsia="it-IT"/>
        </w:rPr>
        <w:t xml:space="preserve"> non ha versato i &lt;strong&gt;fondi per conti dormienti&lt;/strong&gt; </w:t>
      </w:r>
      <w:r w:rsidR="0015100E">
        <w:rPr>
          <w:rFonts w:ascii="Times New Roman" w:eastAsia="Times New Roman" w:hAnsi="Times New Roman" w:cs="Times New Roman"/>
          <w:sz w:val="24"/>
          <w:szCs w:val="24"/>
          <w:lang w:val="it-IT" w:eastAsia="it-IT"/>
        </w:rPr>
        <w:t xml:space="preserve">da </w:t>
      </w:r>
      <w:r w:rsidRPr="001D795B">
        <w:rPr>
          <w:rFonts w:ascii="Times New Roman" w:eastAsia="Times New Roman" w:hAnsi="Times New Roman" w:cs="Times New Roman"/>
          <w:sz w:val="24"/>
          <w:szCs w:val="24"/>
          <w:lang w:val="it-IT" w:eastAsia="it-IT"/>
        </w:rPr>
        <w:t>oltre tre anni, come previsto dalla normativa vigente. L'elenco include sanzioni e interessi per ritardati versamenti che l'Ufficio territoriale ADM quantificherà con provvedimento separato. Gli atti attestano una situazione debitoria consolidata nel tempo, con inadempimenti ripetuti su diverse voci tributarie del settore del gioco legale.</w:t>
      </w:r>
    </w:p>
    <w:p w14:paraId="3033E461"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t>La società ha omesso anche i &lt;strong&gt;versamenti al Fondo salva sport&lt;/strong&gt; che finanzia le federazioni italiane. La documentazione ufficiale evidenzia mancati pagamenti ripetuti su diverse voci tributarie stabilite dal regolamento del gioco. Il quadro complessivo mostra difficoltà finanziarie sistemiche durate diversi mesi prima della revoca definitiva, con accumulo progressivo di debiti verso l'amministrazione pubblica.</w:t>
      </w:r>
    </w:p>
    <w:p w14:paraId="47C6F773"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t>&lt;h2&gt;La fideiussione bancaria non rinnovata&lt;/h2&gt;</w:t>
      </w:r>
    </w:p>
    <w:p w14:paraId="722B0CF1"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t xml:space="preserve">Il punto critico arriva quando &lt;strong&gt;la garanzia da 1,5 milioni&lt;/strong&gt; non viene rinnovata nei termini previsti dalla normativa. Questa fideiussione rappresenta uno strumento di tutela fondamentale per il sistema dei giochi autorizzato in Italia. L'&lt;a </w:t>
      </w:r>
      <w:proofErr w:type="spellStart"/>
      <w:r w:rsidRPr="001D795B">
        <w:rPr>
          <w:rFonts w:ascii="Times New Roman" w:eastAsia="Times New Roman" w:hAnsi="Times New Roman" w:cs="Times New Roman"/>
          <w:sz w:val="24"/>
          <w:szCs w:val="24"/>
          <w:lang w:val="it-IT" w:eastAsia="it-IT"/>
        </w:rPr>
        <w:t>href</w:t>
      </w:r>
      <w:proofErr w:type="spellEnd"/>
      <w:r w:rsidRPr="001D795B">
        <w:rPr>
          <w:rFonts w:ascii="Times New Roman" w:eastAsia="Times New Roman" w:hAnsi="Times New Roman" w:cs="Times New Roman"/>
          <w:sz w:val="24"/>
          <w:szCs w:val="24"/>
          <w:lang w:val="it-IT" w:eastAsia="it-IT"/>
        </w:rPr>
        <w:t>="https://www.adm.gov.it" target="_blank"&gt;ADM&lt;/a&gt; aveva concesso una proroga finale per consentire eventuali operazioni di cessione aziendale e il ripristino delle garanzie bancarie richieste.</w:t>
      </w:r>
    </w:p>
    <w:p w14:paraId="24D55FD9" w14:textId="77777777" w:rsidR="001D795B" w:rsidRPr="001D795B"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t>Nonostante i solleciti ripetuti, la società &lt;strong&gt;non ha presentato documentazione&lt;/strong&gt; bancaria valida per il rinnovo della garanzia obbligatoria. La prospettiva di cessione aziendale non si è concretizzata nei tempi stabiliti dalle autorità di controllo. Senza fideiussione attiva, la revoca segue l'iter normativo stabilito per tutelare l'integrità del mercato autorizzato e proteggere i consumatori dal rischio operativo.</w:t>
      </w:r>
    </w:p>
    <w:p w14:paraId="01E8CB0C" w14:textId="78426662" w:rsidR="001D795B" w:rsidRPr="005E2333" w:rsidRDefault="001D795B" w:rsidP="001D795B">
      <w:pPr>
        <w:spacing w:before="100" w:beforeAutospacing="1" w:after="100" w:afterAutospacing="1" w:line="240" w:lineRule="auto"/>
        <w:rPr>
          <w:rFonts w:ascii="Times New Roman" w:eastAsia="Times New Roman" w:hAnsi="Times New Roman" w:cs="Times New Roman"/>
          <w:sz w:val="24"/>
          <w:szCs w:val="24"/>
          <w:lang w:val="it-IT" w:eastAsia="it-IT"/>
        </w:rPr>
      </w:pPr>
      <w:r w:rsidRPr="001D795B">
        <w:rPr>
          <w:rFonts w:ascii="Times New Roman" w:eastAsia="Times New Roman" w:hAnsi="Times New Roman" w:cs="Times New Roman"/>
          <w:sz w:val="24"/>
          <w:szCs w:val="24"/>
          <w:lang w:val="it-IT" w:eastAsia="it-IT"/>
        </w:rPr>
        <w:lastRenderedPageBreak/>
        <w:t xml:space="preserve">La decadenza interrompe i &lt;strong&gt;collegamenti con sistemi ADM&lt;/strong&gt; per certificazioni e verifiche. Gli utenti con depositi attendono l'evolversi delle procedure di recupero stabilite dal regolamento. Il mercato legale conta attualmente </w:t>
      </w:r>
      <w:r w:rsidR="0015100E">
        <w:rPr>
          <w:rFonts w:ascii="Times New Roman" w:eastAsia="Times New Roman" w:hAnsi="Times New Roman" w:cs="Times New Roman"/>
          <w:sz w:val="24"/>
          <w:szCs w:val="24"/>
          <w:lang w:val="it-IT" w:eastAsia="it-IT"/>
        </w:rPr>
        <w:t>46</w:t>
      </w:r>
      <w:r w:rsidRPr="001D795B">
        <w:rPr>
          <w:rFonts w:ascii="Times New Roman" w:eastAsia="Times New Roman" w:hAnsi="Times New Roman" w:cs="Times New Roman"/>
          <w:sz w:val="24"/>
          <w:szCs w:val="24"/>
          <w:lang w:val="it-IT" w:eastAsia="it-IT"/>
        </w:rPr>
        <w:t xml:space="preserve"> </w:t>
      </w:r>
      <w:r w:rsidR="0015100E">
        <w:rPr>
          <w:rFonts w:ascii="Times New Roman" w:eastAsia="Times New Roman" w:hAnsi="Times New Roman" w:cs="Times New Roman"/>
          <w:sz w:val="24"/>
          <w:szCs w:val="24"/>
          <w:lang w:val="it-IT" w:eastAsia="it-IT"/>
        </w:rPr>
        <w:t>concessioni</w:t>
      </w:r>
      <w:r w:rsidRPr="001D795B">
        <w:rPr>
          <w:rFonts w:ascii="Times New Roman" w:eastAsia="Times New Roman" w:hAnsi="Times New Roman" w:cs="Times New Roman"/>
          <w:sz w:val="24"/>
          <w:szCs w:val="24"/>
          <w:lang w:val="it-IT" w:eastAsia="it-IT"/>
        </w:rPr>
        <w:t xml:space="preserve"> autorizzat</w:t>
      </w:r>
      <w:r w:rsidR="0015100E">
        <w:rPr>
          <w:rFonts w:ascii="Times New Roman" w:eastAsia="Times New Roman" w:hAnsi="Times New Roman" w:cs="Times New Roman"/>
          <w:sz w:val="24"/>
          <w:szCs w:val="24"/>
          <w:lang w:val="it-IT" w:eastAsia="it-IT"/>
        </w:rPr>
        <w:t>e per il gioco online</w:t>
      </w:r>
      <w:r w:rsidRPr="001D795B">
        <w:rPr>
          <w:rFonts w:ascii="Times New Roman" w:eastAsia="Times New Roman" w:hAnsi="Times New Roman" w:cs="Times New Roman"/>
          <w:sz w:val="24"/>
          <w:szCs w:val="24"/>
          <w:lang w:val="it-IT" w:eastAsia="it-IT"/>
        </w:rPr>
        <w:t xml:space="preserve"> che mantengono regolarmente le garanzie bancarie richieste.</w:t>
      </w:r>
    </w:p>
    <w:p w14:paraId="5E09FC9F" w14:textId="1985A597" w:rsidR="005406EA" w:rsidRPr="005E2333" w:rsidRDefault="005406EA" w:rsidP="005E2333"/>
    <w:sectPr w:rsidR="005406EA" w:rsidRPr="005E2333" w:rsidSect="00FA21DB">
      <w:pgSz w:w="11906" w:h="16838"/>
      <w:pgMar w:top="1701" w:right="1418"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ADC"/>
    <w:multiLevelType w:val="multilevel"/>
    <w:tmpl w:val="9826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46C6C"/>
    <w:multiLevelType w:val="multilevel"/>
    <w:tmpl w:val="90E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85E4A"/>
    <w:multiLevelType w:val="multilevel"/>
    <w:tmpl w:val="257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67C54"/>
    <w:multiLevelType w:val="multilevel"/>
    <w:tmpl w:val="FE5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65931">
    <w:abstractNumId w:val="0"/>
  </w:num>
  <w:num w:numId="2" w16cid:durableId="1714843418">
    <w:abstractNumId w:val="1"/>
  </w:num>
  <w:num w:numId="3" w16cid:durableId="1951470728">
    <w:abstractNumId w:val="3"/>
  </w:num>
  <w:num w:numId="4" w16cid:durableId="1329671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EA"/>
    <w:rsid w:val="000000D0"/>
    <w:rsid w:val="00001C46"/>
    <w:rsid w:val="000338C6"/>
    <w:rsid w:val="000F5D1B"/>
    <w:rsid w:val="0015100E"/>
    <w:rsid w:val="001A3319"/>
    <w:rsid w:val="001D795B"/>
    <w:rsid w:val="001E212B"/>
    <w:rsid w:val="002749F7"/>
    <w:rsid w:val="003F56E6"/>
    <w:rsid w:val="004E36DC"/>
    <w:rsid w:val="005406EA"/>
    <w:rsid w:val="00541312"/>
    <w:rsid w:val="00553DBF"/>
    <w:rsid w:val="005C31BD"/>
    <w:rsid w:val="005E2333"/>
    <w:rsid w:val="00612315"/>
    <w:rsid w:val="0066069B"/>
    <w:rsid w:val="006E4BB5"/>
    <w:rsid w:val="007C189D"/>
    <w:rsid w:val="009A0C0F"/>
    <w:rsid w:val="009F4D82"/>
    <w:rsid w:val="00A24612"/>
    <w:rsid w:val="00A353C6"/>
    <w:rsid w:val="00A94F39"/>
    <w:rsid w:val="00B17535"/>
    <w:rsid w:val="00B20CCC"/>
    <w:rsid w:val="00B55032"/>
    <w:rsid w:val="00CA17F2"/>
    <w:rsid w:val="00F644AE"/>
    <w:rsid w:val="00FA21DB"/>
    <w:rsid w:val="00FA71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84F3"/>
  <w15:chartTrackingRefBased/>
  <w15:docId w15:val="{C57FFE06-D242-459F-A381-098D31FA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406EA"/>
  </w:style>
  <w:style w:type="paragraph" w:styleId="Titolo1">
    <w:name w:val="heading 1"/>
    <w:basedOn w:val="Normale"/>
    <w:next w:val="Normale"/>
    <w:link w:val="Titolo1Carattere"/>
    <w:uiPriority w:val="9"/>
    <w:qFormat/>
    <w:rsid w:val="007C1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4E36DC"/>
    <w:pPr>
      <w:spacing w:before="100" w:beforeAutospacing="1" w:after="100" w:afterAutospacing="1" w:line="240" w:lineRule="auto"/>
      <w:outlineLvl w:val="1"/>
    </w:pPr>
    <w:rPr>
      <w:rFonts w:ascii="Times New Roman" w:eastAsia="Times New Roman" w:hAnsi="Times New Roman" w:cs="Times New Roman"/>
      <w:b/>
      <w:bCs/>
      <w:sz w:val="36"/>
      <w:szCs w:val="36"/>
      <w:lang w:val="it-IT" w:eastAsia="it-IT"/>
    </w:rPr>
  </w:style>
  <w:style w:type="paragraph" w:styleId="Titolo3">
    <w:name w:val="heading 3"/>
    <w:basedOn w:val="Normale"/>
    <w:next w:val="Normale"/>
    <w:link w:val="Titolo3Carattere"/>
    <w:uiPriority w:val="9"/>
    <w:semiHidden/>
    <w:unhideWhenUsed/>
    <w:qFormat/>
    <w:rsid w:val="005413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1E212B"/>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Enfasigrassetto">
    <w:name w:val="Strong"/>
    <w:basedOn w:val="Carpredefinitoparagrafo"/>
    <w:uiPriority w:val="22"/>
    <w:qFormat/>
    <w:rsid w:val="001E212B"/>
    <w:rPr>
      <w:b/>
      <w:bCs/>
    </w:rPr>
  </w:style>
  <w:style w:type="character" w:customStyle="1" w:styleId="Titolo2Carattere">
    <w:name w:val="Titolo 2 Carattere"/>
    <w:basedOn w:val="Carpredefinitoparagrafo"/>
    <w:link w:val="Titolo2"/>
    <w:uiPriority w:val="9"/>
    <w:rsid w:val="004E36DC"/>
    <w:rPr>
      <w:rFonts w:ascii="Times New Roman" w:eastAsia="Times New Roman" w:hAnsi="Times New Roman" w:cs="Times New Roman"/>
      <w:b/>
      <w:bCs/>
      <w:sz w:val="36"/>
      <w:szCs w:val="36"/>
      <w:lang w:val="it-IT" w:eastAsia="it-IT"/>
    </w:rPr>
  </w:style>
  <w:style w:type="character" w:customStyle="1" w:styleId="Titolo3Carattere">
    <w:name w:val="Titolo 3 Carattere"/>
    <w:basedOn w:val="Carpredefinitoparagrafo"/>
    <w:link w:val="Titolo3"/>
    <w:uiPriority w:val="9"/>
    <w:semiHidden/>
    <w:rsid w:val="00541312"/>
    <w:rPr>
      <w:rFonts w:asciiTheme="majorHAnsi" w:eastAsiaTheme="majorEastAsia" w:hAnsiTheme="majorHAnsi" w:cstheme="majorBidi"/>
      <w:color w:val="1F3763" w:themeColor="accent1" w:themeShade="7F"/>
      <w:sz w:val="24"/>
      <w:szCs w:val="24"/>
    </w:rPr>
  </w:style>
  <w:style w:type="paragraph" w:customStyle="1" w:styleId="whitespace-normal">
    <w:name w:val="whitespace-normal"/>
    <w:basedOn w:val="Normale"/>
    <w:rsid w:val="00541312"/>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Enfasicorsivo">
    <w:name w:val="Emphasis"/>
    <w:basedOn w:val="Carpredefinitoparagrafo"/>
    <w:uiPriority w:val="20"/>
    <w:qFormat/>
    <w:rsid w:val="00541312"/>
    <w:rPr>
      <w:i/>
      <w:iCs/>
    </w:rPr>
  </w:style>
  <w:style w:type="character" w:customStyle="1" w:styleId="Titolo1Carattere">
    <w:name w:val="Titolo 1 Carattere"/>
    <w:basedOn w:val="Carpredefinitoparagrafo"/>
    <w:link w:val="Titolo1"/>
    <w:uiPriority w:val="9"/>
    <w:rsid w:val="007C189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60E47EB1847A4AB8B9F047BBD36BAC" ma:contentTypeVersion="11" ma:contentTypeDescription="Creare un nuovo documento." ma:contentTypeScope="" ma:versionID="49179be12f630babbafc6e2e45d8d184">
  <xsd:schema xmlns:xsd="http://www.w3.org/2001/XMLSchema" xmlns:xs="http://www.w3.org/2001/XMLSchema" xmlns:p="http://schemas.microsoft.com/office/2006/metadata/properties" xmlns:ns2="d11f9548-5862-4655-a5c5-a7b029cf4aba" xmlns:ns3="fde9e569-0c01-4ff4-bba2-94d697e4878e" targetNamespace="http://schemas.microsoft.com/office/2006/metadata/properties" ma:root="true" ma:fieldsID="20b27fd80776a1455494acc948f01abd" ns2:_="" ns3:_="">
    <xsd:import namespace="d11f9548-5862-4655-a5c5-a7b029cf4aba"/>
    <xsd:import namespace="fde9e569-0c01-4ff4-bba2-94d697e487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f9548-5862-4655-a5c5-a7b029cf4aba" elementFormDefault="qualified">
    <xsd:import namespace="http://schemas.microsoft.com/office/2006/documentManagement/types"/>
    <xsd:import namespace="http://schemas.microsoft.com/office/infopath/2007/PartnerControls"/>
    <xsd:element name="SharedWithUsers" ma:index="8" nillable="true" ma:displayName="Condivis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e9e569-0c01-4ff4-bba2-94d697e4878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0F7840-6C38-4951-8FC7-06AE4D9C0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f9548-5862-4655-a5c5-a7b029cf4aba"/>
    <ds:schemaRef ds:uri="fde9e569-0c01-4ff4-bba2-94d697e48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6814B4-3611-4E69-92ED-660E89AB7942}">
  <ds:schemaRefs>
    <ds:schemaRef ds:uri="http://schemas.microsoft.com/sharepoint/v3/contenttype/forms"/>
  </ds:schemaRefs>
</ds:datastoreItem>
</file>

<file path=customXml/itemProps3.xml><?xml version="1.0" encoding="utf-8"?>
<ds:datastoreItem xmlns:ds="http://schemas.openxmlformats.org/officeDocument/2006/customXml" ds:itemID="{2A6E7393-A7C8-487B-860C-E685890A7B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473</Words>
  <Characters>2699</Characters>
  <Application>Microsoft Office Word</Application>
  <DocSecurity>0</DocSecurity>
  <Lines>22</Lines>
  <Paragraphs>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Rocco Volante</dc:creator>
  <cp:keywords/>
  <dc:description/>
  <cp:lastModifiedBy>Alberto Lattuada</cp:lastModifiedBy>
  <cp:revision>10</cp:revision>
  <dcterms:created xsi:type="dcterms:W3CDTF">2025-09-15T20:05:00Z</dcterms:created>
  <dcterms:modified xsi:type="dcterms:W3CDTF">2025-09-18T06:47:00Z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0x010100EA60E47EB1847A4AB8B9F047BBD36BAC</vt:lpwstr>
  </property>
</Properties>
</file>