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1C60"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b/>
          <w:bCs/>
        </w:rPr>
        <w:t xml:space="preserve">SEO </w:t>
      </w:r>
      <w:proofErr w:type="spellStart"/>
      <w:r>
        <w:rPr>
          <w:rFonts w:ascii="Times Roman" w:hAnsi="Times Roman"/>
          <w:b/>
          <w:bCs/>
        </w:rPr>
        <w:t>Title</w:t>
      </w:r>
      <w:proofErr w:type="spellEnd"/>
      <w:r>
        <w:rPr>
          <w:rFonts w:ascii="Times Roman" w:hAnsi="Times Roman"/>
          <w:b/>
          <w:bCs/>
        </w:rPr>
        <w:t>:</w:t>
      </w:r>
      <w:r>
        <w:rPr>
          <w:rFonts w:ascii="Times Roman" w:hAnsi="Times Roman"/>
        </w:rPr>
        <w:t xml:space="preserve"> SBC </w:t>
      </w:r>
      <w:proofErr w:type="spellStart"/>
      <w:r>
        <w:rPr>
          <w:rFonts w:ascii="Times Roman" w:hAnsi="Times Roman"/>
        </w:rPr>
        <w:t>Lisbona</w:t>
      </w:r>
      <w:proofErr w:type="spellEnd"/>
      <w:r>
        <w:rPr>
          <w:rFonts w:ascii="Times Roman" w:hAnsi="Times Roman"/>
        </w:rPr>
        <w:t xml:space="preserve"> 2025: </w:t>
      </w:r>
      <w:r>
        <w:rPr>
          <w:rFonts w:ascii="Times Roman" w:hAnsi="Times Roman"/>
          <w:lang w:val="it-IT"/>
        </w:rPr>
        <w:t>Record e Focus sui mercati emergenti</w:t>
      </w:r>
    </w:p>
    <w:p w14:paraId="288259F4" w14:textId="7C0984E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b/>
          <w:bCs/>
          <w:lang w:val="en-US"/>
        </w:rPr>
        <w:t>Meta description:</w:t>
      </w:r>
      <w:r>
        <w:rPr>
          <w:rFonts w:ascii="Times Roman" w:hAnsi="Times Roman"/>
          <w:lang w:val="it-IT"/>
        </w:rPr>
        <w:t xml:space="preserve"> Scopri gli highlights d</w:t>
      </w:r>
      <w:r w:rsidR="00696BF6">
        <w:rPr>
          <w:rFonts w:ascii="Times Roman" w:hAnsi="Times Roman"/>
          <w:lang w:val="it-IT"/>
        </w:rPr>
        <w:t>el Summit portoghese</w:t>
      </w:r>
      <w:r>
        <w:rPr>
          <w:rFonts w:ascii="Times Roman" w:hAnsi="Times Roman"/>
          <w:lang w:val="it-IT"/>
        </w:rPr>
        <w:t>: mercati emergenti in crescita del 12%, strategie AI rivoluzionarie. Leggi ora l'analisi completa.</w:t>
      </w:r>
    </w:p>
    <w:p w14:paraId="2BC1BFA2"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b/>
          <w:bCs/>
          <w:lang w:val="en-US"/>
        </w:rPr>
        <w:t>Caption:</w:t>
      </w:r>
      <w:r>
        <w:rPr>
          <w:rFonts w:ascii="Times Roman" w:hAnsi="Times Roman"/>
          <w:lang w:val="it-IT"/>
        </w:rPr>
        <w:t xml:space="preserve"> SBC Lisbona conclude con numeri record</w:t>
      </w:r>
    </w:p>
    <w:p w14:paraId="42E16319"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b/>
          <w:bCs/>
          <w:lang w:val="it-IT"/>
        </w:rPr>
        <w:t xml:space="preserve">&lt;strong&gt;INTRO -- SBC Summit Lisbona 2025 ha concluso con oltre 25.000 professionisti e 650 espositori, segnando una svolta strategica definitiva verso i mercati emergenti dell'America Latina e </w:t>
      </w:r>
      <w:proofErr w:type="gramStart"/>
      <w:r>
        <w:rPr>
          <w:rFonts w:ascii="Times Roman" w:hAnsi="Times Roman"/>
          <w:b/>
          <w:bCs/>
          <w:lang w:val="it-IT"/>
        </w:rPr>
        <w:t>dell'Africa.&lt;</w:t>
      </w:r>
      <w:proofErr w:type="gramEnd"/>
      <w:r>
        <w:rPr>
          <w:rFonts w:ascii="Times Roman" w:hAnsi="Times Roman"/>
          <w:b/>
          <w:bCs/>
          <w:lang w:val="it-IT"/>
        </w:rPr>
        <w:t>/strong&gt;</w:t>
      </w:r>
    </w:p>
    <w:p w14:paraId="5BA3873A" w14:textId="77777777" w:rsidR="00423570" w:rsidRDefault="00000000">
      <w:pPr>
        <w:pStyle w:val="Didefault"/>
        <w:suppressAutoHyphens/>
        <w:spacing w:before="0" w:line="240" w:lineRule="auto"/>
        <w:rPr>
          <w:rFonts w:ascii="Times Roman" w:eastAsia="Times Roman" w:hAnsi="Times Roman" w:cs="Times Roman"/>
        </w:rPr>
      </w:pPr>
      <w:r>
        <w:rPr>
          <w:rFonts w:ascii="Times Roman" w:hAnsi="Times Roman"/>
        </w:rPr>
        <w:t>&lt;h2&gt;</w:t>
      </w:r>
      <w:r>
        <w:rPr>
          <w:rFonts w:ascii="Times Roman" w:hAnsi="Times Roman"/>
          <w:lang w:val="it-IT"/>
        </w:rPr>
        <w:t xml:space="preserve">L’America Latina domina l'agenda del </w:t>
      </w:r>
      <w:r>
        <w:rPr>
          <w:rFonts w:ascii="Times Roman" w:hAnsi="Times Roman"/>
          <w:lang w:val="en-US"/>
        </w:rPr>
        <w:t>Summit&lt;/h2&gt;</w:t>
      </w:r>
    </w:p>
    <w:p w14:paraId="2B87B169" w14:textId="77777777" w:rsidR="00423570" w:rsidRDefault="00423570">
      <w:pPr>
        <w:pStyle w:val="Didefault"/>
        <w:suppressAutoHyphens/>
        <w:spacing w:before="0" w:line="240" w:lineRule="auto"/>
        <w:rPr>
          <w:rFonts w:ascii="Times Roman" w:eastAsia="Times Roman" w:hAnsi="Times Roman" w:cs="Times Roman"/>
        </w:rPr>
      </w:pPr>
    </w:p>
    <w:p w14:paraId="0FADCDDB"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lang w:val="it-IT"/>
        </w:rPr>
        <w:t xml:space="preserve">La regione sudamericana ha conquistato il centro della scena con </w:t>
      </w:r>
      <w:r>
        <w:rPr>
          <w:rFonts w:ascii="Times Roman" w:hAnsi="Times Roman"/>
          <w:b/>
          <w:bCs/>
          <w:lang w:val="it-IT"/>
        </w:rPr>
        <w:t>proiezioni di espansione CAGR dell'11.9%</w:t>
      </w:r>
      <w:r>
        <w:rPr>
          <w:rFonts w:ascii="Times Roman" w:hAnsi="Times Roman"/>
          <w:lang w:val="it-IT"/>
        </w:rPr>
        <w:t xml:space="preserve"> per il quinquennio 2025-2030, quasi doppia rispetto ai mercati europei maturi che si attestano al 6.5%. I padiglioni dedicati all'America Latina hanno registrato un afflusso record, con il Brasile protagonista di oltre venti sessioni specializzate. Le discussioni hanno coperto la regolamentazione locale, partnership strategiche e sistemi di pagamento come PIX che stanno rivoluzionando l'accesso al mercato.</w:t>
      </w:r>
    </w:p>
    <w:p w14:paraId="19BF13B1"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lang w:val="it-IT"/>
        </w:rPr>
        <w:t xml:space="preserve">Il Super CEO Panel con Flutter, Super Group, </w:t>
      </w:r>
      <w:proofErr w:type="spellStart"/>
      <w:r>
        <w:rPr>
          <w:rFonts w:ascii="Times Roman" w:hAnsi="Times Roman"/>
          <w:lang w:val="it-IT"/>
        </w:rPr>
        <w:t>Betfred</w:t>
      </w:r>
      <w:proofErr w:type="spellEnd"/>
      <w:r>
        <w:rPr>
          <w:rFonts w:ascii="Times Roman" w:hAnsi="Times Roman"/>
          <w:lang w:val="it-IT"/>
        </w:rPr>
        <w:t xml:space="preserve"> e </w:t>
      </w:r>
      <w:proofErr w:type="spellStart"/>
      <w:r>
        <w:rPr>
          <w:rFonts w:ascii="Times Roman" w:hAnsi="Times Roman"/>
          <w:lang w:val="it-IT"/>
        </w:rPr>
        <w:t>Betsson</w:t>
      </w:r>
      <w:proofErr w:type="spellEnd"/>
      <w:r>
        <w:rPr>
          <w:rFonts w:ascii="Times Roman" w:hAnsi="Times Roman"/>
          <w:lang w:val="it-IT"/>
        </w:rPr>
        <w:t xml:space="preserve"> ha affrontato la </w:t>
      </w:r>
      <w:r>
        <w:rPr>
          <w:rFonts w:ascii="Times Roman" w:hAnsi="Times Roman"/>
          <w:b/>
          <w:bCs/>
          <w:lang w:val="it-IT"/>
        </w:rPr>
        <w:t>compressione dei margini europei</w:t>
      </w:r>
      <w:r>
        <w:rPr>
          <w:rFonts w:ascii="Times Roman" w:hAnsi="Times Roman"/>
          <w:lang w:val="it-IT"/>
        </w:rPr>
        <w:t xml:space="preserve"> causata da costi di compliance in aumento e barriere normative sempre più onerose. I vertici dei principali gruppi europei hanno parlato senza mezzi termini di una "migrazione necessaria" verso mercati dove lo sviluppo giustifica ancora investimenti massicci. La diversificazione geografica non rappresenta più una scelta strategica opzionale ma una questione di sopravvivenza economica.</w:t>
      </w:r>
    </w:p>
    <w:p w14:paraId="52632B91" w14:textId="77777777"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lang w:val="it-IT"/>
        </w:rPr>
        <w:t xml:space="preserve">La sessione sui pagamenti brasiliani ha evidenziato come la mancata localizzazione possa </w:t>
      </w:r>
      <w:r>
        <w:rPr>
          <w:rFonts w:ascii="Times Roman" w:hAnsi="Times Roman"/>
          <w:b/>
          <w:bCs/>
          <w:lang w:val="it-IT"/>
        </w:rPr>
        <w:t>aumentare i costi di acquisizione del 300%</w:t>
      </w:r>
      <w:r>
        <w:rPr>
          <w:rFonts w:ascii="Times Roman" w:hAnsi="Times Roman"/>
          <w:lang w:val="it-IT"/>
        </w:rPr>
        <w:t xml:space="preserve">, trasformando la localizzazione da optional a prerequisito assoluto. Gli operatori che hanno replicato strategie europee in Brasile hanno registrato tassi di conversione drammaticamente inferiori. Il messaggio è stato chiaro: il mercato sudamericano premia chi parla portoghese, accetta pagamenti in </w:t>
      </w:r>
      <w:proofErr w:type="spellStart"/>
      <w:r>
        <w:rPr>
          <w:rFonts w:ascii="Times Roman" w:hAnsi="Times Roman"/>
          <w:lang w:val="it-IT"/>
        </w:rPr>
        <w:t>real</w:t>
      </w:r>
      <w:proofErr w:type="spellEnd"/>
      <w:r>
        <w:rPr>
          <w:rFonts w:ascii="Times Roman" w:hAnsi="Times Roman"/>
          <w:lang w:val="it-IT"/>
        </w:rPr>
        <w:t xml:space="preserve"> e comprende le </w:t>
      </w:r>
      <w:proofErr w:type="spellStart"/>
      <w:r>
        <w:rPr>
          <w:rFonts w:ascii="Times Roman" w:hAnsi="Times Roman"/>
          <w:lang w:val="it-IT"/>
        </w:rPr>
        <w:t>peculiarit</w:t>
      </w:r>
      <w:proofErr w:type="spellEnd"/>
      <w:r>
        <w:rPr>
          <w:rFonts w:ascii="Times Roman" w:hAnsi="Times Roman"/>
        </w:rPr>
        <w:t xml:space="preserve">à </w:t>
      </w:r>
      <w:r>
        <w:rPr>
          <w:rFonts w:ascii="Times Roman" w:hAnsi="Times Roman"/>
          <w:lang w:val="it-IT"/>
        </w:rPr>
        <w:t>normative locali.</w:t>
      </w:r>
    </w:p>
    <w:p w14:paraId="418B3158" w14:textId="77777777" w:rsidR="00423570" w:rsidRDefault="00000000">
      <w:pPr>
        <w:pStyle w:val="Didefault"/>
        <w:suppressAutoHyphens/>
        <w:spacing w:before="0" w:line="240" w:lineRule="auto"/>
        <w:rPr>
          <w:rFonts w:ascii="Times Roman" w:eastAsia="Times Roman" w:hAnsi="Times Roman" w:cs="Times Roman"/>
        </w:rPr>
      </w:pPr>
      <w:r>
        <w:rPr>
          <w:rFonts w:ascii="Times Roman" w:hAnsi="Times Roman"/>
          <w:lang w:val="it-IT"/>
        </w:rPr>
        <w:t>&lt;h2&gt;Europa, Africa e innovazione tecnologica&lt;/h2&gt;</w:t>
      </w:r>
    </w:p>
    <w:p w14:paraId="13F0C461" w14:textId="77777777" w:rsidR="00423570" w:rsidRDefault="00423570">
      <w:pPr>
        <w:pStyle w:val="Didefault"/>
        <w:suppressAutoHyphens/>
        <w:spacing w:before="0" w:line="240" w:lineRule="auto"/>
        <w:rPr>
          <w:rFonts w:ascii="Times Roman" w:eastAsia="Times Roman" w:hAnsi="Times Roman" w:cs="Times Roman"/>
        </w:rPr>
      </w:pPr>
    </w:p>
    <w:p w14:paraId="16AA74B0" w14:textId="2D189E98"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lang w:val="it-IT"/>
        </w:rPr>
        <w:t xml:space="preserve">Il panel dedicato all'Italia ha mostrato segnali di </w:t>
      </w:r>
      <w:r>
        <w:rPr>
          <w:rFonts w:ascii="Times Roman" w:hAnsi="Times Roman"/>
          <w:b/>
          <w:bCs/>
          <w:lang w:val="it-IT"/>
        </w:rPr>
        <w:t>fiducia ritrovata tra licenziatari e regolatore</w:t>
      </w:r>
      <w:r>
        <w:rPr>
          <w:rFonts w:ascii="Times Roman" w:hAnsi="Times Roman"/>
          <w:lang w:val="it-IT"/>
        </w:rPr>
        <w:t xml:space="preserve">, nonostante permangano </w:t>
      </w:r>
      <w:r w:rsidR="00696BF6">
        <w:rPr>
          <w:rFonts w:ascii="Times Roman" w:hAnsi="Times Roman"/>
          <w:lang w:val="it-IT"/>
        </w:rPr>
        <w:t>criticit</w:t>
      </w:r>
      <w:r w:rsidR="00696BF6">
        <w:rPr>
          <w:rFonts w:ascii="Times Roman" w:hAnsi="Times Roman" w:hint="eastAsia"/>
          <w:lang w:val="it-IT"/>
        </w:rPr>
        <w:t>à</w:t>
      </w:r>
      <w:r>
        <w:rPr>
          <w:rFonts w:ascii="Times Roman" w:hAnsi="Times Roman"/>
        </w:rPr>
        <w:t xml:space="preserve"> </w:t>
      </w:r>
      <w:r>
        <w:rPr>
          <w:rFonts w:ascii="Times Roman" w:hAnsi="Times Roman"/>
          <w:lang w:val="it-IT"/>
        </w:rPr>
        <w:t>legate alle decisioni passate. Gli esperti hanno evidenziato come la piena trasparenza possa essere raggiunta solo con modifiche normative significative, mentre diverse giurisdizioni europee si preparano ad aliquote fiscali effettive che si avvicinano al 50%. Dai Paesi Bassi alla Finlandia, l'</w:t>
      </w:r>
      <w:r w:rsidR="00696BF6">
        <w:rPr>
          <w:rFonts w:ascii="Times Roman" w:hAnsi="Times Roman"/>
          <w:lang w:val="it-IT"/>
        </w:rPr>
        <w:t>instabilit</w:t>
      </w:r>
      <w:r w:rsidR="00696BF6">
        <w:rPr>
          <w:rFonts w:ascii="Times Roman" w:hAnsi="Times Roman" w:hint="eastAsia"/>
          <w:lang w:val="it-IT"/>
        </w:rPr>
        <w:t>à</w:t>
      </w:r>
      <w:r>
        <w:rPr>
          <w:rFonts w:ascii="Times Roman" w:hAnsi="Times Roman"/>
        </w:rPr>
        <w:t xml:space="preserve"> </w:t>
      </w:r>
      <w:r>
        <w:rPr>
          <w:rFonts w:ascii="Times Roman" w:hAnsi="Times Roman"/>
          <w:lang w:val="it-IT"/>
        </w:rPr>
        <w:t xml:space="preserve">politica e le normative severe sulla </w:t>
      </w:r>
      <w:r w:rsidR="00696BF6">
        <w:rPr>
          <w:rFonts w:ascii="Times Roman" w:hAnsi="Times Roman"/>
          <w:lang w:val="it-IT"/>
        </w:rPr>
        <w:t>pubblicit</w:t>
      </w:r>
      <w:r w:rsidR="00696BF6">
        <w:rPr>
          <w:rFonts w:ascii="Times Roman" w:hAnsi="Times Roman" w:hint="eastAsia"/>
          <w:lang w:val="it-IT"/>
        </w:rPr>
        <w:t>à</w:t>
      </w:r>
      <w:r>
        <w:rPr>
          <w:rFonts w:ascii="Times Roman" w:hAnsi="Times Roman"/>
        </w:rPr>
        <w:t xml:space="preserve"> </w:t>
      </w:r>
      <w:r>
        <w:rPr>
          <w:rFonts w:ascii="Times Roman" w:hAnsi="Times Roman"/>
          <w:lang w:val="it-IT"/>
        </w:rPr>
        <w:t>creano incertezza per gli operatori del settore.</w:t>
      </w:r>
    </w:p>
    <w:p w14:paraId="244B474D" w14:textId="012E7653" w:rsidR="00423570" w:rsidRDefault="00000000">
      <w:pPr>
        <w:pStyle w:val="Didefault"/>
        <w:suppressAutoHyphens/>
        <w:spacing w:before="0" w:after="240" w:line="240" w:lineRule="auto"/>
        <w:rPr>
          <w:rFonts w:ascii="Times Roman" w:eastAsia="Times Roman" w:hAnsi="Times Roman" w:cs="Times Roman"/>
        </w:rPr>
      </w:pPr>
      <w:r>
        <w:rPr>
          <w:rFonts w:ascii="Times Roman" w:hAnsi="Times Roman"/>
          <w:lang w:val="it-IT"/>
        </w:rPr>
        <w:t>I mercati africani hanno sorpreso con i</w:t>
      </w:r>
      <w:r>
        <w:rPr>
          <w:rFonts w:ascii="Times Roman" w:hAnsi="Times Roman"/>
        </w:rPr>
        <w:t xml:space="preserve"> &lt;a </w:t>
      </w:r>
      <w:proofErr w:type="spellStart"/>
      <w:r>
        <w:rPr>
          <w:rFonts w:ascii="Times Roman" w:hAnsi="Times Roman"/>
        </w:rPr>
        <w:t>href</w:t>
      </w:r>
      <w:proofErr w:type="spellEnd"/>
      <w:r>
        <w:rPr>
          <w:rFonts w:ascii="Times Roman" w:hAnsi="Times Roman"/>
        </w:rPr>
        <w:t>="</w:t>
      </w:r>
      <w:proofErr w:type="spellStart"/>
      <w:r>
        <w:rPr>
          <w:rFonts w:ascii="Times Roman" w:hAnsi="Times Roman"/>
        </w:rPr>
        <w:t>https</w:t>
      </w:r>
      <w:proofErr w:type="spellEnd"/>
      <w:r>
        <w:rPr>
          <w:rFonts w:ascii="Times Roman" w:hAnsi="Times Roman"/>
        </w:rPr>
        <w:t>://sbcevents.com/sbc-summit-2025/" target="_</w:t>
      </w:r>
      <w:proofErr w:type="spellStart"/>
      <w:r>
        <w:rPr>
          <w:rFonts w:ascii="Times Roman" w:hAnsi="Times Roman"/>
        </w:rPr>
        <w:t>blank</w:t>
      </w:r>
      <w:proofErr w:type="spellEnd"/>
      <w:r>
        <w:rPr>
          <w:rFonts w:ascii="Times Roman" w:hAnsi="Times Roman"/>
        </w:rPr>
        <w:t>"&gt;</w:t>
      </w:r>
      <w:proofErr w:type="spellStart"/>
      <w:r>
        <w:rPr>
          <w:rFonts w:ascii="Times Roman" w:hAnsi="Times Roman"/>
        </w:rPr>
        <w:t>dati</w:t>
      </w:r>
      <w:proofErr w:type="spellEnd"/>
      <w:r>
        <w:rPr>
          <w:rFonts w:ascii="Times Roman" w:hAnsi="Times Roman"/>
        </w:rPr>
        <w:t xml:space="preserve"> </w:t>
      </w:r>
      <w:proofErr w:type="spellStart"/>
      <w:r>
        <w:rPr>
          <w:rFonts w:ascii="Times Roman" w:hAnsi="Times Roman"/>
        </w:rPr>
        <w:t>presentati</w:t>
      </w:r>
      <w:proofErr w:type="spellEnd"/>
      <w:r>
        <w:rPr>
          <w:rFonts w:ascii="Times Roman" w:hAnsi="Times Roman"/>
        </w:rPr>
        <w:t xml:space="preserve"> </w:t>
      </w:r>
      <w:r>
        <w:rPr>
          <w:rFonts w:ascii="Times Roman" w:hAnsi="Times Roman"/>
          <w:lang w:val="it-IT"/>
        </w:rPr>
        <w:t>al SBC Lisbona 2025</w:t>
      </w:r>
      <w:r>
        <w:rPr>
          <w:rFonts w:ascii="Times Roman" w:hAnsi="Times Roman"/>
        </w:rPr>
        <w:t xml:space="preserve">&lt;/a&gt; </w:t>
      </w:r>
      <w:r>
        <w:rPr>
          <w:rFonts w:ascii="Times Roman" w:hAnsi="Times Roman"/>
          <w:lang w:val="it-IT"/>
        </w:rPr>
        <w:t>visto che hanno evidenziato un incremento del 12.5%, superiore anche a quelli</w:t>
      </w:r>
      <w:r>
        <w:rPr>
          <w:rFonts w:ascii="Times Roman" w:hAnsi="Times Roman"/>
        </w:rPr>
        <w:t xml:space="preserve"> </w:t>
      </w:r>
      <w:proofErr w:type="spellStart"/>
      <w:r w:rsidR="00696BF6">
        <w:rPr>
          <w:rFonts w:ascii="Times Roman" w:hAnsi="Times Roman"/>
        </w:rPr>
        <w:t>latino-america</w:t>
      </w:r>
      <w:r w:rsidR="00696BF6">
        <w:rPr>
          <w:rFonts w:ascii="Times Roman" w:hAnsi="Times Roman" w:hint="eastAsia"/>
        </w:rPr>
        <w:t>n</w:t>
      </w:r>
      <w:proofErr w:type="spellEnd"/>
      <w:r>
        <w:rPr>
          <w:rFonts w:ascii="Times Roman" w:hAnsi="Times Roman"/>
          <w:lang w:val="it-IT"/>
        </w:rPr>
        <w:t>i</w:t>
      </w:r>
      <w:r>
        <w:rPr>
          <w:rFonts w:ascii="Times Roman" w:hAnsi="Times Roman"/>
          <w:lang w:val="fr-FR"/>
        </w:rPr>
        <w:t>. L'</w:t>
      </w:r>
      <w:proofErr w:type="spellStart"/>
      <w:r>
        <w:rPr>
          <w:rFonts w:ascii="Times Roman" w:hAnsi="Times Roman"/>
          <w:b/>
          <w:bCs/>
          <w:lang w:val="en-US"/>
        </w:rPr>
        <w:t>ecosistema</w:t>
      </w:r>
      <w:proofErr w:type="spellEnd"/>
      <w:r>
        <w:rPr>
          <w:rFonts w:ascii="Times Roman" w:hAnsi="Times Roman"/>
          <w:b/>
          <w:bCs/>
          <w:lang w:val="en-US"/>
        </w:rPr>
        <w:t xml:space="preserve"> mobile-first</w:t>
      </w:r>
      <w:r>
        <w:rPr>
          <w:rFonts w:ascii="Times Roman" w:hAnsi="Times Roman"/>
          <w:lang w:val="it-IT"/>
        </w:rPr>
        <w:t xml:space="preserve"> e il dominio del mobile money caratterizzano questo continente in rapida evoluzione. L'attenzione riservata all'Africa ha rappresentato una delle </w:t>
      </w:r>
      <w:r w:rsidR="00696BF6">
        <w:rPr>
          <w:rFonts w:ascii="Times Roman" w:hAnsi="Times Roman"/>
          <w:lang w:val="it-IT"/>
        </w:rPr>
        <w:t>novit</w:t>
      </w:r>
      <w:r w:rsidR="00696BF6">
        <w:rPr>
          <w:rFonts w:ascii="Times Roman" w:hAnsi="Times Roman" w:hint="eastAsia"/>
          <w:lang w:val="it-IT"/>
        </w:rPr>
        <w:t>à</w:t>
      </w:r>
      <w:r>
        <w:rPr>
          <w:rFonts w:ascii="Times Roman" w:hAnsi="Times Roman"/>
        </w:rPr>
        <w:t xml:space="preserve"> pi</w:t>
      </w:r>
      <w:r>
        <w:rPr>
          <w:rFonts w:ascii="Times Roman" w:hAnsi="Times Roman"/>
          <w:lang w:val="it-IT"/>
        </w:rPr>
        <w:t>ù significative, con panel che hanno presentato un continente che sta saltando l'era delle carte di credito per abbracciare direttamente i pagamenti digitali.</w:t>
      </w:r>
    </w:p>
    <w:p w14:paraId="76FB13C2" w14:textId="68F56074" w:rsidR="00423570" w:rsidRDefault="00000000">
      <w:pPr>
        <w:pStyle w:val="Didefault"/>
        <w:suppressAutoHyphens/>
        <w:spacing w:before="0" w:after="240" w:line="240" w:lineRule="auto"/>
      </w:pPr>
      <w:r>
        <w:rPr>
          <w:rFonts w:ascii="Times Roman" w:hAnsi="Times Roman"/>
          <w:lang w:val="it-IT"/>
        </w:rPr>
        <w:lastRenderedPageBreak/>
        <w:t xml:space="preserve">L'AI Academy con Randi Zuckerberg ha segnato il passaggio </w:t>
      </w:r>
      <w:r>
        <w:rPr>
          <w:rFonts w:ascii="Times Roman" w:hAnsi="Times Roman"/>
          <w:b/>
          <w:bCs/>
          <w:lang w:val="it-IT"/>
        </w:rPr>
        <w:t>dalla teoria alle applicazioni concrete</w:t>
      </w:r>
      <w:r>
        <w:rPr>
          <w:rFonts w:ascii="Times Roman" w:hAnsi="Times Roman"/>
          <w:lang w:val="it-IT"/>
        </w:rPr>
        <w:t xml:space="preserve">, con casi studio che documentano riduzioni dei costi operativi fino al 60%. Il focus si è concentrato su implementazioni tangibili, </w:t>
      </w:r>
      <w:proofErr w:type="spellStart"/>
      <w:r>
        <w:rPr>
          <w:rFonts w:ascii="Times Roman" w:hAnsi="Times Roman"/>
          <w:lang w:val="it-IT"/>
        </w:rPr>
        <w:t>RegTech</w:t>
      </w:r>
      <w:proofErr w:type="spellEnd"/>
      <w:r>
        <w:rPr>
          <w:rFonts w:ascii="Times Roman" w:hAnsi="Times Roman"/>
          <w:lang w:val="it-IT"/>
        </w:rPr>
        <w:t xml:space="preserve"> e automazione dei processi di compliance. La Player </w:t>
      </w:r>
      <w:proofErr w:type="spellStart"/>
      <w:r>
        <w:rPr>
          <w:rFonts w:ascii="Times Roman" w:hAnsi="Times Roman"/>
          <w:lang w:val="it-IT"/>
        </w:rPr>
        <w:t>Protection</w:t>
      </w:r>
      <w:proofErr w:type="spellEnd"/>
      <w:r>
        <w:rPr>
          <w:rFonts w:ascii="Times Roman" w:hAnsi="Times Roman"/>
          <w:lang w:val="it-IT"/>
        </w:rPr>
        <w:t xml:space="preserve"> Zone ha registrato affluenza record, confermando come la </w:t>
      </w:r>
      <w:r w:rsidR="00696BF6">
        <w:rPr>
          <w:rFonts w:ascii="Times Roman" w:hAnsi="Times Roman"/>
          <w:lang w:val="it-IT"/>
        </w:rPr>
        <w:t>sostenibilit</w:t>
      </w:r>
      <w:r w:rsidR="00696BF6">
        <w:rPr>
          <w:rFonts w:ascii="Times Roman" w:hAnsi="Times Roman" w:hint="eastAsia"/>
          <w:lang w:val="it-IT"/>
        </w:rPr>
        <w:t>à</w:t>
      </w:r>
      <w:r>
        <w:rPr>
          <w:rFonts w:ascii="Times Roman" w:hAnsi="Times Roman"/>
        </w:rPr>
        <w:t xml:space="preserve"> </w:t>
      </w:r>
      <w:r>
        <w:rPr>
          <w:rFonts w:ascii="Times Roman" w:hAnsi="Times Roman"/>
          <w:lang w:val="it-IT"/>
        </w:rPr>
        <w:t xml:space="preserve">passi attraverso strategie di </w:t>
      </w:r>
      <w:proofErr w:type="spellStart"/>
      <w:r>
        <w:rPr>
          <w:rFonts w:ascii="Times Roman" w:hAnsi="Times Roman"/>
          <w:lang w:val="it-IT"/>
        </w:rPr>
        <w:t>retention</w:t>
      </w:r>
      <w:proofErr w:type="spellEnd"/>
      <w:r>
        <w:rPr>
          <w:rFonts w:ascii="Times Roman" w:hAnsi="Times Roman"/>
          <w:lang w:val="it-IT"/>
        </w:rPr>
        <w:t xml:space="preserve"> sofisticate che trasformano gli investimenti in </w:t>
      </w:r>
      <w:proofErr w:type="spellStart"/>
      <w:r>
        <w:rPr>
          <w:rFonts w:ascii="Times Roman" w:hAnsi="Times Roman"/>
          <w:lang w:val="it-IT"/>
        </w:rPr>
        <w:t>responsible</w:t>
      </w:r>
      <w:proofErr w:type="spellEnd"/>
      <w:r>
        <w:rPr>
          <w:rFonts w:ascii="Times Roman" w:hAnsi="Times Roman"/>
          <w:lang w:val="it-IT"/>
        </w:rPr>
        <w:t xml:space="preserve"> gambling in vantaggi competitivi misurabili.</w:t>
      </w:r>
    </w:p>
    <w:sectPr w:rsidR="00423570">
      <w:headerReference w:type="default" r:id="rId6"/>
      <w:footerReference w:type="default" r:id="rId7"/>
      <w:pgSz w:w="11900" w:h="16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EA64" w14:textId="77777777" w:rsidR="0044758B" w:rsidRDefault="0044758B">
      <w:r>
        <w:separator/>
      </w:r>
    </w:p>
  </w:endnote>
  <w:endnote w:type="continuationSeparator" w:id="0">
    <w:p w14:paraId="51B5C8A1" w14:textId="77777777" w:rsidR="0044758B" w:rsidRDefault="0044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BD68" w14:textId="77777777" w:rsidR="00423570" w:rsidRDefault="00000000">
    <w:pPr>
      <w:pStyle w:val="Intestazioneepidipagina"/>
      <w:tabs>
        <w:tab w:val="center" w:pos="4510"/>
      </w:tabs>
    </w:pPr>
    <w:r>
      <w:t>Piè di pagina</w:t>
    </w:r>
    <w:r>
      <w:tab/>
    </w:r>
    <w:r>
      <w:tab/>
    </w:r>
    <w:r>
      <w:fldChar w:fldCharType="begin"/>
    </w:r>
    <w:r>
      <w:instrText xml:space="preserve"> PAGE </w:instrText>
    </w:r>
    <w:r>
      <w:fldChar w:fldCharType="separate"/>
    </w:r>
    <w:r w:rsidR="00696B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A0E3" w14:textId="77777777" w:rsidR="0044758B" w:rsidRDefault="0044758B">
      <w:r>
        <w:separator/>
      </w:r>
    </w:p>
  </w:footnote>
  <w:footnote w:type="continuationSeparator" w:id="0">
    <w:p w14:paraId="3A1F17C9" w14:textId="77777777" w:rsidR="0044758B" w:rsidRDefault="00447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50BA" w14:textId="77777777" w:rsidR="00423570" w:rsidRDefault="0042357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570"/>
    <w:rsid w:val="00423570"/>
    <w:rsid w:val="0044758B"/>
    <w:rsid w:val="00696BF6"/>
    <w:rsid w:val="00C36C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F5D7791"/>
  <w15:docId w15:val="{955E7F46-6733-E74B-811B-3E27A9D6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idefault">
    <w:name w:val="Di default"/>
    <w:pPr>
      <w:spacing w:before="160" w:line="288" w:lineRule="auto"/>
    </w:pPr>
    <w:rPr>
      <w:rFonts w:ascii="Helvetica Neue" w:hAnsi="Helvetica Neue" w:cs="Arial Unicode MS"/>
      <w:color w:val="000000"/>
      <w:sz w:val="24"/>
      <w:szCs w:val="24"/>
      <w:lang w:val="pt-PT"/>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30000"/>
          </a:lnSpc>
          <a:spcBef>
            <a:spcPts val="1200"/>
          </a:spcBef>
          <a:spcAft>
            <a:spcPts val="0"/>
          </a:spcAft>
          <a:buClrTx/>
          <a:buSzTx/>
          <a:buFontTx/>
          <a:buNone/>
          <a:tabLst/>
          <a:defRPr kumimoji="0" sz="1200" b="0" i="0" u="none" strike="noStrike" cap="none" spc="36"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Alberto Lattuada</cp:lastModifiedBy>
  <cp:revision>2</cp:revision>
  <dcterms:created xsi:type="dcterms:W3CDTF">2025-09-23T14:20:00Z</dcterms:created>
  <dcterms:modified xsi:type="dcterms:W3CDTF">2025-09-23T14:23:00Z</dcterms:modified>
</cp:coreProperties>
</file>