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7C56" w14:textId="2D945E74" w:rsidR="004F4579" w:rsidRDefault="00000000">
      <w:r>
        <w:t xml:space="preserve">SEO Title: SiGMA Roma 2025: 30mila delegati per la </w:t>
      </w:r>
      <w:proofErr w:type="spellStart"/>
      <w:r>
        <w:t>riforma</w:t>
      </w:r>
      <w:proofErr w:type="spellEnd"/>
      <w:r>
        <w:t xml:space="preserve"> del gaming</w:t>
      </w:r>
    </w:p>
    <w:p w14:paraId="6BC43659" w14:textId="2FF85864" w:rsidR="004F4579" w:rsidRDefault="00000000">
      <w:r>
        <w:t xml:space="preserve">Meta description: SiGMA Central Europe debutta a Roma il 3-6 novembre. L'evento precede la scadenza ADM del 12 novembre che ridisegna il mercato </w:t>
      </w:r>
      <w:proofErr w:type="spellStart"/>
      <w:r>
        <w:t>italiano</w:t>
      </w:r>
      <w:proofErr w:type="spellEnd"/>
      <w:r>
        <w:t xml:space="preserve"> da 16 </w:t>
      </w:r>
      <w:proofErr w:type="spellStart"/>
      <w:r>
        <w:t>miliardi</w:t>
      </w:r>
      <w:proofErr w:type="spellEnd"/>
      <w:r>
        <w:t>.</w:t>
      </w:r>
    </w:p>
    <w:p w14:paraId="1FA7FA6A" w14:textId="6563BC68" w:rsidR="004F4579" w:rsidRDefault="00000000">
      <w:r>
        <w:t xml:space="preserve">Caption: Il gaming europeo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ritrova</w:t>
      </w:r>
      <w:proofErr w:type="spellEnd"/>
      <w:r>
        <w:t xml:space="preserve"> a Roma</w:t>
      </w:r>
    </w:p>
    <w:p w14:paraId="1A8EF909" w14:textId="3E3FD7F2" w:rsidR="004F4579" w:rsidRDefault="00000000">
      <w:r>
        <w:t>&lt;strong&gt;INTRO&lt;/strong&gt;</w:t>
      </w:r>
    </w:p>
    <w:p w14:paraId="36A910F6" w14:textId="324C238D" w:rsidR="004F4579" w:rsidRDefault="00000000">
      <w:r>
        <w:t xml:space="preserve">SiGMA Group ha confermato il trasferimento permanente di SiGMA Central Europe a Roma. L'appuntamento è fissato dal 3 al 6 novembre 2025 alla Fiera Roma. L'evento precede di pochi giorni la scadenza normativa ADM che </w:t>
      </w:r>
      <w:proofErr w:type="spellStart"/>
      <w:r>
        <w:t>ridefinirà</w:t>
      </w:r>
      <w:proofErr w:type="spellEnd"/>
      <w:r>
        <w:t xml:space="preserve"> il </w:t>
      </w:r>
      <w:proofErr w:type="spellStart"/>
      <w:r>
        <w:t>settore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.</w:t>
      </w:r>
    </w:p>
    <w:p w14:paraId="07D359D4" w14:textId="2DFC9A63" w:rsidR="004F4579" w:rsidRDefault="00000000">
      <w:r>
        <w:t xml:space="preserve">&lt;h2&gt;Trentamila presenze </w:t>
      </w:r>
      <w:proofErr w:type="spellStart"/>
      <w:r>
        <w:t>attese</w:t>
      </w:r>
      <w:proofErr w:type="spellEnd"/>
      <w:r>
        <w:t xml:space="preserve"> alla Fiera Roma&lt;/h2&gt;</w:t>
      </w:r>
    </w:p>
    <w:p w14:paraId="27FF74FC" w14:textId="4EBB8A5A" w:rsidR="004F4579" w:rsidRDefault="00000000">
      <w:r>
        <w:t xml:space="preserve">L'evento si estenderà su &lt;strong&gt;100mila metri quadrati della Fiera Roma&lt;/strong&gt;. Secondo le previsioni degli organizzatori, sono attesi oltre 30mila delegati internazionali, 1.200 espositori e 550 relatori provenienti da tutto il mondo. La struttura offre dieci padiglioni senza pilastri e collegamenti diretti con l'aeroporto di Fiumicino tramite un treno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impiega</w:t>
      </w:r>
      <w:proofErr w:type="spellEnd"/>
      <w:r>
        <w:t xml:space="preserve"> otto </w:t>
      </w:r>
      <w:proofErr w:type="spellStart"/>
      <w:r>
        <w:t>minuti</w:t>
      </w:r>
      <w:proofErr w:type="spellEnd"/>
      <w:r>
        <w:t>.</w:t>
      </w:r>
    </w:p>
    <w:p w14:paraId="06B601AF" w14:textId="3BB5F762" w:rsidR="004F4579" w:rsidRDefault="00000000">
      <w:r>
        <w:t xml:space="preserve">Il mercato italiano vale 16 miliardi di euro di fatturato complessivo. L'Italia è il &lt;strong&gt;secondo mercato europeo del gaming&lt;/strong&gt;. Attualmente solo il 25% delle entrate proviene dal canale online. </w:t>
      </w:r>
      <w:r w:rsidR="00D42827">
        <w:t>Si</w:t>
      </w:r>
      <w:r>
        <w:t xml:space="preserve">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crescita</w:t>
      </w:r>
      <w:proofErr w:type="spellEnd"/>
      <w:r>
        <w:t xml:space="preserve"> del segmento digitale da 2,89 miliardi nel 2024 a 3,78 miliardi entro il 2029, con un CAGR del 5,52%.</w:t>
      </w:r>
    </w:p>
    <w:p w14:paraId="203E7AD5" w14:textId="4EE03B00" w:rsidR="004F4579" w:rsidRDefault="00000000">
      <w:r>
        <w:t>Tra i relatori confermati figurano Pontus Lindwall, presidente e CEO di Betsson AB, Vitali Matsukevich, COO di SOFTSWISS, e Ivan Filletti, CEO di GamingMalta. Gli espositori includono &lt;strong&gt;fornitori di piattaforme come BetConstruct e Softswiss&lt;/strong&gt;, specialisti dei pagamenti come Neosurf e MiFinity, e reti di affiliazione tra cui 1xBet Partners e N1 Partners.</w:t>
      </w:r>
    </w:p>
    <w:p w14:paraId="10BD55D2" w14:textId="0B444505" w:rsidR="004F4579" w:rsidRDefault="00000000">
      <w:r>
        <w:t xml:space="preserve">&lt;h2&gt;La riforma ADM </w:t>
      </w:r>
      <w:proofErr w:type="spellStart"/>
      <w:r>
        <w:t>chiude</w:t>
      </w:r>
      <w:proofErr w:type="spellEnd"/>
      <w:r>
        <w:t xml:space="preserve"> il 12 </w:t>
      </w:r>
      <w:proofErr w:type="spellStart"/>
      <w:r>
        <w:t>novembre</w:t>
      </w:r>
      <w:proofErr w:type="spellEnd"/>
      <w:r>
        <w:t>&lt;/h2&gt;</w:t>
      </w:r>
    </w:p>
    <w:p w14:paraId="60C9C3D2" w14:textId="5518985F" w:rsidR="004F4579" w:rsidRDefault="00000000">
      <w:r>
        <w:t xml:space="preserve">L'Agenzia delle Dogane e dei Monopoli completerà entro il 12 novembre l'assegnazione delle nuove licenze online, pochi giorni dopo &lt;a href="https://sigma.world/it/europe/" target="_blank"&gt;la conclusione di SiGMA Roma&lt;/a&gt;. Il numero di concessioni scende da oltre 80 a un massimo di 52. Ogni licenza costa &lt;strong&gt;7 milioni di euro per </w:t>
      </w:r>
      <w:proofErr w:type="spellStart"/>
      <w:r>
        <w:t>nove</w:t>
      </w:r>
      <w:proofErr w:type="spellEnd"/>
      <w:r>
        <w:t xml:space="preserve"> anni&lt;/strong&gt; di </w:t>
      </w:r>
      <w:proofErr w:type="spellStart"/>
      <w:r>
        <w:t>operatività</w:t>
      </w:r>
      <w:proofErr w:type="spellEnd"/>
      <w:r>
        <w:t>.</w:t>
      </w:r>
    </w:p>
    <w:p w14:paraId="28B75F68" w14:textId="77777777" w:rsidR="00D42827" w:rsidRDefault="00000000">
      <w:r>
        <w:t xml:space="preserve">I concessionari uscenti devono &lt;strong&gt;cessare completamente le attività entro il 17 novembre 2025&lt;/strong&gt;. Prima di quella data, i nuovi licenziatari possono acquisire i database dei giocatori delle aziende che lasciano il mercato italiano, come previsto dalla procedura ADM. Questa finestra temporale crea opportunità di consolidamento per i vincitori delle concessioni e degli asset </w:t>
      </w:r>
      <w:proofErr w:type="spellStart"/>
      <w:r>
        <w:t>disponibili</w:t>
      </w:r>
      <w:proofErr w:type="spellEnd"/>
      <w:r>
        <w:t>.</w:t>
      </w:r>
    </w:p>
    <w:p w14:paraId="6F2E7A8A" w14:textId="5C6BA575" w:rsidR="004F4579" w:rsidRDefault="00000000">
      <w:r>
        <w:lastRenderedPageBreak/>
        <w:t xml:space="preserve">La </w:t>
      </w:r>
      <w:proofErr w:type="spellStart"/>
      <w:r>
        <w:t>concentrazione</w:t>
      </w:r>
      <w:proofErr w:type="spellEnd"/>
      <w:r>
        <w:t xml:space="preserve"> del </w:t>
      </w:r>
      <w:proofErr w:type="spellStart"/>
      <w:r>
        <w:t>mercato</w:t>
      </w:r>
      <w:proofErr w:type="spellEnd"/>
      <w:r>
        <w:t xml:space="preserve"> </w:t>
      </w:r>
      <w:proofErr w:type="spellStart"/>
      <w:r>
        <w:t>costringerà</w:t>
      </w:r>
      <w:proofErr w:type="spellEnd"/>
      <w:r>
        <w:t xml:space="preserve"> i vincitori delle licenze a scalare rapidamente le operazioni per servire i giocatori rimasti senza operatore. Chi esce cercherà di monetizzare tecnologie e asset prima della scadenza definitiva. La scelta di Roma come sede permanente dell'evento europeo segna un &lt;strong&gt;cambio strategico rispetto a Malta&lt;/strong&gt;, storico hub del settore.</w:t>
      </w:r>
    </w:p>
    <w:sectPr w:rsidR="004F4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036940">
    <w:abstractNumId w:val="8"/>
  </w:num>
  <w:num w:numId="2" w16cid:durableId="2104759272">
    <w:abstractNumId w:val="6"/>
  </w:num>
  <w:num w:numId="3" w16cid:durableId="1679191155">
    <w:abstractNumId w:val="5"/>
  </w:num>
  <w:num w:numId="4" w16cid:durableId="1806656315">
    <w:abstractNumId w:val="4"/>
  </w:num>
  <w:num w:numId="5" w16cid:durableId="1004286627">
    <w:abstractNumId w:val="7"/>
  </w:num>
  <w:num w:numId="6" w16cid:durableId="110782622">
    <w:abstractNumId w:val="3"/>
  </w:num>
  <w:num w:numId="7" w16cid:durableId="386151800">
    <w:abstractNumId w:val="2"/>
  </w:num>
  <w:num w:numId="8" w16cid:durableId="1821774403">
    <w:abstractNumId w:val="1"/>
  </w:num>
  <w:num w:numId="9" w16cid:durableId="145039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579"/>
    <w:rsid w:val="00542AB3"/>
    <w:rsid w:val="00AA1D8D"/>
    <w:rsid w:val="00B47730"/>
    <w:rsid w:val="00CB0664"/>
    <w:rsid w:val="00D42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0B4B3"/>
  <w14:defaultImageDpi w14:val="300"/>
  <w15:docId w15:val="{7977366B-8EBB-7B4D-9C2D-0E4D02A3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Lattuada</cp:lastModifiedBy>
  <cp:revision>2</cp:revision>
  <dcterms:created xsi:type="dcterms:W3CDTF">2013-12-23T23:15:00Z</dcterms:created>
  <dcterms:modified xsi:type="dcterms:W3CDTF">2025-10-22T06:06:00Z</dcterms:modified>
  <cp:category/>
</cp:coreProperties>
</file>