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5840" w:h="12240" w:orient="landscape"/>
      <w:pgMar w:top="720" w:right="720" w:bottom="720" w:left="720" w:header="undefined" w:footer="undefined" w:gutter="undefined"/>
    </w:sectPr>
    <w:p>
      <w:pPr>
        <w:spacing w:lineRule="auto"/>
      </w:pPr>
      <w:r>
        <w:rPr/>
        <w:t xml:space="preserve">             </w:t>
      </w:r>
    </w:p>
    <w:p>
      <w:pPr>
        <w:pStyle w:val="Heading3"/>
        <w:spacing w:lineRule="auto"/>
      </w:pPr>
      <w:r>
        <w:rPr>
          <w:color w:val="000000"/>
        </w:rPr>
        <w:t xml:space="preserve">ENTRADA ÁGUA D2 NA BACIA BRUTA:</w:t>
      </w:r>
    </w:p>
    <w:p>
      <w:pPr>
        <w:spacing w:lineRule="auto"/>
      </w:pPr>
      <w:r>
        <w:rPr/>
        <w:t xml:space="preserve">O monitoramento abrange 119 amostras desde 2000 até início de 2026, focando na entrada de água D2 na bacia bruta da área minerada, com histórico abrangente até recente. A referência operacional é 2009, marco do início da lavra, servindo para comparação dos comportamentos pré e pós-implantação da atividade mineradora.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/>
        <w:t xml:space="preserve">Antes de 2009, os dados disponíveis indicam valores cerce baixos e estáveis para parâmetros como pH, acidez e metais dissolvidos, com poucas amostras e resultados dispersos. O pH pré-2009 em registros mais antigos apresenta valores acima de 4 e até 6, com acidez baixa, metais de menor concentração e condutividade reduzida.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/>
        <w:t xml:space="preserve">Após 2009, observa-se clara ruptura estrutural no perfil químico da água: houve aumento persistente e expressivo da acidez, com valores que iniciam ao redor de centenas e escalam para dezenas de milhares μeq/L; o pH apresenta forte redução e estabiliza em torno de 2 a 3, indicando acidez elevada constante. Metais dissolvidos como alumínio, ferro, manganês e zinco demonstram incremento marcante em concentração, muitas vezes em múltiplos valores superiores aos registrados no período anterior à lavra. A condutividade também acompanha a tendência de aumento, indicando maior carga iônica.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/>
        <w:t xml:space="preserve">O comportamento do período filtrado pelo usuário, incluindo os dados mais recentes até 2026, segue esse padrão pós-2009, com níveis elevados e estáveis de acidez, baixos valores de pH, e concentrações substanciais de metais dissolvidos e sulfatos. Não se observa retorno a níveis mais baixos nem significativa diversificação da variabilidade dentro desse intervalo temporal.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/>
        <w:t xml:space="preserve">No aspecto de conformidade legal, os dados indicam não conformidade clara para parâmetros importantes segundo a Resolução CONAMA nº 430/2011 e Consema nº 181/2021: pH está sistematicamente abaixo do mínimo legal (5 a 6), e metais como ferro dissolvido, manganês dissolvido, cobre dissolvido e zinco total frequentemente excedem os limites máximos estabelecidos. Essas não conformidades ocorrem em grande parte do histórico pós-2009 e também no período recente avaliado, refletindo impacto consistente da atividade mineradora.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/>
        <w:t xml:space="preserve">Dada a persistência dessas concentrações elevadas, há tendência de manutenção deste estado químico ácido e metalizado na água da área monitorada, com potencial agravamento se as condições que promovem a acidificação e liberação metálica persistirem, sem evidências de estabilização ou melhoria espontânea.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/>
        <w:t xml:space="preserve">Recomenda-se atenção prioritária ao acompanhamento contínuo dos parâmetros acidez, pH, ferro dissolvido, manganês dissolvido, cobre dissolvido e zinco total, que são indicativos claros da influência da lavra e apresentam risco ambiental. Reamostragem frequente e análise detalhada devem ser mantidas para monitorar a evolução e subsidiar medidas mitigadoras. Alertas são justificados pela não conformidade regulatória e pela ruptura estruturante observada, indicando que a lavra impactou significativamente a qualidade da água subterrânea no ponto analisado.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/>
        <w:t xml:space="preserve">Conclui-se que o início da lavra em 2009 representou uma mudança estrutural na qualidade da água captada, com aumento persistente da acidez e da concentração dos metais dissolvidos, configurando influência mensurável e contínua da atividade mineradora no padrão químico do aquífero monitorado. A manutenção do padrão atual sugere cenário de agravamento ambiental, exigindo gestão e controle rigorosos.</w:t>
      </w:r>
    </w:p>
    <w:p>
      <w:pPr>
        <w:spacing w:lineRule="auto"/>
      </w:pPr>
      <w:r>
        <w:rPr/>
        <w:drawing>
          <wp:inline distB="0" distL="0" distR="0" distT="0">
            <wp:extent cx="5715000" cy="3626827"/>
            <wp:effectExtent b="0" l="0" r="0" t="0"/>
            <wp:docPr id="2" name="image-OctU_m3daydf8Q_6mMVN2.png"/>
            <a:graphic>
              <a:graphicData uri="http://schemas.openxmlformats.org/drawingml/2006/picture">
                <pic:pic>
                  <pic:nvPicPr>
                    <pic:cNvPr id="2" name="image-OctU_m3daydf8Q_6mMVN2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26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715000" cy="3626827"/>
            <wp:effectExtent b="0" l="0" r="0" t="0"/>
            <wp:docPr id="4" name="image-acmTq2DQSI7v12QqUjuHi.png"/>
            <a:graphic>
              <a:graphicData uri="http://schemas.openxmlformats.org/drawingml/2006/picture">
                <pic:pic>
                  <pic:nvPicPr>
                    <pic:cNvPr id="4" name="image-acmTq2DQSI7v12QqUjuHi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26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715000" cy="3626827"/>
            <wp:effectExtent b="0" l="0" r="0" t="0"/>
            <wp:docPr id="6" name="image-8DtGsPWJzFeM9ViPwpdCi.png"/>
            <a:graphic>
              <a:graphicData uri="http://schemas.openxmlformats.org/drawingml/2006/picture">
                <pic:pic>
                  <pic:nvPicPr>
                    <pic:cNvPr id="6" name="image-8DtGsPWJzFeM9ViPwpdCi.png" descr="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26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715000" cy="3626827"/>
            <wp:effectExtent b="0" l="0" r="0" t="0"/>
            <wp:docPr id="8" name="image-jKAbupAX3ERXLntQFOLC8.png"/>
            <a:graphic>
              <a:graphicData uri="http://schemas.openxmlformats.org/drawingml/2006/picture">
                <pic:pic>
                  <pic:nvPicPr>
                    <pic:cNvPr id="8" name="image-jKAbupAX3ERXLntQFOLC8.png" descr="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26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715000" cy="3626827"/>
            <wp:effectExtent b="0" l="0" r="0" t="0"/>
            <wp:docPr id="10" name="image-G5l0oQ10A4hVwEWJH8i62.png"/>
            <a:graphic>
              <a:graphicData uri="http://schemas.openxmlformats.org/drawingml/2006/picture">
                <pic:pic>
                  <pic:nvPicPr>
                    <pic:cNvPr id="10" name="image-G5l0oQ10A4hVwEWJH8i62.png" descr=""/>
                    <pic:cNvPicPr/>
                  </pic:nvPicPr>
                  <pic:blipFill>
                    <a:blip r:embed="rId1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26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715000" cy="3626827"/>
            <wp:effectExtent b="0" l="0" r="0" t="0"/>
            <wp:docPr id="12" name="image--cJQVuAseUsDBkBEkgHyk.png"/>
            <a:graphic>
              <a:graphicData uri="http://schemas.openxmlformats.org/drawingml/2006/picture">
                <pic:pic>
                  <pic:nvPicPr>
                    <pic:cNvPr id="12" name="image--cJQVuAseUsDBkBEkgHyk.png" descr=""/>
                    <pic:cNvPicPr/>
                  </pic:nvPicPr>
                  <pic:blipFill>
                    <a:blip r:embed="rId1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26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715000" cy="3626827"/>
            <wp:effectExtent b="0" l="0" r="0" t="0"/>
            <wp:docPr id="14" name="image-L0PoQOJV385ZKEdjlElZn.png"/>
            <a:graphic>
              <a:graphicData uri="http://schemas.openxmlformats.org/drawingml/2006/picture">
                <pic:pic>
                  <pic:nvPicPr>
                    <pic:cNvPr id="14" name="image-L0PoQOJV385ZKEdjlElZn.png" descr=""/>
                    <pic:cNvPicPr/>
                  </pic:nvPicPr>
                  <pic:blipFill>
                    <a:blip r:embed="rId1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26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715000" cy="3626827"/>
            <wp:effectExtent b="0" l="0" r="0" t="0"/>
            <wp:docPr id="16" name="image-obXG0QpExc8tJK_TrQ1PA.png"/>
            <a:graphic>
              <a:graphicData uri="http://schemas.openxmlformats.org/drawingml/2006/picture">
                <pic:pic>
                  <pic:nvPicPr>
                    <pic:cNvPr id="16" name="image-obXG0QpExc8tJK_TrQ1PA.png" descr=""/>
                    <pic:cNvPicPr/>
                  </pic:nvPicPr>
                  <pic:blipFill>
                    <a:blip r:embed="rId2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26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715000" cy="3626827"/>
            <wp:effectExtent b="0" l="0" r="0" t="0"/>
            <wp:docPr id="18" name="image-AeeVrAG4wnMSp3Gnp--Kq.png"/>
            <a:graphic>
              <a:graphicData uri="http://schemas.openxmlformats.org/drawingml/2006/picture">
                <pic:pic>
                  <pic:nvPicPr>
                    <pic:cNvPr id="18" name="image-AeeVrAG4wnMSp3Gnp--Kq.png" descr=""/>
                    <pic:cNvPicPr/>
                  </pic:nvPicPr>
                  <pic:blipFill>
                    <a:blip r:embed="rId2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26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715000" cy="3626827"/>
            <wp:effectExtent b="0" l="0" r="0" t="0"/>
            <wp:docPr id="20" name="image-dk5wlWfE6RPha-wnwzB0X.png"/>
            <a:graphic>
              <a:graphicData uri="http://schemas.openxmlformats.org/drawingml/2006/picture">
                <pic:pic>
                  <pic:nvPicPr>
                    <pic:cNvPr id="20" name="image-dk5wlWfE6RPha-wnwzB0X.png" descr=""/>
                    <pic:cNvPicPr/>
                  </pic:nvPicPr>
                  <pic:blipFill>
                    <a:blip r:embed="rId2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26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715000" cy="3626827"/>
            <wp:effectExtent b="0" l="0" r="0" t="0"/>
            <wp:docPr id="22" name="image-0tA4fJ7aX098WRpVRCHqe.png"/>
            <a:graphic>
              <a:graphicData uri="http://schemas.openxmlformats.org/drawingml/2006/picture">
                <pic:pic>
                  <pic:nvPicPr>
                    <pic:cNvPr id="22" name="image-0tA4fJ7aX098WRpVRCHqe.png" descr=""/>
                    <pic:cNvPicPr/>
                  </pic:nvPicPr>
                  <pic:blipFill>
                    <a:blip r:embed="rId2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26827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xhUqCU7XvtpdCZ2ZJ8Olo.png" TargetMode="Internal"/>
  <Relationship Id="rId7" Type="http://schemas.openxmlformats.org/officeDocument/2006/relationships/image" Target="media/image-OctU_m3daydf8Q_6mMVN2.png" TargetMode="Internal"/>
  <Relationship Id="rId8" Type="http://schemas.openxmlformats.org/officeDocument/2006/relationships/image" Target="media/image-10NVRL_EeS5XYl7hGS21c.png" TargetMode="Internal"/>
  <Relationship Id="rId9" Type="http://schemas.openxmlformats.org/officeDocument/2006/relationships/image" Target="media/image-acmTq2DQSI7v12QqUjuHi.png" TargetMode="Internal"/>
  <Relationship Id="rId10" Type="http://schemas.openxmlformats.org/officeDocument/2006/relationships/image" Target="media/image-gunZFkw6SLlXjrsQkMpQL.png" TargetMode="Internal"/>
  <Relationship Id="rId11" Type="http://schemas.openxmlformats.org/officeDocument/2006/relationships/image" Target="media/image-8DtGsPWJzFeM9ViPwpdCi.png" TargetMode="Internal"/>
  <Relationship Id="rId12" Type="http://schemas.openxmlformats.org/officeDocument/2006/relationships/image" Target="media/image-X35D8ZnUu8dYphb9B0Pxb.png" TargetMode="Internal"/>
  <Relationship Id="rId13" Type="http://schemas.openxmlformats.org/officeDocument/2006/relationships/image" Target="media/image-jKAbupAX3ERXLntQFOLC8.png" TargetMode="Internal"/>
  <Relationship Id="rId14" Type="http://schemas.openxmlformats.org/officeDocument/2006/relationships/image" Target="media/image-D0lvz2MbqvFepuIiNtOuG.png" TargetMode="Internal"/>
  <Relationship Id="rId15" Type="http://schemas.openxmlformats.org/officeDocument/2006/relationships/image" Target="media/image-G5l0oQ10A4hVwEWJH8i62.png" TargetMode="Internal"/>
  <Relationship Id="rId16" Type="http://schemas.openxmlformats.org/officeDocument/2006/relationships/image" Target="media/image-6fNGeTEIfcjKMpn0I4z0m.png" TargetMode="Internal"/>
  <Relationship Id="rId17" Type="http://schemas.openxmlformats.org/officeDocument/2006/relationships/image" Target="media/image--cJQVuAseUsDBkBEkgHyk.png" TargetMode="Internal"/>
  <Relationship Id="rId18" Type="http://schemas.openxmlformats.org/officeDocument/2006/relationships/image" Target="media/image-XIkKd-QeWQ78b4ea5DicL.png" TargetMode="Internal"/>
  <Relationship Id="rId19" Type="http://schemas.openxmlformats.org/officeDocument/2006/relationships/image" Target="media/image-L0PoQOJV385ZKEdjlElZn.png" TargetMode="Internal"/>
  <Relationship Id="rId20" Type="http://schemas.openxmlformats.org/officeDocument/2006/relationships/image" Target="media/image-0ms-1bSweItgLagyFLXK5.png" TargetMode="Internal"/>
  <Relationship Id="rId21" Type="http://schemas.openxmlformats.org/officeDocument/2006/relationships/image" Target="media/image-obXG0QpExc8tJK_TrQ1PA.png" TargetMode="Internal"/>
  <Relationship Id="rId22" Type="http://schemas.openxmlformats.org/officeDocument/2006/relationships/image" Target="media/image-X6WUUswOnH8uAgugL1Dgs.png" TargetMode="Internal"/>
  <Relationship Id="rId23" Type="http://schemas.openxmlformats.org/officeDocument/2006/relationships/image" Target="media/image-AeeVrAG4wnMSp3Gnp--Kq.png" TargetMode="Internal"/>
  <Relationship Id="rId24" Type="http://schemas.openxmlformats.org/officeDocument/2006/relationships/image" Target="media/image-E5X2BrBg2h35vEtO8pmQd.png" TargetMode="Internal"/>
  <Relationship Id="rId25" Type="http://schemas.openxmlformats.org/officeDocument/2006/relationships/image" Target="media/image-dk5wlWfE6RPha-wnwzB0X.png" TargetMode="Internal"/>
  <Relationship Id="rId26" Type="http://schemas.openxmlformats.org/officeDocument/2006/relationships/image" Target="media/image-tw-N0Ar9mwzgaTLA6vTDl.png" TargetMode="Internal"/>
  <Relationship Id="rId27" Type="http://schemas.openxmlformats.org/officeDocument/2006/relationships/image" Target="media/image-0tA4fJ7aX098WRpVRCHqe.png" TargetMode="Internal"/>
  <Relationship Id="rId2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2026-01-20T13:46:26.611Z</dcterms:created>
  <dcterms:modified xsi:type="dcterms:W3CDTF">2026-01-20T13:46:26.611Z</dcterms:modified>
</cp:coreProperties>
</file>