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0F172A"/>
          <w:sz w:val="48"/>
        </w:rPr>
        <w:t>MIMIRYX / YGGDRASIL</w:t>
      </w:r>
    </w:p>
    <w:p>
      <w:pPr>
        <w:spacing w:after="160"/>
        <w:jc w:val="center"/>
      </w:pPr>
      <w:r>
        <w:rPr>
          <w:rFonts w:ascii="Arial" w:hAnsi="Arial"/>
          <w:b/>
          <w:color w:val="0D9488"/>
          <w:sz w:val="24"/>
        </w:rPr>
        <w:t>Neural Knowledge Network &amp; AI-Augmented Operations Suite</w:t>
        <w:br/>
        <w:t>Comprehensive Technical Specification &amp; Architecture Report</w:t>
      </w:r>
    </w:p>
    <w:tbl>
      <w:tblPr>
        <w:tblW w:type="auto" w:w="0"/>
        <w:jc w:val="center"/>
        <w:tblLayout w:type="fixed"/>
        <w:tblLook w:firstColumn="1" w:firstRow="1" w:lastColumn="0" w:lastRow="0" w:noHBand="0" w:noVBand="1" w:val="04A0"/>
      </w:tblPr>
      <w:tblGrid>
        <w:gridCol w:w="4968"/>
        <w:gridCol w:w="4968"/>
      </w:tblGrid>
      <w:tr>
        <w:tc>
          <w:tcPr>
            <w:tcW w:type="dxa" w:w="4896"/>
            <w:shd w:fill="F1F5F9"/>
            <w:tcMar>
              <w:top w:w="60" w:type="dxa"/>
              <w:bottom w:w="60" w:type="dxa"/>
              <w:left w:w="100" w:type="dxa"/>
              <w:right w:w="100" w:type="dxa"/>
            </w:tcMar>
            <w:tcBorders>
              <w:top w:val="single" w:sz="2" w:space="0" w:color="CBD5E1"/>
              <w:left w:val="single" w:sz="2" w:space="0" w:color="CBD5E1"/>
              <w:bottom w:val="single" w:sz="2" w:space="0" w:color="CBD5E1"/>
              <w:right w:val="single" w:sz="2" w:space="0" w:color="CBD5E1"/>
            </w:tcBorders>
          </w:tcPr>
          <w:p>
            <w:pPr>
              <w:spacing w:after="0" w:line="276" w:lineRule="auto"/>
            </w:pPr>
            <w:r>
              <w:rPr>
                <w:b/>
                <w:color w:val="334155"/>
                <w:sz w:val="18"/>
              </w:rPr>
              <w:t xml:space="preserve">System Classification: </w:t>
            </w:r>
            <w:r>
              <w:rPr>
                <w:color w:val="0F172A"/>
                <w:sz w:val="18"/>
              </w:rPr>
              <w:t>Single-Page Application (SPA) / Offline-First</w:t>
            </w:r>
          </w:p>
        </w:tc>
        <w:tc>
          <w:tcPr>
            <w:tcW w:type="dxa" w:w="4896"/>
            <w:shd w:fill="F1F5F9"/>
            <w:tcMar>
              <w:top w:w="60" w:type="dxa"/>
              <w:bottom w:w="60" w:type="dxa"/>
              <w:left w:w="100" w:type="dxa"/>
              <w:right w:w="100" w:type="dxa"/>
            </w:tcMar>
            <w:tcBorders>
              <w:top w:val="single" w:sz="2" w:space="0" w:color="CBD5E1"/>
              <w:left w:val="single" w:sz="2" w:space="0" w:color="CBD5E1"/>
              <w:bottom w:val="single" w:sz="2" w:space="0" w:color="CBD5E1"/>
              <w:right w:val="single" w:sz="2" w:space="0" w:color="CBD5E1"/>
            </w:tcBorders>
          </w:tcPr>
          <w:p>
            <w:pPr>
              <w:spacing w:after="0" w:line="276" w:lineRule="auto"/>
            </w:pPr>
            <w:r>
              <w:rPr>
                <w:b/>
                <w:color w:val="334155"/>
                <w:sz w:val="18"/>
              </w:rPr>
              <w:t xml:space="preserve">Core Stack: </w:t>
            </w:r>
            <w:r>
              <w:rPr>
                <w:color w:val="0F172A"/>
                <w:sz w:val="18"/>
              </w:rPr>
              <w:t>React 18, TypeScript 5, Vite 6, Tailwind CSS</w:t>
            </w:r>
          </w:p>
        </w:tc>
      </w:tr>
      <w:tr>
        <w:tc>
          <w:tcPr>
            <w:tcW w:type="dxa" w:w="4896"/>
            <w:shd w:fill="F1F5F9"/>
            <w:tcMar>
              <w:top w:w="60" w:type="dxa"/>
              <w:bottom w:w="60" w:type="dxa"/>
              <w:left w:w="100" w:type="dxa"/>
              <w:right w:w="100" w:type="dxa"/>
            </w:tcMar>
            <w:tcBorders>
              <w:top w:val="single" w:sz="2" w:space="0" w:color="CBD5E1"/>
              <w:left w:val="single" w:sz="2" w:space="0" w:color="CBD5E1"/>
              <w:bottom w:val="single" w:sz="2" w:space="0" w:color="CBD5E1"/>
              <w:right w:val="single" w:sz="2" w:space="0" w:color="CBD5E1"/>
            </w:tcBorders>
          </w:tcPr>
          <w:p>
            <w:pPr>
              <w:spacing w:after="0" w:line="276" w:lineRule="auto"/>
            </w:pPr>
            <w:r>
              <w:rPr>
                <w:b/>
                <w:color w:val="334155"/>
                <w:sz w:val="18"/>
              </w:rPr>
              <w:t xml:space="preserve">AI Engine &amp; Worker: </w:t>
            </w:r>
            <w:r>
              <w:rPr>
                <w:color w:val="0F172A"/>
                <w:sz w:val="18"/>
              </w:rPr>
              <w:t>Google Gemini Multi-Tier API + Web Worker Queue</w:t>
            </w:r>
          </w:p>
        </w:tc>
        <w:tc>
          <w:tcPr>
            <w:tcW w:type="dxa" w:w="4896"/>
            <w:shd w:fill="F1F5F9"/>
            <w:tcMar>
              <w:top w:w="60" w:type="dxa"/>
              <w:bottom w:w="60" w:type="dxa"/>
              <w:left w:w="100" w:type="dxa"/>
              <w:right w:w="100" w:type="dxa"/>
            </w:tcMar>
            <w:tcBorders>
              <w:top w:val="single" w:sz="2" w:space="0" w:color="CBD5E1"/>
              <w:left w:val="single" w:sz="2" w:space="0" w:color="CBD5E1"/>
              <w:bottom w:val="single" w:sz="2" w:space="0" w:color="CBD5E1"/>
              <w:right w:val="single" w:sz="2" w:space="0" w:color="CBD5E1"/>
            </w:tcBorders>
          </w:tcPr>
          <w:p>
            <w:pPr>
              <w:spacing w:after="0" w:line="276" w:lineRule="auto"/>
            </w:pPr>
            <w:r>
              <w:rPr>
                <w:b/>
                <w:color w:val="334155"/>
                <w:sz w:val="18"/>
              </w:rPr>
              <w:t xml:space="preserve">Persistence &amp; Repo: </w:t>
            </w:r>
            <w:r>
              <w:rPr>
                <w:color w:val="0F172A"/>
                <w:sz w:val="18"/>
              </w:rPr>
              <w:t>LocalForage (IndexedDB) | Alcend/Mimiryx_Ygddrasil</w:t>
            </w:r>
          </w:p>
        </w:tc>
      </w:tr>
    </w:tbl>
    <w:p>
      <w:pPr>
        <w:spacing w:after="120"/>
      </w:pPr>
    </w:p>
    <w:p>
      <w:pPr>
        <w:keepNext/>
        <w:spacing w:before="280" w:after="120"/>
      </w:pPr>
      <w:r>
        <w:rPr>
          <w:rFonts w:ascii="Arial" w:hAnsi="Arial"/>
          <w:b/>
          <w:color w:val="0F766E"/>
          <w:sz w:val="28"/>
        </w:rPr>
        <w:t>1. WHAT IS MIMIRYX? (VISION, PHILOSOPHY &amp; ECOSYSTEM)</w:t>
      </w:r>
    </w:p>
    <w:p>
      <w:r>
        <w:t>MIMIRYX is an engineered, client-side Neural Knowledge Workbench and personal learning operating system. Built specifically for engineers, systems administrators, computer science students, and technical professionals, it transforms traditional, passive note-taking into a living, visual digital organism that physically grows, interrogates comprehension, and autonomously synthesizes complex information.</w:t>
      </w:r>
    </w:p>
    <w:p>
      <w:pPr>
        <w:keepNext/>
        <w:spacing w:before="200" w:after="80"/>
      </w:pPr>
      <w:r>
        <w:rPr>
          <w:rFonts w:ascii="Arial" w:hAnsi="Arial"/>
          <w:b/>
          <w:color w:val="1E293B"/>
          <w:sz w:val="23"/>
        </w:rPr>
        <w:t>1.1 The Origin Story: Norse Mythology Meets Cybernetic Architecture</w:t>
      </w:r>
    </w:p>
    <w:p>
      <w:r>
        <w:t>The name MIMIRYX is inspired by Mímir—the celebrated figure of Norse mythology renowned for wisdom and memory, keeper of the sacred well Mímisbrunnr beneath the roots of Yggdrasil—combined with modern cybernetic neural terminology. The project arose from frustration with generic note tools (Notepad, standard wikis, flat folder structures). Taking exhaustive linear notes created the 'Illusion of Competence'—the deceptive sensation that writing text equates to retaining mastery. Drawing inspiration from manhwas featuring World Trees and ascending realms, the concept evolved into a volumetric digital organism: as you learn and add notes, the Yggdrasil World Tree on your dashboard organically sprouts new foundational trunks, topic branches, and glowing neural engrams.</w:t>
      </w:r>
    </w:p>
    <w:p>
      <w:pPr>
        <w:keepNext/>
        <w:spacing w:before="200" w:after="80"/>
      </w:pPr>
      <w:r>
        <w:rPr>
          <w:rFonts w:ascii="Arial" w:hAnsi="Arial"/>
          <w:b/>
          <w:color w:val="1E293B"/>
          <w:sz w:val="23"/>
        </w:rPr>
        <w:t>1.2 The Four Learning Bottlenecks Mimiryx Destroys</w:t>
      </w:r>
    </w:p>
    <w:p>
      <w:r>
        <w:t>Traditional study tools fail because of four cognitive breakdown points. MIMIRYX provides tailored architectural solutions for each:</w:t>
      </w:r>
    </w:p>
    <w:tbl>
      <w:tblPr>
        <w:tblW w:type="auto" w:w="0"/>
        <w:jc w:val="center"/>
        <w:tblLayout w:type="fixed"/>
        <w:tblLook w:firstColumn="1" w:firstRow="1" w:lastColumn="0" w:lastRow="0" w:noHBand="0" w:noVBand="1" w:val="04A0"/>
      </w:tblPr>
      <w:tblGrid>
        <w:gridCol w:w="3312"/>
        <w:gridCol w:w="3312"/>
        <w:gridCol w:w="3312"/>
      </w:tblGrid>
      <w:tr>
        <w:tc>
          <w:tcPr>
            <w:tcW w:type="dxa" w:w="3312"/>
            <w:shd w:fill="0F766E"/>
            <w:tcMar>
              <w:top w:w="80" w:type="dxa"/>
              <w:bottom w:w="80" w:type="dxa"/>
              <w:left w:w="100" w:type="dxa"/>
              <w:right w:w="100" w:type="dxa"/>
            </w:tcMar>
          </w:tcPr>
          <w:p>
            <w:pPr>
              <w:spacing w:after="0"/>
            </w:pPr>
            <w:r>
              <w:rPr>
                <w:b/>
                <w:color w:val="FFFFFF"/>
                <w:sz w:val="19"/>
              </w:rPr>
              <w:t>Cognitive Bottleneck</w:t>
            </w:r>
          </w:p>
        </w:tc>
        <w:tc>
          <w:tcPr>
            <w:tcW w:type="dxa" w:w="3312"/>
            <w:shd w:fill="0F766E"/>
            <w:tcMar>
              <w:top w:w="80" w:type="dxa"/>
              <w:bottom w:w="80" w:type="dxa"/>
              <w:left w:w="100" w:type="dxa"/>
              <w:right w:w="100" w:type="dxa"/>
            </w:tcMar>
          </w:tcPr>
          <w:p>
            <w:pPr>
              <w:spacing w:after="0"/>
            </w:pPr>
            <w:r>
              <w:rPr>
                <w:b/>
                <w:color w:val="FFFFFF"/>
                <w:sz w:val="19"/>
              </w:rPr>
              <w:t>Manifestation in Standard Apps</w:t>
            </w:r>
          </w:p>
        </w:tc>
        <w:tc>
          <w:tcPr>
            <w:tcW w:type="dxa" w:w="3312"/>
            <w:shd w:fill="0F766E"/>
            <w:tcMar>
              <w:top w:w="80" w:type="dxa"/>
              <w:bottom w:w="80" w:type="dxa"/>
              <w:left w:w="100" w:type="dxa"/>
              <w:right w:w="100" w:type="dxa"/>
            </w:tcMar>
          </w:tcPr>
          <w:p>
            <w:pPr>
              <w:spacing w:after="0"/>
            </w:pPr>
            <w:r>
              <w:rPr>
                <w:b/>
                <w:color w:val="FFFFFF"/>
                <w:sz w:val="19"/>
              </w:rPr>
              <w:t>Mimiryx Engineered Solution</w:t>
            </w:r>
          </w:p>
        </w:tc>
      </w:tr>
      <w:tr>
        <w:tc>
          <w:tcPr>
            <w:tcW w:type="dxa" w:w="2592"/>
            <w:shd w:fill="F8FAFC"/>
            <w:tcMar>
              <w:top w:w="60" w:type="dxa"/>
              <w:bottom w:w="60" w:type="dxa"/>
              <w:left w:w="80" w:type="dxa"/>
              <w:right w:w="80" w:type="dxa"/>
            </w:tcMar>
            <w:tcBorders>
              <w:top w:val="single" w:sz="2" w:space="0" w:color="E2E8F0"/>
              <w:left w:val="single" w:sz="2" w:space="0" w:color="E2E8F0"/>
              <w:bottom w:val="single" w:sz="2" w:space="0" w:color="E2E8F0"/>
              <w:right w:val="single" w:sz="2" w:space="0" w:color="E2E8F0"/>
            </w:tcBorders>
          </w:tcPr>
          <w:p>
            <w:pPr>
              <w:spacing w:after="0" w:line="276" w:lineRule="auto"/>
            </w:pPr>
            <w:r>
              <w:rPr>
                <w:b/>
                <w:color w:val="0F172A"/>
                <w:sz w:val="17"/>
              </w:rPr>
              <w:t>The Stenographer Syndrome</w:t>
            </w:r>
          </w:p>
        </w:tc>
        <w:tc>
          <w:tcPr>
            <w:tcW w:type="dxa" w:w="3312"/>
            <w:shd w:fill="F8FAFC"/>
            <w:tcMar>
              <w:top w:w="60" w:type="dxa"/>
              <w:bottom w:w="60" w:type="dxa"/>
              <w:left w:w="80" w:type="dxa"/>
              <w:right w:w="80" w:type="dxa"/>
            </w:tcMar>
            <w:tcBorders>
              <w:top w:val="single" w:sz="2" w:space="0" w:color="E2E8F0"/>
              <w:left w:val="single" w:sz="2" w:space="0" w:color="E2E8F0"/>
              <w:bottom w:val="single" w:sz="2" w:space="0" w:color="E2E8F0"/>
              <w:right w:val="single" w:sz="2" w:space="0" w:color="E2E8F0"/>
            </w:tcBorders>
          </w:tcPr>
          <w:p>
            <w:pPr>
              <w:spacing w:after="0" w:line="276" w:lineRule="auto"/>
            </w:pPr>
            <w:r>
              <w:rPr>
                <w:color w:val="334155"/>
                <w:sz w:val="17"/>
              </w:rPr>
              <w:t>Mindlessly transcribing raw lectures or docs without deep comprehension.</w:t>
            </w:r>
          </w:p>
        </w:tc>
        <w:tc>
          <w:tcPr>
            <w:tcW w:type="dxa" w:w="3888"/>
            <w:shd w:fill="F8FAFC"/>
            <w:tcMar>
              <w:top w:w="60" w:type="dxa"/>
              <w:bottom w:w="60" w:type="dxa"/>
              <w:left w:w="80" w:type="dxa"/>
              <w:right w:w="80" w:type="dxa"/>
            </w:tcMar>
            <w:tcBorders>
              <w:top w:val="single" w:sz="2" w:space="0" w:color="E2E8F0"/>
              <w:left w:val="single" w:sz="2" w:space="0" w:color="E2E8F0"/>
              <w:bottom w:val="single" w:sz="2" w:space="0" w:color="E2E8F0"/>
              <w:right w:val="single" w:sz="2" w:space="0" w:color="E2E8F0"/>
            </w:tcBorders>
          </w:tcPr>
          <w:p>
            <w:pPr>
              <w:spacing w:after="0" w:line="276" w:lineRule="auto"/>
            </w:pPr>
            <w:r>
              <w:rPr>
                <w:color w:val="334155"/>
                <w:sz w:val="17"/>
              </w:rPr>
              <w:t>Synaptic Dump Editor &amp; Oracle AI: Unstructured brain dumps are transformed into structured, paginated, high-retention markdown chapters.</w:t>
            </w:r>
          </w:p>
        </w:tc>
      </w:tr>
      <w:tr>
        <w:tc>
          <w:tcPr>
            <w:tcW w:type="dxa" w:w="2592"/>
            <w:shd w:fill="FFFFFF"/>
            <w:tcMar>
              <w:top w:w="60" w:type="dxa"/>
              <w:bottom w:w="60" w:type="dxa"/>
              <w:left w:w="80" w:type="dxa"/>
              <w:right w:w="80" w:type="dxa"/>
            </w:tcMar>
            <w:tcBorders>
              <w:top w:val="single" w:sz="2" w:space="0" w:color="E2E8F0"/>
              <w:left w:val="single" w:sz="2" w:space="0" w:color="E2E8F0"/>
              <w:bottom w:val="single" w:sz="2" w:space="0" w:color="E2E8F0"/>
              <w:right w:val="single" w:sz="2" w:space="0" w:color="E2E8F0"/>
            </w:tcBorders>
          </w:tcPr>
          <w:p>
            <w:pPr>
              <w:spacing w:after="0" w:line="276" w:lineRule="auto"/>
            </w:pPr>
            <w:r>
              <w:rPr>
                <w:b/>
                <w:color w:val="0F172A"/>
                <w:sz w:val="17"/>
              </w:rPr>
              <w:t>Working Memory Crash</w:t>
            </w:r>
          </w:p>
        </w:tc>
        <w:tc>
          <w:tcPr>
            <w:tcW w:type="dxa" w:w="3312"/>
            <w:shd w:fill="FFFFFF"/>
            <w:tcMar>
              <w:top w:w="60" w:type="dxa"/>
              <w:bottom w:w="60" w:type="dxa"/>
              <w:left w:w="80" w:type="dxa"/>
              <w:right w:w="80" w:type="dxa"/>
            </w:tcMar>
            <w:tcBorders>
              <w:top w:val="single" w:sz="2" w:space="0" w:color="E2E8F0"/>
              <w:left w:val="single" w:sz="2" w:space="0" w:color="E2E8F0"/>
              <w:bottom w:val="single" w:sz="2" w:space="0" w:color="E2E8F0"/>
              <w:right w:val="single" w:sz="2" w:space="0" w:color="E2E8F0"/>
            </w:tcBorders>
          </w:tcPr>
          <w:p>
            <w:pPr>
              <w:spacing w:after="0" w:line="276" w:lineRule="auto"/>
            </w:pPr>
            <w:r>
              <w:rPr>
                <w:color w:val="334155"/>
                <w:sz w:val="17"/>
              </w:rPr>
              <w:t>Cognitive overload from searching fragmented flat directories and disjointed notes.</w:t>
            </w:r>
          </w:p>
        </w:tc>
        <w:tc>
          <w:tcPr>
            <w:tcW w:type="dxa" w:w="3888"/>
            <w:shd w:fill="FFFFFF"/>
            <w:tcMar>
              <w:top w:w="60" w:type="dxa"/>
              <w:bottom w:w="60" w:type="dxa"/>
              <w:left w:w="80" w:type="dxa"/>
              <w:right w:w="80" w:type="dxa"/>
            </w:tcMar>
            <w:tcBorders>
              <w:top w:val="single" w:sz="2" w:space="0" w:color="E2E8F0"/>
              <w:left w:val="single" w:sz="2" w:space="0" w:color="E2E8F0"/>
              <w:bottom w:val="single" w:sz="2" w:space="0" w:color="E2E8F0"/>
              <w:right w:val="single" w:sz="2" w:space="0" w:color="E2E8F0"/>
            </w:tcBorders>
          </w:tcPr>
          <w:p>
            <w:pPr>
              <w:spacing w:after="0" w:line="276" w:lineRule="auto"/>
            </w:pPr>
            <w:r>
              <w:rPr>
                <w:color w:val="334155"/>
                <w:sz w:val="17"/>
              </w:rPr>
              <w:t>Volumetric Yggdrasil World Tree: Spatial 3D canvas clustering that visualizes knowledge domains and hierarchical relationships.</w:t>
            </w:r>
          </w:p>
        </w:tc>
      </w:tr>
      <w:tr>
        <w:tc>
          <w:tcPr>
            <w:tcW w:type="dxa" w:w="2592"/>
            <w:shd w:fill="F8FAFC"/>
            <w:tcMar>
              <w:top w:w="60" w:type="dxa"/>
              <w:bottom w:w="60" w:type="dxa"/>
              <w:left w:w="80" w:type="dxa"/>
              <w:right w:w="80" w:type="dxa"/>
            </w:tcMar>
            <w:tcBorders>
              <w:top w:val="single" w:sz="2" w:space="0" w:color="E2E8F0"/>
              <w:left w:val="single" w:sz="2" w:space="0" w:color="E2E8F0"/>
              <w:bottom w:val="single" w:sz="2" w:space="0" w:color="E2E8F0"/>
              <w:right w:val="single" w:sz="2" w:space="0" w:color="E2E8F0"/>
            </w:tcBorders>
          </w:tcPr>
          <w:p>
            <w:pPr>
              <w:spacing w:after="0" w:line="276" w:lineRule="auto"/>
            </w:pPr>
            <w:r>
              <w:rPr>
                <w:b/>
                <w:color w:val="0F172A"/>
                <w:sz w:val="17"/>
              </w:rPr>
              <w:t>Illusion of Competence</w:t>
            </w:r>
          </w:p>
        </w:tc>
        <w:tc>
          <w:tcPr>
            <w:tcW w:type="dxa" w:w="3312"/>
            <w:shd w:fill="F8FAFC"/>
            <w:tcMar>
              <w:top w:w="60" w:type="dxa"/>
              <w:bottom w:w="60" w:type="dxa"/>
              <w:left w:w="80" w:type="dxa"/>
              <w:right w:w="80" w:type="dxa"/>
            </w:tcMar>
            <w:tcBorders>
              <w:top w:val="single" w:sz="2" w:space="0" w:color="E2E8F0"/>
              <w:left w:val="single" w:sz="2" w:space="0" w:color="E2E8F0"/>
              <w:bottom w:val="single" w:sz="2" w:space="0" w:color="E2E8F0"/>
              <w:right w:val="single" w:sz="2" w:space="0" w:color="E2E8F0"/>
            </w:tcBorders>
          </w:tcPr>
          <w:p>
            <w:pPr>
              <w:spacing w:after="0" w:line="276" w:lineRule="auto"/>
            </w:pPr>
            <w:r>
              <w:rPr>
                <w:color w:val="334155"/>
                <w:sz w:val="17"/>
              </w:rPr>
              <w:t>Assuming knowledge is mastered through passive re-reading, leading to exam/interview failure.</w:t>
            </w:r>
          </w:p>
        </w:tc>
        <w:tc>
          <w:tcPr>
            <w:tcW w:type="dxa" w:w="3888"/>
            <w:shd w:fill="F8FAFC"/>
            <w:tcMar>
              <w:top w:w="60" w:type="dxa"/>
              <w:bottom w:w="60" w:type="dxa"/>
              <w:left w:w="80" w:type="dxa"/>
              <w:right w:w="80" w:type="dxa"/>
            </w:tcMar>
            <w:tcBorders>
              <w:top w:val="single" w:sz="2" w:space="0" w:color="E2E8F0"/>
              <w:left w:val="single" w:sz="2" w:space="0" w:color="E2E8F0"/>
              <w:bottom w:val="single" w:sz="2" w:space="0" w:color="E2E8F0"/>
              <w:right w:val="single" w:sz="2" w:space="0" w:color="E2E8F0"/>
            </w:tcBorders>
          </w:tcPr>
          <w:p>
            <w:pPr>
              <w:spacing w:after="0" w:line="276" w:lineRule="auto"/>
            </w:pPr>
            <w:r>
              <w:rPr>
                <w:color w:val="334155"/>
                <w:sz w:val="17"/>
              </w:rPr>
              <w:t>Active Recall (Interrogation Mode): Automatically censors bold terms and code blocks with glitch-boxes, forcing active retrieval.</w:t>
            </w:r>
          </w:p>
        </w:tc>
      </w:tr>
      <w:tr>
        <w:tc>
          <w:tcPr>
            <w:tcW w:type="dxa" w:w="2592"/>
            <w:shd w:fill="FFFFFF"/>
            <w:tcMar>
              <w:top w:w="60" w:type="dxa"/>
              <w:bottom w:w="60" w:type="dxa"/>
              <w:left w:w="80" w:type="dxa"/>
              <w:right w:w="80" w:type="dxa"/>
            </w:tcMar>
            <w:tcBorders>
              <w:top w:val="single" w:sz="2" w:space="0" w:color="E2E8F0"/>
              <w:left w:val="single" w:sz="2" w:space="0" w:color="E2E8F0"/>
              <w:bottom w:val="single" w:sz="2" w:space="0" w:color="E2E8F0"/>
              <w:right w:val="single" w:sz="2" w:space="0" w:color="E2E8F0"/>
            </w:tcBorders>
          </w:tcPr>
          <w:p>
            <w:pPr>
              <w:spacing w:after="0" w:line="276" w:lineRule="auto"/>
            </w:pPr>
            <w:r>
              <w:rPr>
                <w:b/>
                <w:color w:val="0F172A"/>
                <w:sz w:val="17"/>
              </w:rPr>
              <w:t>The Distraction Engine</w:t>
            </w:r>
          </w:p>
        </w:tc>
        <w:tc>
          <w:tcPr>
            <w:tcW w:type="dxa" w:w="3312"/>
            <w:shd w:fill="FFFFFF"/>
            <w:tcMar>
              <w:top w:w="60" w:type="dxa"/>
              <w:bottom w:w="60" w:type="dxa"/>
              <w:left w:w="80" w:type="dxa"/>
              <w:right w:w="80" w:type="dxa"/>
            </w:tcMar>
            <w:tcBorders>
              <w:top w:val="single" w:sz="2" w:space="0" w:color="E2E8F0"/>
              <w:left w:val="single" w:sz="2" w:space="0" w:color="E2E8F0"/>
              <w:bottom w:val="single" w:sz="2" w:space="0" w:color="E2E8F0"/>
              <w:right w:val="single" w:sz="2" w:space="0" w:color="E2E8F0"/>
            </w:tcBorders>
          </w:tcPr>
          <w:p>
            <w:pPr>
              <w:spacing w:after="0" w:line="276" w:lineRule="auto"/>
            </w:pPr>
            <w:r>
              <w:rPr>
                <w:color w:val="334155"/>
                <w:sz w:val="17"/>
              </w:rPr>
              <w:t>Context switching, pop-up notifications, open web browser tabs, and auditory noise.</w:t>
            </w:r>
          </w:p>
        </w:tc>
        <w:tc>
          <w:tcPr>
            <w:tcW w:type="dxa" w:w="3888"/>
            <w:shd w:fill="FFFFFF"/>
            <w:tcMar>
              <w:top w:w="60" w:type="dxa"/>
              <w:bottom w:w="60" w:type="dxa"/>
              <w:left w:w="80" w:type="dxa"/>
              <w:right w:w="80" w:type="dxa"/>
            </w:tcMar>
            <w:tcBorders>
              <w:top w:val="single" w:sz="2" w:space="0" w:color="E2E8F0"/>
              <w:left w:val="single" w:sz="2" w:space="0" w:color="E2E8F0"/>
              <w:bottom w:val="single" w:sz="2" w:space="0" w:color="E2E8F0"/>
              <w:right w:val="single" w:sz="2" w:space="0" w:color="E2E8F0"/>
            </w:tcBorders>
          </w:tcPr>
          <w:p>
            <w:pPr>
              <w:spacing w:after="0" w:line="276" w:lineRule="auto"/>
            </w:pPr>
            <w:r>
              <w:rPr>
                <w:color w:val="334155"/>
                <w:sz w:val="17"/>
              </w:rPr>
              <w:t>Deep Dive (Sensory Deprivation Mode): Single-toggle fullscreen mode with Web Audio API 110Hz/164.8Hz ambient sci-fi drone pad.</w:t>
            </w:r>
          </w:p>
        </w:tc>
      </w:tr>
    </w:tbl>
    <w:p>
      <w:pPr>
        <w:spacing w:after="120"/>
      </w:pPr>
    </w:p>
    <w:p>
      <w:pPr>
        <w:keepNext/>
        <w:spacing w:before="200" w:after="80"/>
      </w:pPr>
      <w:r>
        <w:rPr>
          <w:rFonts w:ascii="Arial" w:hAnsi="Arial"/>
          <w:b/>
          <w:color w:val="1E293B"/>
          <w:sz w:val="23"/>
        </w:rPr>
        <w:t>1.3 Core Functional Subsystems</w:t>
      </w:r>
    </w:p>
    <w:p>
      <w:pPr>
        <w:pStyle w:val="ListBullet"/>
        <w:spacing w:after="60" w:line="276" w:lineRule="auto"/>
      </w:pPr>
      <w:r>
        <w:rPr>
          <w:b/>
          <w:color w:val="0F172A"/>
        </w:rPr>
        <w:t xml:space="preserve">The 3D Grimoire (BookReader): </w:t>
      </w:r>
      <w:r>
        <w:rPr>
          <w:color w:val="334155"/>
        </w:rPr>
        <w:t>Non-linear 3D pagination with CSS 3D transforms (rotateY / perspective: 2500px) that eliminates endless vertical scrolling in favor of crisp, distraction-free digital pages.</w:t>
      </w:r>
    </w:p>
    <w:p>
      <w:pPr>
        <w:pStyle w:val="ListBullet"/>
        <w:spacing w:after="60" w:line="276" w:lineRule="auto"/>
      </w:pPr>
      <w:r>
        <w:rPr>
          <w:b/>
          <w:color w:val="0F172A"/>
        </w:rPr>
        <w:t xml:space="preserve">Volumetric Yggdrasil Canvas: </w:t>
      </w:r>
      <w:r>
        <w:rPr>
          <w:color w:val="334155"/>
        </w:rPr>
        <w:t>An interactive HTML5 Canvas visual engine rendering foundational realms, topic branches, and engram nodes with real-time physics, zoom, pan, and node inspection.</w:t>
      </w:r>
    </w:p>
    <w:p>
      <w:pPr>
        <w:pStyle w:val="ListBullet"/>
        <w:spacing w:after="60" w:line="276" w:lineRule="auto"/>
      </w:pPr>
      <w:r>
        <w:rPr>
          <w:b/>
          <w:color w:val="0F172A"/>
        </w:rPr>
        <w:t xml:space="preserve">Autonomous AI Topic Creator: </w:t>
      </w:r>
      <w:r>
        <w:rPr>
          <w:color w:val="334155"/>
        </w:rPr>
        <w:t>A multi-phase AI research and curriculum generator that takes a simple prompt, executes grounded research, generates structured multi-page notes with LaTeX math, and places them into the tree.</w:t>
      </w:r>
    </w:p>
    <w:p>
      <w:pPr>
        <w:pStyle w:val="ListBullet"/>
        <w:spacing w:after="60" w:line="276" w:lineRule="auto"/>
      </w:pPr>
      <w:r>
        <w:rPr>
          <w:b/>
          <w:color w:val="0F172A"/>
        </w:rPr>
        <w:t xml:space="preserve">Interactive IT Tutor &amp; Lab Debugger: </w:t>
      </w:r>
      <w:r>
        <w:rPr>
          <w:color w:val="334155"/>
        </w:rPr>
        <w:t>Simulated terminal command sandboxes and senior SRE conversational agents that challenge students to troubleshoot network protocols, kernel panics, and cloud deployments.</w:t>
      </w:r>
    </w:p>
    <w:p>
      <w:pPr>
        <w:pStyle w:val="ListBullet"/>
        <w:spacing w:after="60" w:line="276" w:lineRule="auto"/>
      </w:pPr>
      <w:r>
        <w:rPr>
          <w:b/>
          <w:color w:val="0F172A"/>
        </w:rPr>
        <w:t xml:space="preserve">Study Kanban &amp; Telemetry Hub: </w:t>
      </w:r>
      <w:r>
        <w:rPr>
          <w:color w:val="334155"/>
        </w:rPr>
        <w:t>A drag-and-drop mastery pipeline (Backlog -&gt; In Progress -&gt; Review -&gt; Mastered) integrated with real-time retention tracking and activity logs.</w:t>
      </w:r>
    </w:p>
    <w:p>
      <w:pPr>
        <w:keepNext/>
        <w:spacing w:before="280" w:after="120"/>
      </w:pPr>
      <w:r>
        <w:rPr>
          <w:rFonts w:ascii="Arial" w:hAnsi="Arial"/>
          <w:b/>
          <w:color w:val="0F766E"/>
          <w:sz w:val="28"/>
        </w:rPr>
        <w:t>2. HOW DID WE BUILD IT? (ENGINEERING &amp; ARCHITECTURE)</w:t>
      </w:r>
    </w:p>
    <w:p>
      <w:r>
        <w:t>MIMIRYX was engineered as an offline-first, client-side Single-Page Application (SPA). Every subsystem was constructed with strict performance standards: sub-second route navigation, zero main-thread blocking during AI operations, bulletproof data durability, and resilient error recovery.</w:t>
      </w:r>
    </w:p>
    <w:p>
      <w:pPr>
        <w:keepNext/>
        <w:spacing w:before="200" w:after="80"/>
      </w:pPr>
      <w:r>
        <w:rPr>
          <w:rFonts w:ascii="Arial" w:hAnsi="Arial"/>
          <w:b/>
          <w:color w:val="1E293B"/>
          <w:sz w:val="23"/>
        </w:rPr>
        <w:t>2.1 Technology Stack &amp; Architectural Foundations</w:t>
      </w:r>
    </w:p>
    <w:p>
      <w:pPr>
        <w:pStyle w:val="ListBullet"/>
        <w:spacing w:after="60" w:line="276" w:lineRule="auto"/>
      </w:pPr>
      <w:r>
        <w:rPr>
          <w:b/>
          <w:color w:val="0F172A"/>
        </w:rPr>
        <w:t xml:space="preserve">Frontend Framework: </w:t>
      </w:r>
      <w:r>
        <w:rPr>
          <w:color w:val="334155"/>
        </w:rPr>
        <w:t>React 18 with TypeScript 5 (Strict Mode), compiled with Vite 6 for instant Hot Module Replacement (HMR) and optimized Rollup bundling.</w:t>
      </w:r>
    </w:p>
    <w:p>
      <w:pPr>
        <w:pStyle w:val="ListBullet"/>
        <w:spacing w:after="60" w:line="276" w:lineRule="auto"/>
      </w:pPr>
      <w:r>
        <w:rPr>
          <w:b/>
          <w:color w:val="0F172A"/>
        </w:rPr>
        <w:t xml:space="preserve">Styling &amp; Design System: </w:t>
      </w:r>
      <w:r>
        <w:rPr>
          <w:color w:val="334155"/>
        </w:rPr>
        <w:t>Tailwind CSS with a strict 4px base spacing scale (4, 8, 12, 16, 24, 32, 48, 64px) and custom neon cyber-theme tokens (Cyan, Green, Purple, Amber).</w:t>
      </w:r>
    </w:p>
    <w:p>
      <w:pPr>
        <w:pStyle w:val="ListBullet"/>
        <w:spacing w:after="60" w:line="276" w:lineRule="auto"/>
      </w:pPr>
      <w:r>
        <w:rPr>
          <w:b/>
          <w:color w:val="0F172A"/>
        </w:rPr>
        <w:t xml:space="preserve">Persistence Engine: </w:t>
      </w:r>
      <w:r>
        <w:rPr>
          <w:color w:val="334155"/>
        </w:rPr>
        <w:t>LocalForage (IndexedDB async wrapper) for storing thousands of notes, tree models, vector embeddings, and AI job states without encountering the browser's 5MB localStorage limit.</w:t>
      </w:r>
    </w:p>
    <w:p>
      <w:pPr>
        <w:pStyle w:val="ListBullet"/>
        <w:spacing w:after="60" w:line="276" w:lineRule="auto"/>
      </w:pPr>
      <w:r>
        <w:rPr>
          <w:b/>
          <w:color w:val="0F172A"/>
        </w:rPr>
        <w:t xml:space="preserve">AI Background Subsystem: </w:t>
      </w:r>
      <w:r>
        <w:rPr>
          <w:color w:val="334155"/>
        </w:rPr>
        <w:t>Dedicated Web Worker (aiPipeline.worker.ts) communicating via structured postMessage events, decoupling token streaming and vector math from the UI thread.</w:t>
      </w:r>
    </w:p>
    <w:p>
      <w:pPr>
        <w:pStyle w:val="ListBullet"/>
        <w:spacing w:after="60" w:line="276" w:lineRule="auto"/>
      </w:pPr>
      <w:r>
        <w:rPr>
          <w:b/>
          <w:color w:val="0F172A"/>
        </w:rPr>
        <w:t xml:space="preserve">Markdown &amp; LaTeX Parsing: </w:t>
      </w:r>
      <w:r>
        <w:rPr>
          <w:color w:val="334155"/>
        </w:rPr>
        <w:t>react-markdown combined with remark-gfm (tables/checklists), remark-math &amp; rehype-katex (formula typesetting), and rehype-sanitize (XSS vulnerability prevention).</w:t>
      </w:r>
    </w:p>
    <w:tbl>
      <w:tblPr>
        <w:tblW w:type="auto" w:w="0"/>
        <w:jc w:val="center"/>
        <w:tblLayout w:type="fixed"/>
        <w:tblLook w:firstColumn="1" w:firstRow="1" w:lastColumn="0" w:lastRow="0" w:noHBand="0" w:noVBand="1" w:val="04A0"/>
      </w:tblPr>
      <w:tblGrid>
        <w:gridCol w:w="9936"/>
      </w:tblGrid>
      <w:tr>
        <w:tc>
          <w:tcPr>
            <w:tcW w:type="dxa" w:w="9792"/>
            <w:shd w:fill="F0FDFA"/>
            <w:tcMar>
              <w:top w:w="100" w:type="dxa"/>
              <w:bottom w:w="100" w:type="dxa"/>
              <w:left w:w="150" w:type="dxa"/>
              <w:right w:w="150" w:type="dxa"/>
            </w:tcMar>
            <w:tcBorders>
              <w:top w:val="none" w:sz="4" w:space="0" w:color="auto"/>
              <w:left w:val="single" w:sz="24" w:space="0" w:color="0D9488"/>
              <w:bottom w:val="none" w:sz="4" w:space="0" w:color="auto"/>
              <w:right w:val="none" w:sz="4" w:space="0" w:color="auto"/>
            </w:tcBorders>
          </w:tcPr>
          <w:p>
            <w:pPr>
              <w:spacing w:after="40"/>
            </w:pPr>
            <w:r>
              <w:rPr>
                <w:b/>
                <w:color w:val="0F766E"/>
                <w:sz w:val="19"/>
              </w:rPr>
              <w:t>[ARCHITECTURAL HIGHLIGHT: CLIENT-SIDE AUTONOMY]</w:t>
              <w:br/>
            </w:r>
            <w:r>
              <w:rPr>
                <w:i/>
                <w:color w:val="134E4A"/>
                <w:sz w:val="19"/>
              </w:rPr>
              <w:t>By offloading AI pipelines to a Web Worker and computing Cosine Similarity locally across 768-dimensional embedding vectors, Mimiryx achieves instant UI responsiveness and minimizes external API token consumption.</w:t>
            </w:r>
          </w:p>
        </w:tc>
      </w:tr>
    </w:tbl>
    <w:p>
      <w:pPr>
        <w:spacing w:after="80"/>
      </w:pPr>
    </w:p>
    <w:p>
      <w:pPr>
        <w:keepNext/>
        <w:spacing w:before="200" w:after="80"/>
      </w:pPr>
      <w:r>
        <w:rPr>
          <w:rFonts w:ascii="Arial" w:hAnsi="Arial"/>
          <w:b/>
          <w:color w:val="1E293B"/>
          <w:sz w:val="23"/>
        </w:rPr>
        <w:t>2.2 Deep Subsystem Implementations</w:t>
      </w:r>
    </w:p>
    <w:p>
      <w:pPr>
        <w:keepNext/>
        <w:spacing w:before="200" w:after="80"/>
      </w:pPr>
      <w:r>
        <w:rPr>
          <w:rFonts w:ascii="Arial" w:hAnsi="Arial"/>
          <w:b/>
          <w:color w:val="1E293B"/>
          <w:sz w:val="23"/>
        </w:rPr>
        <w:t>Subsystem A: The 3D Grimoire &amp; 3-Column Utility Layout</w:t>
      </w:r>
    </w:p>
    <w:p>
      <w:r>
        <w:t>Traditional long-form reading on ultra-wide desktop monitors suffers from line-length fatigue (lines stretching past 120 characters) or awkward empty voids. We engineered the 3-Column Utility Architecture in BookReader.tsx:</w:t>
        <w:br/>
        <w:t>• Left Sidebar (w-64): Displays suggested topic linkages, chapter indexes, and sibling notes.</w:t>
        <w:br/>
        <w:t>• Center Reader (max-w-3xl): Constrains prose line lengths to 65-75 characters for optimal eye-tracking, rendering seamless 3D page turns.</w:t>
        <w:br/>
        <w:t>• Right Sidebar (w-72): Houses cognitive metrics (word count, reading pace, active status, mastery triggers).</w:t>
        <w:br/>
        <w:t>• Active Recall Engine: Uses regex and DOM parsing to inject interactive glitch-mask elements over key terms, requiring conscious hover-to-reveal.</w:t>
      </w:r>
    </w:p>
    <w:p>
      <w:pPr>
        <w:keepNext/>
        <w:spacing w:before="200" w:after="80"/>
      </w:pPr>
      <w:r>
        <w:rPr>
          <w:rFonts w:ascii="Arial" w:hAnsi="Arial"/>
          <w:b/>
          <w:color w:val="1E293B"/>
          <w:sz w:val="23"/>
        </w:rPr>
        <w:t>Subsystem B: Autonomous AI Multi-Phase Research Pipeline</w:t>
      </w:r>
    </w:p>
    <w:p>
      <w:r>
        <w:t>The Topic Creator is an autonomous agent pipeline executing four sequential stages:</w:t>
        <w:br/>
        <w:t>1. Query Expansion: Analyzes user input and identifies foundational prerequisite domains.</w:t>
        <w:br/>
        <w:t>2. Grounded Research: Executes Gemini 2.5 Flash stream queries with Google Search tool integration. If search grounding fails or rate limits occur, it gracefully degrades to direct generation with exponential backoff.</w:t>
        <w:br/>
        <w:t>3. Markdown Synthesis: Synthesizes raw research into a structured chapter with YAML frontmatter and strict [PAGE_BREAK] tokens, ensuring code blocks never break across page boundaries.</w:t>
        <w:br/>
        <w:t>4. Client-Side Vector Placement: Queries the dynamic embedding API (embedContent), caches the 768-dimensional embedding, and calculates dot-product cosine similarity against existing realm centroids to automatically place the new topic into the tree.</w:t>
      </w:r>
    </w:p>
    <w:p>
      <w:pPr>
        <w:keepNext/>
        <w:spacing w:before="200" w:after="80"/>
      </w:pPr>
      <w:r>
        <w:rPr>
          <w:rFonts w:ascii="Arial" w:hAnsi="Arial"/>
          <w:b/>
          <w:color w:val="1E293B"/>
          <w:sz w:val="23"/>
        </w:rPr>
        <w:t>Subsystem C: The Yggdrasil Canvas Rendering Engine</w:t>
      </w:r>
    </w:p>
    <w:p>
      <w:r>
        <w:t>Rendered via HTML5 Canvas (YggdrasilCanvas.tsx &amp; organicFractalEngine.ts), the World Tree features:</w:t>
        <w:br/>
        <w:t>• Procedural Trunk &amp; Branch Generation: Calculates Bézier curve splines originating from the core root out to the 6 primary realms.</w:t>
        <w:br/>
        <w:t>• Canopy Clustering: Groups notes organically around parent topic clusters using radial force distribution.</w:t>
        <w:br/>
        <w:t>• Camera Interpolation: Supports dynamic pan, zoom (0.2x to 3.0x), reset, and viewport locking with smooth lerp physics.</w:t>
        <w:br/>
        <w:t>• Interactive Hit-Testing: Canvas spatial indexing allows instant selection of nodes to open the NodeInspectorDrawer.</w:t>
      </w:r>
    </w:p>
    <w:p>
      <w:pPr>
        <w:keepNext/>
        <w:spacing w:before="200" w:after="80"/>
      </w:pPr>
      <w:r>
        <w:rPr>
          <w:rFonts w:ascii="Arial" w:hAnsi="Arial"/>
          <w:b/>
          <w:color w:val="1E293B"/>
          <w:sz w:val="23"/>
        </w:rPr>
        <w:t>Subsystem D: Resilience, Security &amp; Key Ring Management</w:t>
      </w:r>
    </w:p>
    <w:p>
      <w:r>
        <w:t>To ensure zero downtime and prevent quota exhaustion:</w:t>
        <w:br/>
        <w:t>• Bring-Your-Own-Key (BYOK): Supports comma-separated API key pools in localStorage. If a key hits a 429 quota or 403 error, the worker marks it depleted/cooldown and seamlessly rotates to the next available key.</w:t>
        <w:br/>
        <w:t>• RequestCache (5-min TTL): Deduplicates identical prompts within a 5-minute window to eliminate accidental repeat token charges.</w:t>
        <w:br/>
        <w:t>• Error Boundaries &amp; Suspense: Every route is dynamically imported with React.lazy and wrapped in an ErrorBoundary and cyber-styled Suspense spinner, preventing chunk loading blips from crashing the SPA.</w:t>
      </w:r>
    </w:p>
    <w:p>
      <w:pPr>
        <w:keepNext/>
        <w:spacing w:before="280" w:after="120"/>
      </w:pPr>
      <w:r>
        <w:rPr>
          <w:rFonts w:ascii="Arial" w:hAnsi="Arial"/>
          <w:b/>
          <w:color w:val="0F766E"/>
          <w:sz w:val="28"/>
        </w:rPr>
        <w:t>3. QUALITY ASSURANCE, VERIFICATION &amp; ROADMAP</w:t>
      </w:r>
    </w:p>
    <w:p>
      <w:r>
        <w:t>Every component in MIMIRYX undergoes rigorous automated validation before deployment:</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484"/>
            <w:shd w:fill="0F766E"/>
            <w:tcMar>
              <w:top w:w="80" w:type="dxa"/>
              <w:bottom w:w="80" w:type="dxa"/>
              <w:left w:w="80" w:type="dxa"/>
              <w:right w:w="80" w:type="dxa"/>
            </w:tcMar>
          </w:tcPr>
          <w:p>
            <w:pPr>
              <w:spacing w:after="0"/>
            </w:pPr>
            <w:r>
              <w:rPr>
                <w:b/>
                <w:color w:val="FFFFFF"/>
                <w:sz w:val="18"/>
              </w:rPr>
              <w:t>Testing Tier</w:t>
            </w:r>
          </w:p>
        </w:tc>
        <w:tc>
          <w:tcPr>
            <w:tcW w:type="dxa" w:w="2484"/>
            <w:shd w:fill="0F766E"/>
            <w:tcMar>
              <w:top w:w="80" w:type="dxa"/>
              <w:bottom w:w="80" w:type="dxa"/>
              <w:left w:w="80" w:type="dxa"/>
              <w:right w:w="80" w:type="dxa"/>
            </w:tcMar>
          </w:tcPr>
          <w:p>
            <w:pPr>
              <w:spacing w:after="0"/>
            </w:pPr>
            <w:r>
              <w:rPr>
                <w:b/>
                <w:color w:val="FFFFFF"/>
                <w:sz w:val="18"/>
              </w:rPr>
              <w:t>Target Module</w:t>
            </w:r>
          </w:p>
        </w:tc>
        <w:tc>
          <w:tcPr>
            <w:tcW w:type="dxa" w:w="2484"/>
            <w:shd w:fill="0F766E"/>
            <w:tcMar>
              <w:top w:w="80" w:type="dxa"/>
              <w:bottom w:w="80" w:type="dxa"/>
              <w:left w:w="80" w:type="dxa"/>
              <w:right w:w="80" w:type="dxa"/>
            </w:tcMar>
          </w:tcPr>
          <w:p>
            <w:pPr>
              <w:spacing w:after="0"/>
            </w:pPr>
            <w:r>
              <w:rPr>
                <w:b/>
                <w:color w:val="FFFFFF"/>
                <w:sz w:val="18"/>
              </w:rPr>
              <w:t>Validation Scope</w:t>
            </w:r>
          </w:p>
        </w:tc>
        <w:tc>
          <w:tcPr>
            <w:tcW w:type="dxa" w:w="2484"/>
            <w:shd w:fill="0F766E"/>
            <w:tcMar>
              <w:top w:w="80" w:type="dxa"/>
              <w:bottom w:w="80" w:type="dxa"/>
              <w:left w:w="80" w:type="dxa"/>
              <w:right w:w="80" w:type="dxa"/>
            </w:tcMar>
          </w:tcPr>
          <w:p>
            <w:pPr>
              <w:spacing w:after="0"/>
            </w:pPr>
            <w:r>
              <w:rPr>
                <w:b/>
                <w:color w:val="FFFFFF"/>
                <w:sz w:val="18"/>
              </w:rPr>
              <w:t>Status</w:t>
            </w:r>
          </w:p>
        </w:tc>
      </w:tr>
      <w:tr>
        <w:tc>
          <w:tcPr>
            <w:tcW w:type="dxa" w:w="2160"/>
            <w:shd w:fill="F8FAFC"/>
            <w:tcMar>
              <w:top w:w="60" w:type="dxa"/>
              <w:bottom w:w="60" w:type="dxa"/>
              <w:left w:w="80" w:type="dxa"/>
              <w:right w:w="80" w:type="dxa"/>
            </w:tcMar>
            <w:tcBorders>
              <w:top w:val="single" w:sz="2" w:space="0" w:color="E2E8F0"/>
              <w:left w:val="single" w:sz="2" w:space="0" w:color="E2E8F0"/>
              <w:bottom w:val="single" w:sz="2" w:space="0" w:color="E2E8F0"/>
              <w:right w:val="single" w:sz="2" w:space="0" w:color="E2E8F0"/>
            </w:tcBorders>
          </w:tcPr>
          <w:p>
            <w:pPr>
              <w:spacing w:after="0"/>
            </w:pPr>
            <w:r>
              <w:rPr>
                <w:b/>
                <w:color w:val="0F172A"/>
                <w:sz w:val="17"/>
              </w:rPr>
              <w:t>Vitest Unit Tests</w:t>
            </w:r>
          </w:p>
        </w:tc>
        <w:tc>
          <w:tcPr>
            <w:tcW w:type="dxa" w:w="2160"/>
            <w:shd w:fill="F8FAFC"/>
            <w:tcMar>
              <w:top w:w="60" w:type="dxa"/>
              <w:bottom w:w="60" w:type="dxa"/>
              <w:left w:w="80" w:type="dxa"/>
              <w:right w:w="80" w:type="dxa"/>
            </w:tcMar>
            <w:tcBorders>
              <w:top w:val="single" w:sz="2" w:space="0" w:color="E2E8F0"/>
              <w:left w:val="single" w:sz="2" w:space="0" w:color="E2E8F0"/>
              <w:bottom w:val="single" w:sz="2" w:space="0" w:color="E2E8F0"/>
              <w:right w:val="single" w:sz="2" w:space="0" w:color="E2E8F0"/>
            </w:tcBorders>
          </w:tcPr>
          <w:p>
            <w:pPr>
              <w:spacing w:after="0"/>
            </w:pPr>
            <w:r>
              <w:rPr>
                <w:color w:val="334155"/>
                <w:sz w:val="17"/>
              </w:rPr>
              <w:t>topicHelpers.ts</w:t>
            </w:r>
          </w:p>
        </w:tc>
        <w:tc>
          <w:tcPr>
            <w:tcW w:type="dxa" w:w="3744"/>
            <w:shd w:fill="F8FAFC"/>
            <w:tcMar>
              <w:top w:w="60" w:type="dxa"/>
              <w:bottom w:w="60" w:type="dxa"/>
              <w:left w:w="80" w:type="dxa"/>
              <w:right w:w="80" w:type="dxa"/>
            </w:tcMar>
            <w:tcBorders>
              <w:top w:val="single" w:sz="2" w:space="0" w:color="E2E8F0"/>
              <w:left w:val="single" w:sz="2" w:space="0" w:color="E2E8F0"/>
              <w:bottom w:val="single" w:sz="2" w:space="0" w:color="E2E8F0"/>
              <w:right w:val="single" w:sz="2" w:space="0" w:color="E2E8F0"/>
            </w:tcBorders>
          </w:tcPr>
          <w:p>
            <w:pPr>
              <w:spacing w:after="0"/>
            </w:pPr>
            <w:r>
              <w:rPr>
                <w:color w:val="334155"/>
                <w:sz w:val="17"/>
              </w:rPr>
              <w:t>9 tests: Direct match, slug resolution, tag fallbacks, null safety</w:t>
            </w:r>
          </w:p>
        </w:tc>
        <w:tc>
          <w:tcPr>
            <w:tcW w:type="dxa" w:w="1728"/>
            <w:shd w:fill="F8FAFC"/>
            <w:tcMar>
              <w:top w:w="60" w:type="dxa"/>
              <w:bottom w:w="60" w:type="dxa"/>
              <w:left w:w="80" w:type="dxa"/>
              <w:right w:w="80" w:type="dxa"/>
            </w:tcMar>
            <w:tcBorders>
              <w:top w:val="single" w:sz="2" w:space="0" w:color="E2E8F0"/>
              <w:left w:val="single" w:sz="2" w:space="0" w:color="E2E8F0"/>
              <w:bottom w:val="single" w:sz="2" w:space="0" w:color="E2E8F0"/>
              <w:right w:val="single" w:sz="2" w:space="0" w:color="E2E8F0"/>
            </w:tcBorders>
          </w:tcPr>
          <w:p>
            <w:pPr>
              <w:spacing w:after="0"/>
            </w:pPr>
            <w:r>
              <w:rPr>
                <w:b/>
                <w:color w:val="059669"/>
                <w:sz w:val="17"/>
              </w:rPr>
              <w:t>PASSED (4ms)</w:t>
            </w:r>
          </w:p>
        </w:tc>
      </w:tr>
      <w:tr>
        <w:tc>
          <w:tcPr>
            <w:tcW w:type="dxa" w:w="2160"/>
            <w:shd w:fill="FFFFFF"/>
            <w:tcMar>
              <w:top w:w="60" w:type="dxa"/>
              <w:bottom w:w="60" w:type="dxa"/>
              <w:left w:w="80" w:type="dxa"/>
              <w:right w:w="80" w:type="dxa"/>
            </w:tcMar>
            <w:tcBorders>
              <w:top w:val="single" w:sz="2" w:space="0" w:color="E2E8F0"/>
              <w:left w:val="single" w:sz="2" w:space="0" w:color="E2E8F0"/>
              <w:bottom w:val="single" w:sz="2" w:space="0" w:color="E2E8F0"/>
              <w:right w:val="single" w:sz="2" w:space="0" w:color="E2E8F0"/>
            </w:tcBorders>
          </w:tcPr>
          <w:p>
            <w:pPr>
              <w:spacing w:after="0"/>
            </w:pPr>
            <w:r>
              <w:rPr>
                <w:b/>
                <w:color w:val="0F172A"/>
                <w:sz w:val="17"/>
              </w:rPr>
              <w:t>Vitest Unit Tests</w:t>
            </w:r>
          </w:p>
        </w:tc>
        <w:tc>
          <w:tcPr>
            <w:tcW w:type="dxa" w:w="2160"/>
            <w:shd w:fill="FFFFFF"/>
            <w:tcMar>
              <w:top w:w="60" w:type="dxa"/>
              <w:bottom w:w="60" w:type="dxa"/>
              <w:left w:w="80" w:type="dxa"/>
              <w:right w:w="80" w:type="dxa"/>
            </w:tcMar>
            <w:tcBorders>
              <w:top w:val="single" w:sz="2" w:space="0" w:color="E2E8F0"/>
              <w:left w:val="single" w:sz="2" w:space="0" w:color="E2E8F0"/>
              <w:bottom w:val="single" w:sz="2" w:space="0" w:color="E2E8F0"/>
              <w:right w:val="single" w:sz="2" w:space="0" w:color="E2E8F0"/>
            </w:tcBorders>
          </w:tcPr>
          <w:p>
            <w:pPr>
              <w:spacing w:after="0"/>
            </w:pPr>
            <w:r>
              <w:rPr>
                <w:color w:val="334155"/>
                <w:sz w:val="17"/>
              </w:rPr>
              <w:t>aiConfig.ts</w:t>
            </w:r>
          </w:p>
        </w:tc>
        <w:tc>
          <w:tcPr>
            <w:tcW w:type="dxa" w:w="3744"/>
            <w:shd w:fill="FFFFFF"/>
            <w:tcMar>
              <w:top w:w="60" w:type="dxa"/>
              <w:bottom w:w="60" w:type="dxa"/>
              <w:left w:w="80" w:type="dxa"/>
              <w:right w:w="80" w:type="dxa"/>
            </w:tcMar>
            <w:tcBorders>
              <w:top w:val="single" w:sz="2" w:space="0" w:color="E2E8F0"/>
              <w:left w:val="single" w:sz="2" w:space="0" w:color="E2E8F0"/>
              <w:bottom w:val="single" w:sz="2" w:space="0" w:color="E2E8F0"/>
              <w:right w:val="single" w:sz="2" w:space="0" w:color="E2E8F0"/>
            </w:tcBorders>
          </w:tcPr>
          <w:p>
            <w:pPr>
              <w:spacing w:after="0"/>
            </w:pPr>
            <w:r>
              <w:rPr>
                <w:color w:val="334155"/>
                <w:sz w:val="17"/>
              </w:rPr>
              <w:t>Import safety, constant immutability, zero side-effect loading</w:t>
            </w:r>
          </w:p>
        </w:tc>
        <w:tc>
          <w:tcPr>
            <w:tcW w:type="dxa" w:w="1728"/>
            <w:shd w:fill="FFFFFF"/>
            <w:tcMar>
              <w:top w:w="60" w:type="dxa"/>
              <w:bottom w:w="60" w:type="dxa"/>
              <w:left w:w="80" w:type="dxa"/>
              <w:right w:w="80" w:type="dxa"/>
            </w:tcMar>
            <w:tcBorders>
              <w:top w:val="single" w:sz="2" w:space="0" w:color="E2E8F0"/>
              <w:left w:val="single" w:sz="2" w:space="0" w:color="E2E8F0"/>
              <w:bottom w:val="single" w:sz="2" w:space="0" w:color="E2E8F0"/>
              <w:right w:val="single" w:sz="2" w:space="0" w:color="E2E8F0"/>
            </w:tcBorders>
          </w:tcPr>
          <w:p>
            <w:pPr>
              <w:spacing w:after="0"/>
            </w:pPr>
            <w:r>
              <w:rPr>
                <w:b/>
                <w:color w:val="059669"/>
                <w:sz w:val="17"/>
              </w:rPr>
              <w:t>PASSED (2ms)</w:t>
            </w:r>
          </w:p>
        </w:tc>
      </w:tr>
      <w:tr>
        <w:tc>
          <w:tcPr>
            <w:tcW w:type="dxa" w:w="2160"/>
            <w:shd w:fill="F8FAFC"/>
            <w:tcMar>
              <w:top w:w="60" w:type="dxa"/>
              <w:bottom w:w="60" w:type="dxa"/>
              <w:left w:w="80" w:type="dxa"/>
              <w:right w:w="80" w:type="dxa"/>
            </w:tcMar>
            <w:tcBorders>
              <w:top w:val="single" w:sz="2" w:space="0" w:color="E2E8F0"/>
              <w:left w:val="single" w:sz="2" w:space="0" w:color="E2E8F0"/>
              <w:bottom w:val="single" w:sz="2" w:space="0" w:color="E2E8F0"/>
              <w:right w:val="single" w:sz="2" w:space="0" w:color="E2E8F0"/>
            </w:tcBorders>
          </w:tcPr>
          <w:p>
            <w:pPr>
              <w:spacing w:after="0"/>
            </w:pPr>
            <w:r>
              <w:rPr>
                <w:b/>
                <w:color w:val="0F172A"/>
                <w:sz w:val="17"/>
              </w:rPr>
              <w:t>Playwright E2E</w:t>
            </w:r>
          </w:p>
        </w:tc>
        <w:tc>
          <w:tcPr>
            <w:tcW w:type="dxa" w:w="2160"/>
            <w:shd w:fill="F8FAFC"/>
            <w:tcMar>
              <w:top w:w="60" w:type="dxa"/>
              <w:bottom w:w="60" w:type="dxa"/>
              <w:left w:w="80" w:type="dxa"/>
              <w:right w:w="80" w:type="dxa"/>
            </w:tcMar>
            <w:tcBorders>
              <w:top w:val="single" w:sz="2" w:space="0" w:color="E2E8F0"/>
              <w:left w:val="single" w:sz="2" w:space="0" w:color="E2E8F0"/>
              <w:bottom w:val="single" w:sz="2" w:space="0" w:color="E2E8F0"/>
              <w:right w:val="single" w:sz="2" w:space="0" w:color="E2E8F0"/>
            </w:tcBorders>
          </w:tcPr>
          <w:p>
            <w:pPr>
              <w:spacing w:after="0"/>
            </w:pPr>
            <w:r>
              <w:rPr>
                <w:color w:val="334155"/>
                <w:sz w:val="17"/>
              </w:rPr>
              <w:t>Navigation &amp; Routing</w:t>
            </w:r>
          </w:p>
        </w:tc>
        <w:tc>
          <w:tcPr>
            <w:tcW w:type="dxa" w:w="3744"/>
            <w:shd w:fill="F8FAFC"/>
            <w:tcMar>
              <w:top w:w="60" w:type="dxa"/>
              <w:bottom w:w="60" w:type="dxa"/>
              <w:left w:w="80" w:type="dxa"/>
              <w:right w:w="80" w:type="dxa"/>
            </w:tcMar>
            <w:tcBorders>
              <w:top w:val="single" w:sz="2" w:space="0" w:color="E2E8F0"/>
              <w:left w:val="single" w:sz="2" w:space="0" w:color="E2E8F0"/>
              <w:bottom w:val="single" w:sz="2" w:space="0" w:color="E2E8F0"/>
              <w:right w:val="single" w:sz="2" w:space="0" w:color="E2E8F0"/>
            </w:tcBorders>
          </w:tcPr>
          <w:p>
            <w:pPr>
              <w:spacing w:after="0"/>
            </w:pPr>
            <w:r>
              <w:rPr>
                <w:color w:val="334155"/>
                <w:sz w:val="17"/>
              </w:rPr>
              <w:t>Full root-to-notes, topic drilldown, and settings modal verification</w:t>
            </w:r>
          </w:p>
        </w:tc>
        <w:tc>
          <w:tcPr>
            <w:tcW w:type="dxa" w:w="1728"/>
            <w:shd w:fill="F8FAFC"/>
            <w:tcMar>
              <w:top w:w="60" w:type="dxa"/>
              <w:bottom w:w="60" w:type="dxa"/>
              <w:left w:w="80" w:type="dxa"/>
              <w:right w:w="80" w:type="dxa"/>
            </w:tcMar>
            <w:tcBorders>
              <w:top w:val="single" w:sz="2" w:space="0" w:color="E2E8F0"/>
              <w:left w:val="single" w:sz="2" w:space="0" w:color="E2E8F0"/>
              <w:bottom w:val="single" w:sz="2" w:space="0" w:color="E2E8F0"/>
              <w:right w:val="single" w:sz="2" w:space="0" w:color="E2E8F0"/>
            </w:tcBorders>
          </w:tcPr>
          <w:p>
            <w:pPr>
              <w:spacing w:after="0"/>
            </w:pPr>
            <w:r>
              <w:rPr>
                <w:b/>
                <w:color w:val="059669"/>
                <w:sz w:val="17"/>
              </w:rPr>
              <w:t>PASSED (2.5s)</w:t>
            </w:r>
          </w:p>
        </w:tc>
      </w:tr>
      <w:tr>
        <w:tc>
          <w:tcPr>
            <w:tcW w:type="dxa" w:w="2160"/>
            <w:shd w:fill="FFFFFF"/>
            <w:tcMar>
              <w:top w:w="60" w:type="dxa"/>
              <w:bottom w:w="60" w:type="dxa"/>
              <w:left w:w="80" w:type="dxa"/>
              <w:right w:w="80" w:type="dxa"/>
            </w:tcMar>
            <w:tcBorders>
              <w:top w:val="single" w:sz="2" w:space="0" w:color="E2E8F0"/>
              <w:left w:val="single" w:sz="2" w:space="0" w:color="E2E8F0"/>
              <w:bottom w:val="single" w:sz="2" w:space="0" w:color="E2E8F0"/>
              <w:right w:val="single" w:sz="2" w:space="0" w:color="E2E8F0"/>
            </w:tcBorders>
          </w:tcPr>
          <w:p>
            <w:pPr>
              <w:spacing w:after="0"/>
            </w:pPr>
            <w:r>
              <w:rPr>
                <w:b/>
                <w:color w:val="0F172A"/>
                <w:sz w:val="17"/>
              </w:rPr>
              <w:t>Vite Production Build</w:t>
            </w:r>
          </w:p>
        </w:tc>
        <w:tc>
          <w:tcPr>
            <w:tcW w:type="dxa" w:w="2160"/>
            <w:shd w:fill="FFFFFF"/>
            <w:tcMar>
              <w:top w:w="60" w:type="dxa"/>
              <w:bottom w:w="60" w:type="dxa"/>
              <w:left w:w="80" w:type="dxa"/>
              <w:right w:w="80" w:type="dxa"/>
            </w:tcMar>
            <w:tcBorders>
              <w:top w:val="single" w:sz="2" w:space="0" w:color="E2E8F0"/>
              <w:left w:val="single" w:sz="2" w:space="0" w:color="E2E8F0"/>
              <w:bottom w:val="single" w:sz="2" w:space="0" w:color="E2E8F0"/>
              <w:right w:val="single" w:sz="2" w:space="0" w:color="E2E8F0"/>
            </w:tcBorders>
          </w:tcPr>
          <w:p>
            <w:pPr>
              <w:spacing w:after="0"/>
            </w:pPr>
            <w:r>
              <w:rPr>
                <w:color w:val="334155"/>
                <w:sz w:val="17"/>
              </w:rPr>
              <w:t>Full Codebase (TSC)</w:t>
            </w:r>
          </w:p>
        </w:tc>
        <w:tc>
          <w:tcPr>
            <w:tcW w:type="dxa" w:w="3744"/>
            <w:shd w:fill="FFFFFF"/>
            <w:tcMar>
              <w:top w:w="60" w:type="dxa"/>
              <w:bottom w:w="60" w:type="dxa"/>
              <w:left w:w="80" w:type="dxa"/>
              <w:right w:w="80" w:type="dxa"/>
            </w:tcMar>
            <w:tcBorders>
              <w:top w:val="single" w:sz="2" w:space="0" w:color="E2E8F0"/>
              <w:left w:val="single" w:sz="2" w:space="0" w:color="E2E8F0"/>
              <w:bottom w:val="single" w:sz="2" w:space="0" w:color="E2E8F0"/>
              <w:right w:val="single" w:sz="2" w:space="0" w:color="E2E8F0"/>
            </w:tcBorders>
          </w:tcPr>
          <w:p>
            <w:pPr>
              <w:spacing w:after="0"/>
            </w:pPr>
            <w:r>
              <w:rPr>
                <w:color w:val="334155"/>
                <w:sz w:val="17"/>
              </w:rPr>
              <w:t>Zero TypeScript compiler errors, clean vendor chunk splitting</w:t>
            </w:r>
          </w:p>
        </w:tc>
        <w:tc>
          <w:tcPr>
            <w:tcW w:type="dxa" w:w="1728"/>
            <w:shd w:fill="FFFFFF"/>
            <w:tcMar>
              <w:top w:w="60" w:type="dxa"/>
              <w:bottom w:w="60" w:type="dxa"/>
              <w:left w:w="80" w:type="dxa"/>
              <w:right w:w="80" w:type="dxa"/>
            </w:tcMar>
            <w:tcBorders>
              <w:top w:val="single" w:sz="2" w:space="0" w:color="E2E8F0"/>
              <w:left w:val="single" w:sz="2" w:space="0" w:color="E2E8F0"/>
              <w:bottom w:val="single" w:sz="2" w:space="0" w:color="E2E8F0"/>
              <w:right w:val="single" w:sz="2" w:space="0" w:color="E2E8F0"/>
            </w:tcBorders>
          </w:tcPr>
          <w:p>
            <w:pPr>
              <w:spacing w:after="0"/>
            </w:pPr>
            <w:r>
              <w:rPr>
                <w:b/>
                <w:color w:val="059669"/>
                <w:sz w:val="17"/>
              </w:rPr>
              <w:t>PASSED (9.46s)</w:t>
            </w:r>
          </w:p>
        </w:tc>
      </w:tr>
    </w:tbl>
    <w:p>
      <w:pPr>
        <w:spacing w:after="160"/>
      </w:pPr>
    </w:p>
    <w:p>
      <w:pPr>
        <w:keepNext/>
        <w:spacing w:before="200" w:after="80"/>
      </w:pPr>
      <w:r>
        <w:rPr>
          <w:rFonts w:ascii="Arial" w:hAnsi="Arial"/>
          <w:b/>
          <w:color w:val="1E293B"/>
          <w:sz w:val="23"/>
        </w:rPr>
        <w:t>3.1 Engineering Roadmap (30 / 60 / 90 Days)</w:t>
      </w:r>
    </w:p>
    <w:p>
      <w:pPr>
        <w:pStyle w:val="ListBullet"/>
        <w:spacing w:after="60" w:line="276" w:lineRule="auto"/>
      </w:pPr>
      <w:r>
        <w:rPr>
          <w:b/>
          <w:color w:val="0F172A"/>
        </w:rPr>
        <w:t xml:space="preserve">30-Day Milestone: </w:t>
      </w:r>
      <w:r>
        <w:rPr>
          <w:color w:val="334155"/>
        </w:rPr>
        <w:t>Deploy serverless AI backend proxy to eliminate client-side key storage and implement LRU cache eviction for IndexedDB.</w:t>
      </w:r>
    </w:p>
    <w:p>
      <w:pPr>
        <w:pStyle w:val="ListBullet"/>
        <w:spacing w:after="60" w:line="276" w:lineRule="auto"/>
      </w:pPr>
      <w:r>
        <w:rPr>
          <w:b/>
          <w:color w:val="0F172A"/>
        </w:rPr>
        <w:t xml:space="preserve">60-Day Milestone: </w:t>
      </w:r>
      <w:r>
        <w:rPr>
          <w:color w:val="334155"/>
        </w:rPr>
        <w:t>Integrate on-device local vector embeddings via WebAssembly (Transformers.js) for 100% offline semantic clustering.</w:t>
      </w:r>
    </w:p>
    <w:p>
      <w:pPr>
        <w:pStyle w:val="ListBullet"/>
        <w:spacing w:after="60" w:line="276" w:lineRule="auto"/>
      </w:pPr>
      <w:r>
        <w:rPr>
          <w:b/>
          <w:color w:val="0F172A"/>
        </w:rPr>
        <w:t xml:space="preserve">90-Day Milestone: </w:t>
      </w:r>
      <w:r>
        <w:rPr>
          <w:color w:val="334155"/>
        </w:rPr>
        <w:t>Package native cross-platform desktop installers (Tauri / Rust backend) and launch collaborative peer-to-peer study rooms.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