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1906"/>
        <w:tblBorders>
          <w:top w:val="none" w:color="auto" w:sz="0"/>
          <w:left w:val="none" w:color="auto" w:sz="0"/>
          <w:bottom w:val="none" w:color="auto" w:sz="0"/>
          <w:right w:val="none" w:color="auto" w:sz="0"/>
          <w:insideH w:val="none" w:color="auto" w:sz="0"/>
          <w:insideV w:val="none" w:color="auto" w:sz="0"/>
        </w:tblBorders>
        <w:tblLayout w:type="fixed"/>
      </w:tblPr>
      <w:tblGrid>
        <w:gridCol w:w="11906"/>
      </w:tblGrid>
      <w:tr>
        <w:trPr>
          <w:trHeight w:val="4150" w:hRule="atLeast"/>
        </w:trPr>
        <w:tc>
          <w:tcPr>
            <w:tcW w:type="dxa" w:w="11906"/>
            <w:tcBorders>
              <w:top w:val="none" w:color="auto" w:sz="0"/>
              <w:left w:val="none" w:color="auto" w:sz="0"/>
              <w:bottom w:val="none" w:color="auto" w:sz="0"/>
              <w:right w:val="none" w:color="auto" w:sz="0"/>
            </w:tcBorders>
            <w:shd w:fill="0C2C3A" w:color="auto" w:val="clear"/>
            <w:tcMar>
              <w:top w:type="dxa" w:w="620"/>
              <w:left w:type="dxa" w:w="1153"/>
              <w:bottom w:type="dxa" w:w="620"/>
              <w:right w:type="dxa" w:w="1153"/>
            </w:tcMar>
            <w:vAlign w:val="top"/>
          </w:tcPr>
          <w:p>
            <w:pPr>
              <w:spacing w:after="90"/>
            </w:pPr>
            <w:r>
              <w:drawing>
                <wp:inline distT="0" distB="0" distL="0" distR="0">
                  <wp:extent cx="2019300" cy="666750"/>
                  <wp:effectExtent t="0" r="0" b="0" l="0"/>
                  <wp:docPr id="1" name="logo" descr="Aqualogic logo" title="Aqualog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019300" cy="666750"/>
                          </a:xfrm>
                          <a:prstGeom prst="rect">
                            <a:avLst/>
                          </a:prstGeom>
                        </pic:spPr>
                      </pic:pic>
                    </a:graphicData>
                  </a:graphic>
                </wp:inline>
              </w:drawing>
            </w:r>
          </w:p>
          <w:p>
            <w:pPr>
              <w:spacing w:after="0"/>
            </w:pPr>
            <w:r>
              <w:rPr>
                <w:rFonts w:ascii="Manrope" w:cs="Manrope" w:eastAsia="Manrope" w:hAnsi="Manrope"/>
                <w:b/>
                <w:bCs/>
                <w:i w:val="false"/>
                <w:iCs w:val="false"/>
                <w:color w:val="6AC2D8"/>
                <w:spacing w:val="30"/>
                <w:sz w:val="15"/>
                <w:szCs w:val="15"/>
              </w:rPr>
              <w:t xml:space="preserve">PART OF   </w:t>
            </w:r>
            <w:r>
              <w:drawing>
                <wp:inline distT="0" distB="0" distL="0" distR="0">
                  <wp:extent cx="1428750" cy="285750"/>
                  <wp:effectExtent t="0" r="0" b="0" l="0"/>
                  <wp:docPr id="1" name="sustec" descr="Sustec" title="Sust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285750"/>
                          </a:xfrm>
                          <a:prstGeom prst="rect">
                            <a:avLst/>
                          </a:prstGeom>
                        </pic:spPr>
                      </pic:pic>
                    </a:graphicData>
                  </a:graphic>
                </wp:inline>
              </w:drawing>
            </w:r>
          </w:p>
          <w:p>
            <w:pPr>
              <w:spacing w:after="60" w:before="760"/>
            </w:pPr>
            <w:r>
              <w:rPr>
                <w:rFonts w:ascii="Manrope" w:cs="Manrope" w:eastAsia="Manrope" w:hAnsi="Manrope"/>
                <w:b/>
                <w:bCs/>
                <w:i w:val="false"/>
                <w:iCs w:val="false"/>
                <w:color w:val="00B6DB"/>
                <w:spacing w:val="50"/>
                <w:sz w:val="18"/>
                <w:szCs w:val="18"/>
              </w:rPr>
              <w:t xml:space="preserve">PROGRAMME UPDATE</w:t>
            </w:r>
          </w:p>
          <w:p>
            <w:pPr>
              <w:spacing w:after="60"/>
            </w:pPr>
            <w:r>
              <w:rPr>
                <w:rFonts w:ascii="Manrope" w:cs="Manrope" w:eastAsia="Manrope" w:hAnsi="Manrope"/>
                <w:b/>
                <w:bCs/>
                <w:i w:val="false"/>
                <w:iCs w:val="false"/>
                <w:color w:val="FFFFFF"/>
                <w:sz w:val="62"/>
                <w:szCs w:val="62"/>
              </w:rPr>
              <w:t xml:space="preserve">Leakage Workstreams</w:t>
            </w:r>
          </w:p>
          <w:p>
            <w:pPr>
              <w:spacing w:after="20"/>
            </w:pPr>
            <w:r>
              <w:rPr>
                <w:rFonts w:ascii="Manrope" w:cs="Manrope" w:eastAsia="Manrope" w:hAnsi="Manrope"/>
                <w:b/>
                <w:bCs/>
                <w:i w:val="false"/>
                <w:iCs w:val="false"/>
                <w:color w:val="6AC2D8"/>
                <w:sz w:val="30"/>
                <w:szCs w:val="30"/>
              </w:rPr>
              <w:t xml:space="preserve">South West Water</w:t>
            </w:r>
          </w:p>
          <w:p>
            <w:pPr>
              <w:spacing w:after="0"/>
            </w:pPr>
            <w:r>
              <w:rPr>
                <w:rFonts w:ascii="Manrope" w:cs="Manrope" w:eastAsia="Manrope" w:hAnsi="Manrope"/>
                <w:b w:val="false"/>
                <w:bCs w:val="false"/>
                <w:i w:val="false"/>
                <w:iCs w:val="false"/>
                <w:color w:val="EDEFF7"/>
                <w:sz w:val="22"/>
                <w:szCs w:val="22"/>
              </w:rPr>
              <w:t xml:space="preserve">2026/27 reporting year    ·    Period 2 update</w:t>
            </w:r>
          </w:p>
        </w:tc>
      </w:tr>
    </w:tbl>
    <w:p>
      <w:pPr>
        <w:spacing w:after="260"/>
      </w:pPr>
      <w:r>
        <w:rPr>
          <w:rFonts w:ascii="Manrope" w:cs="Manrope" w:eastAsia="Manrope" w:hAnsi="Manrope"/>
          <w:b w:val="false"/>
          <w:bCs w:val="false"/>
          <w:i w:val="false"/>
          <w:iCs w:val="false"/>
          <w:color w:val="40424D"/>
          <w:sz w:val="22"/>
          <w:szCs w:val="22"/>
        </w:rPr>
        <w:t xml:space="preserve"/>
      </w:r>
    </w:p>
    <w:p>
      <w:pPr>
        <w:spacing w:after="120"/>
        <w:ind w:left="1153" w:right="1153"/>
      </w:pPr>
      <w:r>
        <w:rPr>
          <w:rFonts w:ascii="Manrope" w:cs="Manrope" w:eastAsia="Manrope" w:hAnsi="Manrope"/>
          <w:b/>
          <w:bCs/>
          <w:i w:val="false"/>
          <w:iCs w:val="false"/>
          <w:color w:val="00B6DB"/>
          <w:spacing w:val="40"/>
          <w:sz w:val="17"/>
          <w:szCs w:val="17"/>
        </w:rPr>
        <w:t xml:space="preserve">DOCUMENT DETAILS</w:t>
      </w:r>
    </w:p>
    <w:tbl>
      <w:tblPr>
        <w:tblW w:type="dxa" w:w="9600"/>
        <w:tblInd w:type="dxa" w:w="1153"/>
        <w:tblBorders>
          <w:top w:val="none" w:color="auto" w:sz="0"/>
          <w:left w:val="none" w:color="auto" w:sz="0"/>
          <w:bottom w:val="none" w:color="auto" w:sz="0"/>
          <w:right w:val="none" w:color="auto" w:sz="0"/>
          <w:insideH w:val="none" w:color="auto" w:sz="0"/>
          <w:insideV w:val="none" w:color="auto" w:sz="0"/>
        </w:tblBorders>
        <w:tblLayout w:type="fixed"/>
      </w:tblPr>
      <w:tblGrid>
        <w:gridCol w:w="2700"/>
        <w:gridCol w:w="6900"/>
      </w:tblGrid>
      <w:tr>
        <w:tc>
          <w:tcPr>
            <w:tcW w:type="dxa" w:w="2700"/>
            <w:tcBorders>
              <w:bottom w:val="single" w:color="EDEFF7" w:sz="4"/>
            </w:tcBorders>
            <w:tcMar>
              <w:top w:type="dxa" w:w="70"/>
              <w:left w:type="dxa" w:w="110"/>
              <w:bottom w:type="dxa" w:w="70"/>
              <w:right w:type="dxa" w:w="110"/>
            </w:tcMar>
            <w:vAlign w:val="center"/>
          </w:tcPr>
          <w:p>
            <w:pPr>
              <w:spacing w:after="0" w:before="0" w:line="240" w:lineRule="auto"/>
              <w:jc w:val="left"/>
            </w:pPr>
            <w:r>
              <w:rPr>
                <w:rFonts w:ascii="Manrope" w:cs="Manrope" w:eastAsia="Manrope" w:hAnsi="Manrope"/>
                <w:b/>
                <w:bCs/>
                <w:i w:val="false"/>
                <w:iCs w:val="false"/>
                <w:color w:val="00B6DB"/>
                <w:sz w:val="16"/>
                <w:szCs w:val="16"/>
              </w:rPr>
              <w:t xml:space="preserve">REPORT REFERENCE</w:t>
            </w:r>
          </w:p>
        </w:tc>
        <w:tc>
          <w:tcPr>
            <w:tcW w:type="dxa" w:w="6900"/>
            <w:tcBorders>
              <w:bottom w:val="single" w:color="EDEFF7" w:sz="4"/>
            </w:tcBorders>
            <w:tcMar>
              <w:top w:type="dxa" w:w="70"/>
              <w:left w:type="dxa" w:w="110"/>
              <w:bottom w:type="dxa" w:w="70"/>
              <w:right w:type="dxa" w:w="110"/>
            </w:tcMar>
            <w:vAlign w:val="center"/>
          </w:tcPr>
          <w:p>
            <w:pPr>
              <w:spacing w:after="0" w:before="0" w:line="252" w:lineRule="auto"/>
              <w:jc w:val="left"/>
            </w:pPr>
            <w:r>
              <w:rPr>
                <w:rFonts w:ascii="Manrope" w:cs="Manrope" w:eastAsia="Manrope" w:hAnsi="Manrope"/>
                <w:b w:val="false"/>
                <w:bCs w:val="false"/>
                <w:i w:val="false"/>
                <w:iCs w:val="false"/>
                <w:color w:val="0C2C3A"/>
                <w:sz w:val="20"/>
                <w:szCs w:val="20"/>
              </w:rPr>
              <w:t xml:space="preserve">SWW_FS0_01_2026/27</w:t>
            </w:r>
          </w:p>
        </w:tc>
      </w:tr>
      <w:tr>
        <w:tc>
          <w:tcPr>
            <w:tcW w:type="dxa" w:w="2700"/>
            <w:tcBorders>
              <w:bottom w:val="single" w:color="EDEFF7" w:sz="4"/>
            </w:tcBorders>
            <w:tcMar>
              <w:top w:type="dxa" w:w="70"/>
              <w:left w:type="dxa" w:w="110"/>
              <w:bottom w:type="dxa" w:w="70"/>
              <w:right w:type="dxa" w:w="110"/>
            </w:tcMar>
            <w:vAlign w:val="center"/>
          </w:tcPr>
          <w:p>
            <w:pPr>
              <w:spacing w:after="0" w:before="0" w:line="240" w:lineRule="auto"/>
              <w:jc w:val="left"/>
            </w:pPr>
            <w:r>
              <w:rPr>
                <w:rFonts w:ascii="Manrope" w:cs="Manrope" w:eastAsia="Manrope" w:hAnsi="Manrope"/>
                <w:b/>
                <w:bCs/>
                <w:i w:val="false"/>
                <w:iCs w:val="false"/>
                <w:color w:val="00B6DB"/>
                <w:sz w:val="16"/>
                <w:szCs w:val="16"/>
              </w:rPr>
              <w:t xml:space="preserve">CLIENT</w:t>
            </w:r>
          </w:p>
        </w:tc>
        <w:tc>
          <w:tcPr>
            <w:tcW w:type="dxa" w:w="6900"/>
            <w:tcBorders>
              <w:bottom w:val="single" w:color="EDEFF7" w:sz="4"/>
            </w:tcBorders>
            <w:tcMar>
              <w:top w:type="dxa" w:w="70"/>
              <w:left w:type="dxa" w:w="110"/>
              <w:bottom w:type="dxa" w:w="70"/>
              <w:right w:type="dxa" w:w="110"/>
            </w:tcMar>
            <w:vAlign w:val="center"/>
          </w:tcPr>
          <w:p>
            <w:pPr>
              <w:spacing w:after="0" w:before="0" w:line="252" w:lineRule="auto"/>
              <w:jc w:val="left"/>
            </w:pPr>
            <w:r>
              <w:rPr>
                <w:rFonts w:ascii="Manrope" w:cs="Manrope" w:eastAsia="Manrope" w:hAnsi="Manrope"/>
                <w:b w:val="false"/>
                <w:bCs w:val="false"/>
                <w:i w:val="false"/>
                <w:iCs w:val="false"/>
                <w:color w:val="0C2C3A"/>
                <w:sz w:val="20"/>
                <w:szCs w:val="20"/>
              </w:rPr>
              <w:t xml:space="preserve">South West Water</w:t>
            </w:r>
          </w:p>
        </w:tc>
      </w:tr>
      <w:tr>
        <w:tc>
          <w:tcPr>
            <w:tcW w:type="dxa" w:w="2700"/>
            <w:tcBorders>
              <w:bottom w:val="single" w:color="EDEFF7" w:sz="4"/>
            </w:tcBorders>
            <w:tcMar>
              <w:top w:type="dxa" w:w="70"/>
              <w:left w:type="dxa" w:w="110"/>
              <w:bottom w:type="dxa" w:w="70"/>
              <w:right w:type="dxa" w:w="110"/>
            </w:tcMar>
            <w:vAlign w:val="center"/>
          </w:tcPr>
          <w:p>
            <w:pPr>
              <w:spacing w:after="0" w:before="0" w:line="240" w:lineRule="auto"/>
              <w:jc w:val="left"/>
            </w:pPr>
            <w:r>
              <w:rPr>
                <w:rFonts w:ascii="Manrope" w:cs="Manrope" w:eastAsia="Manrope" w:hAnsi="Manrope"/>
                <w:b/>
                <w:bCs/>
                <w:i w:val="false"/>
                <w:iCs w:val="false"/>
                <w:color w:val="00B6DB"/>
                <w:sz w:val="16"/>
                <w:szCs w:val="16"/>
              </w:rPr>
              <w:t xml:space="preserve">CLIENT ADDRESS</w:t>
            </w:r>
          </w:p>
        </w:tc>
        <w:tc>
          <w:tcPr>
            <w:tcW w:type="dxa" w:w="6900"/>
            <w:tcBorders>
              <w:bottom w:val="single" w:color="EDEFF7" w:sz="4"/>
            </w:tcBorders>
            <w:tcMar>
              <w:top w:type="dxa" w:w="70"/>
              <w:left w:type="dxa" w:w="110"/>
              <w:bottom w:type="dxa" w:w="70"/>
              <w:right w:type="dxa" w:w="110"/>
            </w:tcMar>
            <w:vAlign w:val="center"/>
          </w:tcPr>
          <w:p>
            <w:pPr>
              <w:spacing w:after="0" w:before="0" w:line="252" w:lineRule="auto"/>
              <w:jc w:val="left"/>
            </w:pPr>
            <w:r>
              <w:rPr>
                <w:rFonts w:ascii="Manrope" w:cs="Manrope" w:eastAsia="Manrope" w:hAnsi="Manrope"/>
                <w:b w:val="false"/>
                <w:bCs w:val="false"/>
                <w:i w:val="false"/>
                <w:iCs w:val="false"/>
                <w:color w:val="0C2C3A"/>
                <w:sz w:val="20"/>
                <w:szCs w:val="20"/>
              </w:rPr>
              <w:t xml:space="preserve">Peninsula House, Rydon Lane, Exeter, Devon, EX2 7HR</w:t>
            </w:r>
          </w:p>
        </w:tc>
      </w:tr>
      <w:tr>
        <w:tc>
          <w:tcPr>
            <w:tcW w:type="dxa" w:w="2700"/>
            <w:tcBorders>
              <w:bottom w:val="single" w:color="EDEFF7" w:sz="4"/>
            </w:tcBorders>
            <w:tcMar>
              <w:top w:type="dxa" w:w="70"/>
              <w:left w:type="dxa" w:w="110"/>
              <w:bottom w:type="dxa" w:w="70"/>
              <w:right w:type="dxa" w:w="110"/>
            </w:tcMar>
            <w:vAlign w:val="center"/>
          </w:tcPr>
          <w:p>
            <w:pPr>
              <w:spacing w:after="0" w:before="0" w:line="240" w:lineRule="auto"/>
              <w:jc w:val="left"/>
            </w:pPr>
            <w:r>
              <w:rPr>
                <w:rFonts w:ascii="Manrope" w:cs="Manrope" w:eastAsia="Manrope" w:hAnsi="Manrope"/>
                <w:b/>
                <w:bCs/>
                <w:i w:val="false"/>
                <w:iCs w:val="false"/>
                <w:color w:val="00B6DB"/>
                <w:sz w:val="16"/>
                <w:szCs w:val="16"/>
              </w:rPr>
              <w:t xml:space="preserve">CLIENT CONTACT</w:t>
            </w:r>
          </w:p>
        </w:tc>
        <w:tc>
          <w:tcPr>
            <w:tcW w:type="dxa" w:w="6900"/>
            <w:tcBorders>
              <w:bottom w:val="single" w:color="EDEFF7" w:sz="4"/>
            </w:tcBorders>
            <w:tcMar>
              <w:top w:type="dxa" w:w="70"/>
              <w:left w:type="dxa" w:w="110"/>
              <w:bottom w:type="dxa" w:w="70"/>
              <w:right w:type="dxa" w:w="110"/>
            </w:tcMar>
            <w:vAlign w:val="center"/>
          </w:tcPr>
          <w:p>
            <w:pPr>
              <w:spacing w:after="0" w:before="0" w:line="252" w:lineRule="auto"/>
              <w:jc w:val="left"/>
            </w:pPr>
            <w:r>
              <w:rPr>
                <w:rFonts w:ascii="Manrope" w:cs="Manrope" w:eastAsia="Manrope" w:hAnsi="Manrope"/>
                <w:b w:val="false"/>
                <w:bCs w:val="false"/>
                <w:i w:val="false"/>
                <w:iCs w:val="false"/>
                <w:color w:val="0C2C3A"/>
                <w:sz w:val="20"/>
                <w:szCs w:val="20"/>
              </w:rPr>
              <w:t xml:space="preserve">Ray Haffron, rhaffron@southwestwater.co.uk</w:t>
            </w:r>
          </w:p>
        </w:tc>
      </w:tr>
      <w:tr>
        <w:tc>
          <w:tcPr>
            <w:tcW w:type="dxa" w:w="2700"/>
            <w:tcBorders>
              <w:bottom w:val="single" w:color="EDEFF7" w:sz="4"/>
            </w:tcBorders>
            <w:tcMar>
              <w:top w:type="dxa" w:w="70"/>
              <w:left w:type="dxa" w:w="110"/>
              <w:bottom w:type="dxa" w:w="70"/>
              <w:right w:type="dxa" w:w="110"/>
            </w:tcMar>
            <w:vAlign w:val="center"/>
          </w:tcPr>
          <w:p>
            <w:pPr>
              <w:spacing w:after="0" w:before="0" w:line="240" w:lineRule="auto"/>
              <w:jc w:val="left"/>
            </w:pPr>
            <w:r>
              <w:rPr>
                <w:rFonts w:ascii="Manrope" w:cs="Manrope" w:eastAsia="Manrope" w:hAnsi="Manrope"/>
                <w:b/>
                <w:bCs/>
                <w:i w:val="false"/>
                <w:iCs w:val="false"/>
                <w:color w:val="00B6DB"/>
                <w:sz w:val="16"/>
                <w:szCs w:val="16"/>
              </w:rPr>
              <w:t xml:space="preserve">PREPARED BY</w:t>
            </w:r>
          </w:p>
        </w:tc>
        <w:tc>
          <w:tcPr>
            <w:tcW w:type="dxa" w:w="6900"/>
            <w:tcBorders>
              <w:bottom w:val="single" w:color="EDEFF7" w:sz="4"/>
            </w:tcBorders>
            <w:tcMar>
              <w:top w:type="dxa" w:w="70"/>
              <w:left w:type="dxa" w:w="110"/>
              <w:bottom w:type="dxa" w:w="70"/>
              <w:right w:type="dxa" w:w="110"/>
            </w:tcMar>
            <w:vAlign w:val="center"/>
          </w:tcPr>
          <w:p>
            <w:pPr>
              <w:spacing w:after="0" w:before="0" w:line="252" w:lineRule="auto"/>
              <w:jc w:val="left"/>
            </w:pPr>
            <w:r>
              <w:rPr>
                <w:rFonts w:ascii="Manrope" w:cs="Manrope" w:eastAsia="Manrope" w:hAnsi="Manrope"/>
                <w:b w:val="false"/>
                <w:bCs w:val="false"/>
                <w:i w:val="false"/>
                <w:iCs w:val="false"/>
                <w:color w:val="0C2C3A"/>
                <w:sz w:val="20"/>
                <w:szCs w:val="20"/>
              </w:rPr>
              <w:t xml:space="preserve">Wayne Arscott, Water Services Director, WayneA@aqualogic-wc.com</w:t>
            </w:r>
          </w:p>
        </w:tc>
      </w:tr>
      <w:tr>
        <w:tc>
          <w:tcPr>
            <w:tcW w:type="dxa" w:w="2700"/>
            <w:tcBorders>
              <w:bottom w:val="single" w:color="EDEFF7" w:sz="4"/>
            </w:tcBorders>
            <w:tcMar>
              <w:top w:type="dxa" w:w="70"/>
              <w:left w:type="dxa" w:w="110"/>
              <w:bottom w:type="dxa" w:w="70"/>
              <w:right w:type="dxa" w:w="110"/>
            </w:tcMar>
            <w:vAlign w:val="center"/>
          </w:tcPr>
          <w:p>
            <w:pPr>
              <w:spacing w:after="0" w:before="0" w:line="240" w:lineRule="auto"/>
              <w:jc w:val="left"/>
            </w:pPr>
            <w:r>
              <w:rPr>
                <w:rFonts w:ascii="Manrope" w:cs="Manrope" w:eastAsia="Manrope" w:hAnsi="Manrope"/>
                <w:b/>
                <w:bCs/>
                <w:i w:val="false"/>
                <w:iCs w:val="false"/>
                <w:color w:val="00B6DB"/>
                <w:sz w:val="16"/>
                <w:szCs w:val="16"/>
              </w:rPr>
              <w:t xml:space="preserve">DATE</w:t>
            </w:r>
          </w:p>
        </w:tc>
        <w:tc>
          <w:tcPr>
            <w:tcW w:type="dxa" w:w="6900"/>
            <w:tcBorders>
              <w:bottom w:val="single" w:color="EDEFF7" w:sz="4"/>
            </w:tcBorders>
            <w:tcMar>
              <w:top w:type="dxa" w:w="70"/>
              <w:left w:type="dxa" w:w="110"/>
              <w:bottom w:type="dxa" w:w="70"/>
              <w:right w:type="dxa" w:w="110"/>
            </w:tcMar>
            <w:vAlign w:val="center"/>
          </w:tcPr>
          <w:p>
            <w:pPr>
              <w:spacing w:after="0" w:before="0" w:line="252" w:lineRule="auto"/>
              <w:jc w:val="left"/>
            </w:pPr>
            <w:r>
              <w:rPr>
                <w:rFonts w:ascii="Manrope" w:cs="Manrope" w:eastAsia="Manrope" w:hAnsi="Manrope"/>
                <w:b w:val="false"/>
                <w:bCs w:val="false"/>
                <w:i w:val="false"/>
                <w:iCs w:val="false"/>
                <w:color w:val="0C2C3A"/>
                <w:sz w:val="20"/>
                <w:szCs w:val="20"/>
              </w:rPr>
              <w:t xml:space="preserve">5 June 2026</w:t>
            </w:r>
          </w:p>
        </w:tc>
      </w:tr>
      <w:tr>
        <w:tc>
          <w:tcPr>
            <w:tcW w:type="dxa" w:w="2700"/>
            <w:tcBorders>
              <w:bottom w:val="single" w:color="EDEFF7" w:sz="4"/>
            </w:tcBorders>
            <w:tcMar>
              <w:top w:type="dxa" w:w="70"/>
              <w:left w:type="dxa" w:w="110"/>
              <w:bottom w:type="dxa" w:w="70"/>
              <w:right w:type="dxa" w:w="110"/>
            </w:tcMar>
            <w:vAlign w:val="center"/>
          </w:tcPr>
          <w:p>
            <w:pPr>
              <w:spacing w:after="0" w:before="0" w:line="240" w:lineRule="auto"/>
              <w:jc w:val="left"/>
            </w:pPr>
            <w:r>
              <w:rPr>
                <w:rFonts w:ascii="Manrope" w:cs="Manrope" w:eastAsia="Manrope" w:hAnsi="Manrope"/>
                <w:b/>
                <w:bCs/>
                <w:i w:val="false"/>
                <w:iCs w:val="false"/>
                <w:color w:val="00B6DB"/>
                <w:sz w:val="16"/>
                <w:szCs w:val="16"/>
              </w:rPr>
              <w:t xml:space="preserve">VERSION</w:t>
            </w:r>
          </w:p>
        </w:tc>
        <w:tc>
          <w:tcPr>
            <w:tcW w:type="dxa" w:w="6900"/>
            <w:tcBorders>
              <w:bottom w:val="single" w:color="EDEFF7" w:sz="4"/>
            </w:tcBorders>
            <w:tcMar>
              <w:top w:type="dxa" w:w="70"/>
              <w:left w:type="dxa" w:w="110"/>
              <w:bottom w:type="dxa" w:w="70"/>
              <w:right w:type="dxa" w:w="110"/>
            </w:tcMar>
            <w:vAlign w:val="center"/>
          </w:tcPr>
          <w:p>
            <w:pPr>
              <w:spacing w:after="0" w:before="0" w:line="252" w:lineRule="auto"/>
              <w:jc w:val="left"/>
            </w:pPr>
            <w:r>
              <w:rPr>
                <w:rFonts w:ascii="Manrope" w:cs="Manrope" w:eastAsia="Manrope" w:hAnsi="Manrope"/>
                <w:b w:val="false"/>
                <w:bCs w:val="false"/>
                <w:i w:val="false"/>
                <w:iCs w:val="false"/>
                <w:color w:val="0C2C3A"/>
                <w:sz w:val="20"/>
                <w:szCs w:val="20"/>
              </w:rPr>
              <w:t xml:space="preserve">1.1</w:t>
            </w:r>
          </w:p>
        </w:tc>
      </w:tr>
    </w:tbl>
    <w:p>
      <w:pPr>
        <w:spacing w:after="90" w:before="280"/>
        <w:ind w:left="1153" w:right="1153"/>
      </w:pPr>
      <w:r>
        <w:rPr>
          <w:rFonts w:ascii="Manrope" w:cs="Manrope" w:eastAsia="Manrope" w:hAnsi="Manrope"/>
          <w:b/>
          <w:bCs/>
          <w:i w:val="false"/>
          <w:iCs w:val="false"/>
          <w:color w:val="00B6DB"/>
          <w:spacing w:val="40"/>
          <w:sz w:val="17"/>
          <w:szCs w:val="17"/>
        </w:rPr>
        <w:t xml:space="preserve">DOCUMENT OUTLINE</w:t>
      </w:r>
    </w:p>
    <w:p>
      <w:pPr>
        <w:spacing w:after="0" w:line="276"/>
        <w:ind w:left="1153" w:right="1153"/>
      </w:pPr>
      <w:r>
        <w:rPr>
          <w:rFonts w:ascii="Manrope" w:cs="Manrope" w:eastAsia="Manrope" w:hAnsi="Manrope"/>
          <w:b w:val="false"/>
          <w:bCs w:val="false"/>
          <w:i w:val="false"/>
          <w:iCs w:val="false"/>
          <w:color w:val="0C2C3A"/>
          <w:sz w:val="22"/>
          <w:szCs w:val="22"/>
        </w:rPr>
        <w:t xml:space="preserve">This document provides a Period 2 update on the leakage-related workstreams at South West Water being delivered by Aqualogic as part of the field services framework contract with Pennon Group.</w:t>
      </w:r>
    </w:p>
    <w:p>
      <w:pPr>
        <w:spacing w:after="0" w:before="2500"/>
        <w:jc w:val="center"/>
      </w:pPr>
      <w:r>
        <w:rPr>
          <w:rFonts w:ascii="Manrope" w:cs="Manrope" w:eastAsia="Manrope" w:hAnsi="Manrope"/>
          <w:b w:val="false"/>
          <w:bCs w:val="false"/>
          <w:i w:val="false"/>
          <w:iCs w:val="false"/>
          <w:color w:val="00B6DB"/>
          <w:sz w:val="24"/>
          <w:szCs w:val="24"/>
        </w:rPr>
        <w:t xml:space="preserve">Intelligent water conservation.</w:t>
      </w:r>
    </w:p>
    <w:p>
      <w:pPr>
        <w:sectPr>
          <w:footerReference w:type="default" r:id="rId7"/>
          <w:pgSz w:w="11906" w:h="16838" w:orient="portrait"/>
          <w:pgMar w:top="0" w:right="0" w:bottom="0" w:left="0" w:header="0" w:footer="300" w:gutter="0"/>
          <w:pgNumType/>
          <w:docGrid w:linePitch="360"/>
        </w:sectPr>
      </w:pPr>
    </w:p>
    <w:p>
      <w:pPr>
        <w:keepNext/>
        <w:pBdr>
          <w:bottom w:val="single" w:color="00B6DB" w:sz="8" w:space="6"/>
        </w:pBdr>
        <w:spacing w:after="200" w:before="60"/>
      </w:pPr>
      <w:r>
        <w:rPr>
          <w:rFonts w:ascii="Manrope" w:cs="Manrope" w:eastAsia="Manrope" w:hAnsi="Manrope"/>
          <w:b/>
          <w:bCs/>
          <w:i w:val="false"/>
          <w:iCs w:val="false"/>
          <w:color w:val="00B6DB"/>
          <w:sz w:val="30"/>
          <w:szCs w:val="30"/>
        </w:rPr>
        <w:t xml:space="preserve">1    </w:t>
      </w:r>
      <w:r>
        <w:rPr>
          <w:rFonts w:ascii="Manrope" w:cs="Manrope" w:eastAsia="Manrope" w:hAnsi="Manrope"/>
          <w:b/>
          <w:bCs/>
          <w:i w:val="false"/>
          <w:iCs w:val="false"/>
          <w:color w:val="0C2C3A"/>
          <w:sz w:val="30"/>
          <w:szCs w:val="30"/>
        </w:rPr>
        <w:t xml:space="preserve">Executive Summary</w:t>
      </w:r>
    </w:p>
    <w:p>
      <w:pPr>
        <w:spacing w:after="160" w:before="0" w:line="264" w:lineRule="auto"/>
        <w:jc w:val="left"/>
      </w:pPr>
      <w:r>
        <w:rPr>
          <w:rFonts w:ascii="Manrope" w:cs="Manrope" w:eastAsia="Manrope" w:hAnsi="Manrope"/>
          <w:b w:val="false"/>
          <w:bCs w:val="false"/>
          <w:i w:val="false"/>
          <w:iCs w:val="false"/>
          <w:color w:val="40424D"/>
          <w:sz w:val="22"/>
          <w:szCs w:val="22"/>
        </w:rPr>
        <w:t xml:space="preserve">Aqualogic has been asked to continue supporting South West Water in delivering meaningful leakage reductions, helping to achieve both regulatory commitments and business performance targets.</w:t>
      </w:r>
    </w:p>
    <w:p>
      <w:pPr>
        <w:spacing w:after="160" w:before="0" w:line="264" w:lineRule="auto"/>
        <w:jc w:val="left"/>
      </w:pPr>
      <w:r>
        <w:rPr>
          <w:rFonts w:ascii="Manrope" w:cs="Manrope" w:eastAsia="Manrope" w:hAnsi="Manrope"/>
          <w:b w:val="false"/>
          <w:bCs w:val="false"/>
          <w:i w:val="false"/>
          <w:iCs w:val="false"/>
          <w:color w:val="40424D"/>
          <w:sz w:val="22"/>
          <w:szCs w:val="22"/>
        </w:rPr>
        <w:t xml:space="preserve">During the 2025/26 reporting year, Aqualogic delivered over 90 Ml/d of leakage savings through a suite of managed operational and strategic workstreams, making a significant contribution to South West Water's overall leakage performance.</w:t>
      </w:r>
    </w:p>
    <w:p>
      <w:pPr>
        <w:spacing w:after="160" w:before="0" w:line="264" w:lineRule="auto"/>
        <w:jc w:val="left"/>
      </w:pPr>
      <w:r>
        <w:rPr>
          <w:rFonts w:ascii="Manrope" w:cs="Manrope" w:eastAsia="Manrope" w:hAnsi="Manrope"/>
          <w:b w:val="false"/>
          <w:bCs w:val="false"/>
          <w:i w:val="false"/>
          <w:iCs w:val="false"/>
          <w:color w:val="40424D"/>
          <w:sz w:val="22"/>
          <w:szCs w:val="22"/>
        </w:rPr>
        <w:t xml:space="preserve">The table below summarises the achievements over the past 12 months and sets out what is forecast for 2026/27.</w:t>
      </w:r>
    </w:p>
    <w:tbl>
      <w:tblPr>
        <w:tblW w:type="dxa" w:w="9600"/>
        <w:tblBorders>
          <w:top w:val="single" w:color="D3D6E0" w:sz="4"/>
          <w:left w:val="single" w:color="D3D6E0" w:sz="4"/>
          <w:bottom w:val="single" w:color="D3D6E0" w:sz="4"/>
          <w:right w:val="single" w:color="D3D6E0" w:sz="4"/>
          <w:insideH w:val="single" w:color="D3D6E0" w:sz="4"/>
          <w:insideV w:val="single" w:color="D3D6E0" w:sz="4"/>
        </w:tblBorders>
        <w:tblLayout w:type="fixed"/>
      </w:tblPr>
      <w:tblGrid>
        <w:gridCol w:w="2100"/>
        <w:gridCol w:w="1300"/>
        <w:gridCol w:w="1300"/>
        <w:gridCol w:w="1300"/>
        <w:gridCol w:w="1300"/>
        <w:gridCol w:w="2300"/>
      </w:tblGrid>
      <w:tr>
        <w:trPr>
          <w:tblHeader/>
        </w:trPr>
        <w:tc>
          <w:tcPr>
            <w:tcW w:type="dxa" w:w="2100"/>
            <w:vMerge w:val="restart"/>
            <w:shd w:fill="0C2C3A"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bCs/>
                <w:i w:val="false"/>
                <w:iCs w:val="false"/>
                <w:color w:val="FFFFFF"/>
                <w:sz w:val="16"/>
                <w:szCs w:val="16"/>
              </w:rPr>
              <w:t xml:space="preserve">Workstream</w:t>
            </w:r>
          </w:p>
        </w:tc>
        <w:tc>
          <w:tcPr>
            <w:tcW w:type="dxa" w:w="2600"/>
            <w:gridSpan w:val="2"/>
            <w:shd w:fill="0C2C3A"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bCs/>
                <w:i w:val="false"/>
                <w:iCs w:val="false"/>
                <w:color w:val="FFFFFF"/>
                <w:sz w:val="16"/>
                <w:szCs w:val="16"/>
              </w:rPr>
              <w:t xml:space="preserve">2025/26 actual</w:t>
            </w:r>
          </w:p>
        </w:tc>
        <w:tc>
          <w:tcPr>
            <w:tcW w:type="dxa" w:w="2600"/>
            <w:gridSpan w:val="2"/>
            <w:shd w:fill="0C2C3A"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bCs/>
                <w:i w:val="false"/>
                <w:iCs w:val="false"/>
                <w:color w:val="FFFFFF"/>
                <w:sz w:val="16"/>
                <w:szCs w:val="16"/>
              </w:rPr>
              <w:t xml:space="preserve">2026/27 forecast</w:t>
            </w:r>
          </w:p>
        </w:tc>
        <w:tc>
          <w:tcPr>
            <w:tcW w:type="dxa" w:w="2300"/>
            <w:vMerge w:val="restart"/>
            <w:shd w:fill="0C2C3A"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bCs/>
                <w:i w:val="false"/>
                <w:iCs w:val="false"/>
                <w:color w:val="FFFFFF"/>
                <w:sz w:val="16"/>
                <w:szCs w:val="16"/>
              </w:rPr>
              <w:t xml:space="preserve">26/27 cost per Ml/d (exc. repair)</w:t>
            </w:r>
          </w:p>
        </w:tc>
      </w:tr>
      <w:tr>
        <w:trPr>
          <w:tblHeader/>
        </w:trPr>
        <w:tc>
          <w:tcPr>
            <w:vMerge w:val="continue"/>
          </w:tcPr>
          <w:p/>
        </w:tc>
        <w:tc>
          <w:tcPr>
            <w:tcW w:type="dxa" w:w="1300"/>
            <w:shd w:fill="0C2C3A"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bCs/>
                <w:i w:val="false"/>
                <w:iCs w:val="false"/>
                <w:color w:val="FFFFFF"/>
                <w:sz w:val="16"/>
                <w:szCs w:val="16"/>
              </w:rPr>
              <w:t xml:space="preserve">Leaks</w:t>
            </w:r>
          </w:p>
        </w:tc>
        <w:tc>
          <w:tcPr>
            <w:tcW w:type="dxa" w:w="1300"/>
            <w:shd w:fill="0C2C3A"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bCs/>
                <w:i w:val="false"/>
                <w:iCs w:val="false"/>
                <w:color w:val="FFFFFF"/>
                <w:sz w:val="16"/>
                <w:szCs w:val="16"/>
              </w:rPr>
              <w:t xml:space="preserve">Ml/d</w:t>
            </w:r>
          </w:p>
        </w:tc>
        <w:tc>
          <w:tcPr>
            <w:tcW w:type="dxa" w:w="1300"/>
            <w:shd w:fill="0C2C3A"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bCs/>
                <w:i w:val="false"/>
                <w:iCs w:val="false"/>
                <w:color w:val="FFFFFF"/>
                <w:sz w:val="16"/>
                <w:szCs w:val="16"/>
              </w:rPr>
              <w:t xml:space="preserve">Leaks</w:t>
            </w:r>
          </w:p>
        </w:tc>
        <w:tc>
          <w:tcPr>
            <w:tcW w:type="dxa" w:w="1300"/>
            <w:shd w:fill="0C2C3A"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bCs/>
                <w:i w:val="false"/>
                <w:iCs w:val="false"/>
                <w:color w:val="FFFFFF"/>
                <w:sz w:val="16"/>
                <w:szCs w:val="16"/>
              </w:rPr>
              <w:t xml:space="preserve">Ml/d</w:t>
            </w:r>
          </w:p>
        </w:tc>
        <w:tc>
          <w:tcPr>
            <w:vMerge w:val="continue"/>
          </w:tcPr>
          <w:p/>
        </w:tc>
      </w:tr>
      <w:tr>
        <w:tc>
          <w:tcPr>
            <w:tcW w:type="dxa" w:w="2100"/>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Upstream Losses</w:t>
            </w:r>
          </w:p>
        </w:tc>
        <w:tc>
          <w:tcPr>
            <w:tcW w:type="dxa" w:w="130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1,265</w:t>
            </w:r>
          </w:p>
        </w:tc>
        <w:tc>
          <w:tcPr>
            <w:tcW w:type="dxa" w:w="130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17.7</w:t>
            </w:r>
          </w:p>
        </w:tc>
        <w:tc>
          <w:tcPr>
            <w:tcW w:type="dxa" w:w="130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1,860</w:t>
            </w:r>
          </w:p>
        </w:tc>
        <w:tc>
          <w:tcPr>
            <w:tcW w:type="dxa" w:w="130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24</w:t>
            </w:r>
          </w:p>
        </w:tc>
        <w:tc>
          <w:tcPr>
            <w:tcW w:type="dxa" w:w="230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£109,675.43</w:t>
            </w:r>
          </w:p>
        </w:tc>
      </w:tr>
      <w:tr>
        <w:tc>
          <w:tcPr>
            <w:tcW w:type="dxa" w:w="2100"/>
            <w:shd w:fill="EDEFF7"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DMA Optimisation</w:t>
            </w:r>
          </w:p>
        </w:tc>
        <w:tc>
          <w:tcPr>
            <w:tcW w:type="dxa" w:w="1300"/>
            <w:shd w:fill="EDEFF7"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331 (28 wks)</w:t>
            </w:r>
          </w:p>
        </w:tc>
        <w:tc>
          <w:tcPr>
            <w:tcW w:type="dxa" w:w="1300"/>
            <w:shd w:fill="EDEFF7"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7.5</w:t>
            </w:r>
          </w:p>
        </w:tc>
        <w:tc>
          <w:tcPr>
            <w:tcW w:type="dxa" w:w="1300"/>
            <w:shd w:fill="EDEFF7"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528</w:t>
            </w:r>
          </w:p>
        </w:tc>
        <w:tc>
          <w:tcPr>
            <w:tcW w:type="dxa" w:w="1300"/>
            <w:shd w:fill="EDEFF7"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11.28</w:t>
            </w:r>
          </w:p>
        </w:tc>
        <w:tc>
          <w:tcPr>
            <w:tcW w:type="dxa" w:w="2300"/>
            <w:shd w:fill="EDEFF7"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£99,995.83</w:t>
            </w:r>
          </w:p>
        </w:tc>
      </w:tr>
      <w:tr>
        <w:tc>
          <w:tcPr>
            <w:tcW w:type="dxa" w:w="2100"/>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iQuarius+</w:t>
            </w:r>
          </w:p>
        </w:tc>
        <w:tc>
          <w:tcPr>
            <w:tcW w:type="dxa" w:w="130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4,472</w:t>
            </w:r>
          </w:p>
        </w:tc>
        <w:tc>
          <w:tcPr>
            <w:tcW w:type="dxa" w:w="130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52.3</w:t>
            </w:r>
          </w:p>
        </w:tc>
        <w:tc>
          <w:tcPr>
            <w:tcW w:type="dxa" w:w="130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4,512</w:t>
            </w:r>
          </w:p>
        </w:tc>
        <w:tc>
          <w:tcPr>
            <w:tcW w:type="dxa" w:w="130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48</w:t>
            </w:r>
          </w:p>
        </w:tc>
        <w:tc>
          <w:tcPr>
            <w:tcW w:type="dxa" w:w="230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£88,316.32</w:t>
            </w:r>
          </w:p>
        </w:tc>
      </w:tr>
      <w:tr>
        <w:tc>
          <w:tcPr>
            <w:tcW w:type="dxa" w:w="2100"/>
            <w:shd w:fill="EDEFF7"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Inoperable DMAs</w:t>
            </w:r>
          </w:p>
        </w:tc>
        <w:tc>
          <w:tcPr>
            <w:tcW w:type="dxa" w:w="1300"/>
            <w:shd w:fill="EDEFF7"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174 (23 wks)</w:t>
            </w:r>
          </w:p>
        </w:tc>
        <w:tc>
          <w:tcPr>
            <w:tcW w:type="dxa" w:w="1300"/>
            <w:shd w:fill="EDEFF7"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2.4</w:t>
            </w:r>
          </w:p>
        </w:tc>
        <w:tc>
          <w:tcPr>
            <w:tcW w:type="dxa" w:w="1300"/>
            <w:shd w:fill="EDEFF7"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420</w:t>
            </w:r>
          </w:p>
        </w:tc>
        <w:tc>
          <w:tcPr>
            <w:tcW w:type="dxa" w:w="1300"/>
            <w:shd w:fill="EDEFF7"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4.56</w:t>
            </w:r>
          </w:p>
        </w:tc>
        <w:tc>
          <w:tcPr>
            <w:tcW w:type="dxa" w:w="2300"/>
            <w:shd w:fill="EDEFF7"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£99,995.83</w:t>
            </w:r>
          </w:p>
        </w:tc>
      </w:tr>
      <w:tr>
        <w:tc>
          <w:tcPr>
            <w:tcW w:type="dxa" w:w="2100"/>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Pressure Management</w:t>
            </w:r>
          </w:p>
        </w:tc>
        <w:tc>
          <w:tcPr>
            <w:tcW w:type="dxa" w:w="130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w:t>
            </w:r>
          </w:p>
        </w:tc>
        <w:tc>
          <w:tcPr>
            <w:tcW w:type="dxa" w:w="130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12.4</w:t>
            </w:r>
          </w:p>
        </w:tc>
        <w:tc>
          <w:tcPr>
            <w:tcW w:type="dxa" w:w="130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w:t>
            </w:r>
          </w:p>
        </w:tc>
        <w:tc>
          <w:tcPr>
            <w:tcW w:type="dxa" w:w="130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12.10</w:t>
            </w:r>
          </w:p>
        </w:tc>
        <w:tc>
          <w:tcPr>
            <w:tcW w:type="dxa" w:w="230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£98,103.35</w:t>
            </w:r>
          </w:p>
        </w:tc>
      </w:tr>
      <w:tr>
        <w:tc>
          <w:tcPr>
            <w:tcW w:type="dxa" w:w="2100"/>
            <w:shd w:fill="D6EEF6"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bCs/>
                <w:i w:val="false"/>
                <w:iCs w:val="false"/>
                <w:color w:val="0C2C3A"/>
                <w:sz w:val="18"/>
                <w:szCs w:val="18"/>
              </w:rPr>
              <w:t xml:space="preserve">Total</w:t>
            </w:r>
          </w:p>
        </w:tc>
        <w:tc>
          <w:tcPr>
            <w:tcW w:type="dxa" w:w="1300"/>
            <w:shd w:fill="D6EEF6"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bCs/>
                <w:i w:val="false"/>
                <w:iCs w:val="false"/>
                <w:color w:val="0C2C3A"/>
                <w:sz w:val="18"/>
                <w:szCs w:val="18"/>
              </w:rPr>
              <w:t xml:space="preserve">6,242</w:t>
            </w:r>
          </w:p>
        </w:tc>
        <w:tc>
          <w:tcPr>
            <w:tcW w:type="dxa" w:w="1300"/>
            <w:shd w:fill="D6EEF6"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bCs/>
                <w:i w:val="false"/>
                <w:iCs w:val="false"/>
                <w:color w:val="0C2C3A"/>
                <w:sz w:val="18"/>
                <w:szCs w:val="18"/>
              </w:rPr>
              <w:t xml:space="preserve">92.3</w:t>
            </w:r>
          </w:p>
        </w:tc>
        <w:tc>
          <w:tcPr>
            <w:tcW w:type="dxa" w:w="1300"/>
            <w:shd w:fill="D6EEF6"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bCs/>
                <w:i w:val="false"/>
                <w:iCs w:val="false"/>
                <w:color w:val="0C2C3A"/>
                <w:sz w:val="18"/>
                <w:szCs w:val="18"/>
              </w:rPr>
              <w:t xml:space="preserve">7,320</w:t>
            </w:r>
          </w:p>
        </w:tc>
        <w:tc>
          <w:tcPr>
            <w:tcW w:type="dxa" w:w="1300"/>
            <w:shd w:fill="D6EEF6"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bCs/>
                <w:i w:val="false"/>
                <w:iCs w:val="false"/>
                <w:color w:val="0C2C3A"/>
                <w:sz w:val="18"/>
                <w:szCs w:val="18"/>
              </w:rPr>
              <w:t xml:space="preserve">99.9</w:t>
            </w:r>
          </w:p>
        </w:tc>
        <w:tc>
          <w:tcPr>
            <w:tcW w:type="dxa" w:w="2300"/>
            <w:shd w:fill="D6EEF6"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bCs/>
                <w:i w:val="false"/>
                <w:iCs w:val="false"/>
                <w:color w:val="0C2C3A"/>
                <w:sz w:val="18"/>
                <w:szCs w:val="18"/>
              </w:rPr>
              <w:t xml:space="preserve">£99,217.35</w:t>
            </w:r>
          </w:p>
        </w:tc>
      </w:tr>
    </w:tbl>
    <w:p>
      <w:pPr>
        <w:spacing w:after="160" w:before="200" w:line="264" w:lineRule="auto"/>
        <w:jc w:val="left"/>
      </w:pPr>
      <w:r>
        <w:rPr>
          <w:rFonts w:ascii="Manrope" w:cs="Manrope" w:eastAsia="Manrope" w:hAnsi="Manrope"/>
          <w:b w:val="false"/>
          <w:bCs w:val="false"/>
          <w:i w:val="false"/>
          <w:iCs w:val="false"/>
          <w:color w:val="40424D"/>
          <w:sz w:val="22"/>
          <w:szCs w:val="22"/>
        </w:rPr>
        <w:t xml:space="preserve">This document sets out the proposed continuation of these workstreams for the full 2026/27 reporting year, including:</w:t>
      </w:r>
    </w:p>
    <w:p>
      <w:pPr>
        <w:pStyle w:val="ListParagraph"/>
        <w:numPr>
          <w:ilvl w:val="0"/>
          <w:numId w:val="2"/>
        </w:numPr>
        <w:spacing w:after="90" w:line="260" w:lineRule="auto"/>
      </w:pPr>
      <w:r>
        <w:rPr>
          <w:rFonts w:ascii="Manrope" w:cs="Manrope" w:eastAsia="Manrope" w:hAnsi="Manrope"/>
          <w:b w:val="false"/>
          <w:bCs w:val="false"/>
          <w:i w:val="false"/>
          <w:iCs w:val="false"/>
          <w:color w:val="40424D"/>
          <w:sz w:val="22"/>
          <w:szCs w:val="22"/>
        </w:rPr>
        <w:t xml:space="preserve">the base budgets required to sustain delivery</w:t>
      </w:r>
    </w:p>
    <w:p>
      <w:pPr>
        <w:pStyle w:val="ListParagraph"/>
        <w:numPr>
          <w:ilvl w:val="0"/>
          <w:numId w:val="2"/>
        </w:numPr>
        <w:spacing w:after="90" w:line="260" w:lineRule="auto"/>
      </w:pPr>
      <w:r>
        <w:rPr>
          <w:rFonts w:ascii="Manrope" w:cs="Manrope" w:eastAsia="Manrope" w:hAnsi="Manrope"/>
          <w:b w:val="false"/>
          <w:bCs w:val="false"/>
          <w:i w:val="false"/>
          <w:iCs w:val="false"/>
          <w:color w:val="40424D"/>
          <w:sz w:val="22"/>
          <w:szCs w:val="22"/>
        </w:rPr>
        <w:t xml:space="preserve">the expected leakage savings volumes attributable to each workstream</w:t>
      </w:r>
    </w:p>
    <w:p>
      <w:pPr>
        <w:pStyle w:val="ListParagraph"/>
        <w:numPr>
          <w:ilvl w:val="0"/>
          <w:numId w:val="2"/>
        </w:numPr>
        <w:spacing w:after="90" w:line="260" w:lineRule="auto"/>
      </w:pPr>
      <w:r>
        <w:rPr>
          <w:rFonts w:ascii="Manrope" w:cs="Manrope" w:eastAsia="Manrope" w:hAnsi="Manrope"/>
          <w:b w:val="false"/>
          <w:bCs w:val="false"/>
          <w:i w:val="false"/>
          <w:iCs w:val="false"/>
          <w:color w:val="40424D"/>
          <w:sz w:val="22"/>
          <w:szCs w:val="22"/>
        </w:rPr>
        <w:t xml:space="preserve">options for enhancement, optimisation or scaling to further support South West Water's strategic objectives.</w:t>
      </w:r>
    </w:p>
    <w:p>
      <w:pPr>
        <w:spacing w:after="160" w:before="60" w:line="264" w:lineRule="auto"/>
        <w:jc w:val="left"/>
      </w:pPr>
      <w:r>
        <w:rPr>
          <w:rFonts w:ascii="Manrope" w:cs="Manrope" w:eastAsia="Manrope" w:hAnsi="Manrope"/>
          <w:b w:val="false"/>
          <w:bCs w:val="false"/>
          <w:i w:val="false"/>
          <w:iCs w:val="false"/>
          <w:color w:val="40424D"/>
          <w:sz w:val="22"/>
          <w:szCs w:val="22"/>
        </w:rPr>
        <w:t xml:space="preserve">The sections that follow outline each workstream, the operational model Aqualogic will deploy, the resourcing and capability profile required, and the forecast impact on leakage performance across the year.</w:t>
      </w:r>
    </w:p>
    <w:p>
      <w:pPr>
        <w:keepNext/>
        <w:pageBreakBefore/>
        <w:pBdr>
          <w:bottom w:val="single" w:color="00B6DB" w:sz="8" w:space="6"/>
        </w:pBdr>
        <w:spacing w:after="200" w:before="60"/>
      </w:pPr>
      <w:r>
        <w:rPr>
          <w:rFonts w:ascii="Manrope" w:cs="Manrope" w:eastAsia="Manrope" w:hAnsi="Manrope"/>
          <w:b/>
          <w:bCs/>
          <w:i w:val="false"/>
          <w:iCs w:val="false"/>
          <w:color w:val="00B6DB"/>
          <w:sz w:val="30"/>
          <w:szCs w:val="30"/>
        </w:rPr>
        <w:t xml:space="preserve">2    </w:t>
      </w:r>
      <w:r>
        <w:rPr>
          <w:rFonts w:ascii="Manrope" w:cs="Manrope" w:eastAsia="Manrope" w:hAnsi="Manrope"/>
          <w:b/>
          <w:bCs/>
          <w:i w:val="false"/>
          <w:iCs w:val="false"/>
          <w:color w:val="0C2C3A"/>
          <w:sz w:val="30"/>
          <w:szCs w:val="30"/>
        </w:rPr>
        <w:t xml:space="preserve">Period 2 Performance Update</w:t>
      </w:r>
    </w:p>
    <w:p>
      <w:pPr>
        <w:spacing w:after="200" w:before="0" w:line="264" w:lineRule="auto"/>
        <w:jc w:val="left"/>
      </w:pPr>
      <w:r>
        <w:rPr>
          <w:rFonts w:ascii="Manrope" w:cs="Manrope" w:eastAsia="Manrope" w:hAnsi="Manrope"/>
          <w:b w:val="false"/>
          <w:bCs w:val="false"/>
          <w:i w:val="false"/>
          <w:iCs w:val="false"/>
          <w:color w:val="6E7180"/>
          <w:sz w:val="20"/>
          <w:szCs w:val="20"/>
        </w:rPr>
        <w:t xml:space="preserve">April and May 2026</w:t>
      </w:r>
    </w:p>
    <w:tbl>
      <w:tblPr>
        <w:tblW w:type="dxa" w:w="9600"/>
        <w:tblBorders>
          <w:top w:val="none" w:color="auto" w:sz="0"/>
          <w:left w:val="none" w:color="auto" w:sz="0"/>
          <w:bottom w:val="none" w:color="auto" w:sz="0"/>
          <w:right w:val="none" w:color="auto" w:sz="0"/>
          <w:insideH w:val="none" w:color="auto" w:sz="0"/>
          <w:insideV w:val="single" w:color="173B4A" w:sz="6"/>
        </w:tblBorders>
        <w:tblLayout w:type="fixed"/>
      </w:tblPr>
      <w:tblGrid>
        <w:gridCol w:w="3200"/>
        <w:gridCol w:w="3200"/>
        <w:gridCol w:w="3200"/>
      </w:tblGrid>
      <w:tr>
        <w:tc>
          <w:tcPr>
            <w:tcW w:type="dxa" w:w="3200"/>
            <w:shd w:fill="0C2C3A" w:color="auto" w:val="clear"/>
            <w:tcMar>
              <w:top w:type="dxa" w:w="170"/>
              <w:left w:type="dxa" w:w="120"/>
              <w:bottom w:type="dxa" w:w="170"/>
              <w:right w:type="dxa" w:w="120"/>
            </w:tcMar>
            <w:vAlign w:val="center"/>
          </w:tcPr>
          <w:p>
            <w:pPr>
              <w:spacing w:after="30" w:line="240"/>
              <w:jc w:val="center"/>
            </w:pPr>
            <w:r>
              <w:rPr>
                <w:rFonts w:ascii="Manrope" w:cs="Manrope" w:eastAsia="Manrope" w:hAnsi="Manrope"/>
                <w:b/>
                <w:bCs/>
                <w:i w:val="false"/>
                <w:iCs w:val="false"/>
                <w:color w:val="00B6DB"/>
                <w:sz w:val="40"/>
                <w:szCs w:val="40"/>
              </w:rPr>
              <w:t xml:space="preserve">90+ Ml/d</w:t>
            </w:r>
          </w:p>
          <w:p>
            <w:pPr>
              <w:spacing w:after="0" w:line="230"/>
              <w:jc w:val="center"/>
            </w:pPr>
            <w:r>
              <w:rPr>
                <w:rFonts w:ascii="Manrope" w:cs="Manrope" w:eastAsia="Manrope" w:hAnsi="Manrope"/>
                <w:b w:val="false"/>
                <w:bCs w:val="false"/>
                <w:i w:val="false"/>
                <w:iCs w:val="false"/>
                <w:color w:val="FFFFFF"/>
                <w:sz w:val="17"/>
                <w:szCs w:val="17"/>
              </w:rPr>
              <w:t xml:space="preserve">delivered in 2025/26</w:t>
            </w:r>
          </w:p>
        </w:tc>
        <w:tc>
          <w:tcPr>
            <w:tcW w:type="dxa" w:w="3200"/>
            <w:shd w:fill="0C2C3A" w:color="auto" w:val="clear"/>
            <w:tcMar>
              <w:top w:type="dxa" w:w="170"/>
              <w:left w:type="dxa" w:w="120"/>
              <w:bottom w:type="dxa" w:w="170"/>
              <w:right w:type="dxa" w:w="120"/>
            </w:tcMar>
            <w:vAlign w:val="center"/>
          </w:tcPr>
          <w:p>
            <w:pPr>
              <w:spacing w:after="30" w:line="240"/>
              <w:jc w:val="center"/>
            </w:pPr>
            <w:r>
              <w:rPr>
                <w:rFonts w:ascii="Manrope" w:cs="Manrope" w:eastAsia="Manrope" w:hAnsi="Manrope"/>
                <w:b/>
                <w:bCs/>
                <w:i w:val="false"/>
                <w:iCs w:val="false"/>
                <w:color w:val="00B6DB"/>
                <w:sz w:val="40"/>
                <w:szCs w:val="40"/>
              </w:rPr>
              <w:t xml:space="preserve">99.9 Ml/d</w:t>
            </w:r>
          </w:p>
          <w:p>
            <w:pPr>
              <w:spacing w:after="0" w:line="230"/>
              <w:jc w:val="center"/>
            </w:pPr>
            <w:r>
              <w:rPr>
                <w:rFonts w:ascii="Manrope" w:cs="Manrope" w:eastAsia="Manrope" w:hAnsi="Manrope"/>
                <w:b w:val="false"/>
                <w:bCs w:val="false"/>
                <w:i w:val="false"/>
                <w:iCs w:val="false"/>
                <w:color w:val="FFFFFF"/>
                <w:sz w:val="17"/>
                <w:szCs w:val="17"/>
              </w:rPr>
              <w:t xml:space="preserve">forecast offset for 2026/27</w:t>
            </w:r>
          </w:p>
        </w:tc>
        <w:tc>
          <w:tcPr>
            <w:tcW w:type="dxa" w:w="3200"/>
            <w:shd w:fill="0C2C3A" w:color="auto" w:val="clear"/>
            <w:tcMar>
              <w:top w:type="dxa" w:w="170"/>
              <w:left w:type="dxa" w:w="120"/>
              <w:bottom w:type="dxa" w:w="170"/>
              <w:right w:type="dxa" w:w="120"/>
            </w:tcMar>
            <w:vAlign w:val="center"/>
          </w:tcPr>
          <w:p>
            <w:pPr>
              <w:spacing w:after="30" w:line="240"/>
              <w:jc w:val="center"/>
            </w:pPr>
            <w:r>
              <w:rPr>
                <w:rFonts w:ascii="Manrope" w:cs="Manrope" w:eastAsia="Manrope" w:hAnsi="Manrope"/>
                <w:b/>
                <w:bCs/>
                <w:i w:val="false"/>
                <w:iCs w:val="false"/>
                <w:color w:val="00B6DB"/>
                <w:sz w:val="40"/>
                <w:szCs w:val="40"/>
              </w:rPr>
              <w:t xml:space="preserve">+41.7%</w:t>
            </w:r>
          </w:p>
          <w:p>
            <w:pPr>
              <w:spacing w:after="0" w:line="230"/>
              <w:jc w:val="center"/>
            </w:pPr>
            <w:r>
              <w:rPr>
                <w:rFonts w:ascii="Manrope" w:cs="Manrope" w:eastAsia="Manrope" w:hAnsi="Manrope"/>
                <w:b w:val="false"/>
                <w:bCs w:val="false"/>
                <w:i w:val="false"/>
                <w:iCs w:val="false"/>
                <w:color w:val="FFFFFF"/>
                <w:sz w:val="17"/>
                <w:szCs w:val="17"/>
              </w:rPr>
              <w:t xml:space="preserve">ahead of plan in Period 2</w:t>
            </w:r>
          </w:p>
        </w:tc>
      </w:tr>
    </w:tbl>
    <w:p>
      <w:pPr>
        <w:spacing w:after="120" w:before="0" w:line="264" w:lineRule="auto"/>
        <w:jc w:val="left"/>
      </w:pPr>
      <w:r>
        <w:rPr>
          <w:rFonts w:ascii="Manrope" w:cs="Manrope" w:eastAsia="Manrope" w:hAnsi="Manrope"/>
          <w:b w:val="false"/>
          <w:bCs w:val="false"/>
          <w:i w:val="false"/>
          <w:iCs w:val="false"/>
          <w:color w:val="40424D"/>
          <w:sz w:val="22"/>
          <w:szCs w:val="22"/>
        </w:rPr>
        <w:t xml:space="preserve"/>
      </w:r>
    </w:p>
    <w:p>
      <w:pPr>
        <w:spacing w:after="160" w:before="0" w:line="264" w:lineRule="auto"/>
        <w:jc w:val="left"/>
      </w:pPr>
      <w:r>
        <w:rPr>
          <w:rFonts w:ascii="Manrope" w:cs="Manrope" w:eastAsia="Manrope" w:hAnsi="Manrope"/>
          <w:b w:val="false"/>
          <w:bCs w:val="false"/>
          <w:i w:val="false"/>
          <w:iCs w:val="false"/>
          <w:color w:val="40424D"/>
          <w:sz w:val="22"/>
          <w:szCs w:val="22"/>
        </w:rPr>
        <w:t xml:space="preserve">The forecast for 2026/27 indicates a total leakage volume offset of 99.9 Ml/d across all workstreams. The largest contribution is expected from iQuarius+ (48 Ml/d), followed by Upstream Losses (24 Ml/d), Pressure Management (12.10 Ml/d) and DMA Optimisation (11.28 Ml/d).</w:t>
      </w:r>
    </w:p>
    <w:p>
      <w:pPr>
        <w:spacing w:after="160" w:before="0" w:line="264" w:lineRule="auto"/>
        <w:jc w:val="left"/>
      </w:pPr>
      <w:r>
        <w:rPr>
          <w:rFonts w:ascii="Manrope" w:cs="Manrope" w:eastAsia="Manrope" w:hAnsi="Manrope"/>
          <w:b w:val="false"/>
          <w:bCs w:val="false"/>
          <w:i w:val="false"/>
          <w:iCs w:val="false"/>
          <w:color w:val="40424D"/>
          <w:sz w:val="22"/>
          <w:szCs w:val="22"/>
        </w:rPr>
        <w:t xml:space="preserve">In activity terms, iQuarius+ is forecast to deliver the highest number of detected leaks (4,512), accounting for the majority of total leak detections, and is expected to be the principal driver of leakage reduction over the year.</w:t>
      </w:r>
    </w:p>
    <w:p>
      <w:pPr>
        <w:spacing w:after="160" w:before="0" w:line="264" w:lineRule="auto"/>
        <w:jc w:val="left"/>
      </w:pPr>
      <w:r>
        <w:rPr>
          <w:rFonts w:ascii="Manrope" w:cs="Manrope" w:eastAsia="Manrope" w:hAnsi="Manrope"/>
          <w:b w:val="false"/>
          <w:bCs w:val="false"/>
          <w:i w:val="false"/>
          <w:iCs w:val="false"/>
          <w:color w:val="40424D"/>
          <w:sz w:val="22"/>
          <w:szCs w:val="22"/>
        </w:rPr>
        <w:t xml:space="preserve">For Period 2, performance is running ahead of forecast across all reported workstreams. Excluding Pressure Management, total detected leaks reached 1,681 against a forecast of 1,220, an uplift of 461 leaks (+37.8%). In leakage volume terms, total Period 2 delivery reached 23.61 Ml/d against 16.66 Ml/d forecast, exceeding plan by 6.95 Ml/d (+41.7%).</w:t>
      </w:r>
    </w:p>
    <w:p>
      <w:pPr>
        <w:spacing w:after="160" w:before="0" w:line="264" w:lineRule="auto"/>
        <w:jc w:val="left"/>
      </w:pPr>
      <w:r>
        <w:rPr>
          <w:rFonts w:ascii="Manrope" w:cs="Manrope" w:eastAsia="Manrope" w:hAnsi="Manrope"/>
          <w:b w:val="false"/>
          <w:bCs w:val="false"/>
          <w:i w:val="false"/>
          <w:iCs w:val="false"/>
          <w:color w:val="40424D"/>
          <w:sz w:val="22"/>
          <w:szCs w:val="22"/>
        </w:rPr>
        <w:t xml:space="preserve">The most significant overperformance came from iQuarius+, which delivered 1,078 leaks and 11.22 Ml/d against a forecast of 752 leaks and 8 Ml/d. DMA Optimisation also materially outperformed, delivering 4.56 Ml/d against 1.88 Ml/d, while Inoperable DMAs nearly doubled expected volume, achieving 1.50 Ml/d against 0.76 Ml/d. Upstream Losses performed broadly in line with plan, slightly ahead on both leak numbers and volume offset, and Pressure Management delivered above forecast at 2.23 Ml/d against 2.02 Ml/d.</w:t>
      </w:r>
    </w:p>
    <w:p>
      <w:pPr>
        <w:spacing w:after="220" w:before="0" w:line="264" w:lineRule="auto"/>
        <w:jc w:val="left"/>
      </w:pPr>
      <w:r>
        <w:rPr>
          <w:rFonts w:ascii="Manrope" w:cs="Manrope" w:eastAsia="Manrope" w:hAnsi="Manrope"/>
          <w:b w:val="false"/>
          <w:bCs w:val="false"/>
          <w:i w:val="false"/>
          <w:iCs w:val="false"/>
          <w:color w:val="40424D"/>
          <w:sz w:val="22"/>
          <w:szCs w:val="22"/>
        </w:rPr>
        <w:t xml:space="preserve">Overall, the data shows a strong start to the year, with delivery ahead of forecast in both activity and leakage impact. The current trend suggests strong momentum across the portfolio, particularly in iQuarius+ and DMA optimisation-led interventions. If sustained, this performance would place the wider programme in a strong position to meet or exceed its annual leakage reduction objectives.</w:t>
      </w:r>
    </w:p>
    <w:tbl>
      <w:tblPr>
        <w:tblW w:type="dxa" w:w="9600"/>
        <w:tblBorders>
          <w:top w:val="single" w:color="D3D6E0" w:sz="4"/>
          <w:left w:val="single" w:color="D3D6E0" w:sz="4"/>
          <w:bottom w:val="single" w:color="D3D6E0" w:sz="4"/>
          <w:right w:val="single" w:color="D3D6E0" w:sz="4"/>
          <w:insideH w:val="single" w:color="D3D6E0" w:sz="4"/>
          <w:insideV w:val="single" w:color="D3D6E0" w:sz="4"/>
        </w:tblBorders>
        <w:tblLayout w:type="fixed"/>
      </w:tblPr>
      <w:tblGrid>
        <w:gridCol w:w="2100"/>
        <w:gridCol w:w="1250"/>
        <w:gridCol w:w="1250"/>
        <w:gridCol w:w="1250"/>
        <w:gridCol w:w="1250"/>
        <w:gridCol w:w="1250"/>
        <w:gridCol w:w="1250"/>
      </w:tblGrid>
      <w:tr>
        <w:trPr>
          <w:tblHeader/>
        </w:trPr>
        <w:tc>
          <w:tcPr>
            <w:tcW w:type="dxa" w:w="2100"/>
            <w:vMerge w:val="restart"/>
            <w:shd w:fill="0C2C3A"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bCs/>
                <w:i w:val="false"/>
                <w:iCs w:val="false"/>
                <w:color w:val="FFFFFF"/>
                <w:sz w:val="16"/>
                <w:szCs w:val="16"/>
              </w:rPr>
              <w:t xml:space="preserve">Workstream</w:t>
            </w:r>
          </w:p>
        </w:tc>
        <w:tc>
          <w:tcPr>
            <w:tcW w:type="dxa" w:w="2500"/>
            <w:gridSpan w:val="2"/>
            <w:shd w:fill="0C2C3A"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bCs/>
                <w:i w:val="false"/>
                <w:iCs w:val="false"/>
                <w:color w:val="FFFFFF"/>
                <w:sz w:val="16"/>
                <w:szCs w:val="16"/>
              </w:rPr>
              <w:t xml:space="preserve">2026/27 forecast</w:t>
            </w:r>
          </w:p>
        </w:tc>
        <w:tc>
          <w:tcPr>
            <w:tcW w:type="dxa" w:w="2500"/>
            <w:gridSpan w:val="2"/>
            <w:shd w:fill="0C2C3A"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bCs/>
                <w:i w:val="false"/>
                <w:iCs w:val="false"/>
                <w:color w:val="FFFFFF"/>
                <w:sz w:val="16"/>
                <w:szCs w:val="16"/>
              </w:rPr>
              <w:t xml:space="preserve">Period 2 forecast</w:t>
            </w:r>
          </w:p>
        </w:tc>
        <w:tc>
          <w:tcPr>
            <w:tcW w:type="dxa" w:w="2500"/>
            <w:gridSpan w:val="2"/>
            <w:shd w:fill="0C2C3A"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bCs/>
                <w:i w:val="false"/>
                <w:iCs w:val="false"/>
                <w:color w:val="FFFFFF"/>
                <w:sz w:val="16"/>
                <w:szCs w:val="16"/>
              </w:rPr>
              <w:t xml:space="preserve">Period 2 actual</w:t>
            </w:r>
          </w:p>
        </w:tc>
      </w:tr>
      <w:tr>
        <w:trPr>
          <w:tblHeader/>
        </w:trPr>
        <w:tc>
          <w:tcPr>
            <w:vMerge w:val="continue"/>
          </w:tcPr>
          <w:p/>
        </w:tc>
        <w:tc>
          <w:tcPr>
            <w:tcW w:type="dxa" w:w="1250"/>
            <w:shd w:fill="0C2C3A"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bCs/>
                <w:i w:val="false"/>
                <w:iCs w:val="false"/>
                <w:color w:val="FFFFFF"/>
                <w:sz w:val="16"/>
                <w:szCs w:val="16"/>
              </w:rPr>
              <w:t xml:space="preserve">Leaks</w:t>
            </w:r>
          </w:p>
        </w:tc>
        <w:tc>
          <w:tcPr>
            <w:tcW w:type="dxa" w:w="1250"/>
            <w:shd w:fill="0C2C3A"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bCs/>
                <w:i w:val="false"/>
                <w:iCs w:val="false"/>
                <w:color w:val="FFFFFF"/>
                <w:sz w:val="16"/>
                <w:szCs w:val="16"/>
              </w:rPr>
              <w:t xml:space="preserve">Ml/d</w:t>
            </w:r>
          </w:p>
        </w:tc>
        <w:tc>
          <w:tcPr>
            <w:tcW w:type="dxa" w:w="1250"/>
            <w:shd w:fill="0C2C3A"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bCs/>
                <w:i w:val="false"/>
                <w:iCs w:val="false"/>
                <w:color w:val="FFFFFF"/>
                <w:sz w:val="16"/>
                <w:szCs w:val="16"/>
              </w:rPr>
              <w:t xml:space="preserve">Leaks</w:t>
            </w:r>
          </w:p>
        </w:tc>
        <w:tc>
          <w:tcPr>
            <w:tcW w:type="dxa" w:w="1250"/>
            <w:shd w:fill="0C2C3A"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bCs/>
                <w:i w:val="false"/>
                <w:iCs w:val="false"/>
                <w:color w:val="FFFFFF"/>
                <w:sz w:val="16"/>
                <w:szCs w:val="16"/>
              </w:rPr>
              <w:t xml:space="preserve">Ml/d</w:t>
            </w:r>
          </w:p>
        </w:tc>
        <w:tc>
          <w:tcPr>
            <w:tcW w:type="dxa" w:w="1250"/>
            <w:shd w:fill="0C2C3A"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bCs/>
                <w:i w:val="false"/>
                <w:iCs w:val="false"/>
                <w:color w:val="FFFFFF"/>
                <w:sz w:val="16"/>
                <w:szCs w:val="16"/>
              </w:rPr>
              <w:t xml:space="preserve">Leaks</w:t>
            </w:r>
          </w:p>
        </w:tc>
        <w:tc>
          <w:tcPr>
            <w:tcW w:type="dxa" w:w="1250"/>
            <w:shd w:fill="0C2C3A"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bCs/>
                <w:i w:val="false"/>
                <w:iCs w:val="false"/>
                <w:color w:val="FFFFFF"/>
                <w:sz w:val="16"/>
                <w:szCs w:val="16"/>
              </w:rPr>
              <w:t xml:space="preserve">Ml/d</w:t>
            </w:r>
          </w:p>
        </w:tc>
      </w:tr>
      <w:tr>
        <w:tc>
          <w:tcPr>
            <w:tcW w:type="dxa" w:w="2100"/>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Upstream Losses</w:t>
            </w:r>
          </w:p>
        </w:tc>
        <w:tc>
          <w:tcPr>
            <w:tcW w:type="dxa" w:w="125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1,860</w:t>
            </w:r>
          </w:p>
        </w:tc>
        <w:tc>
          <w:tcPr>
            <w:tcW w:type="dxa" w:w="125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24</w:t>
            </w:r>
          </w:p>
        </w:tc>
        <w:tc>
          <w:tcPr>
            <w:tcW w:type="dxa" w:w="125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310</w:t>
            </w:r>
          </w:p>
        </w:tc>
        <w:tc>
          <w:tcPr>
            <w:tcW w:type="dxa" w:w="125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4</w:t>
            </w:r>
          </w:p>
        </w:tc>
        <w:tc>
          <w:tcPr>
            <w:tcW w:type="dxa" w:w="125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327</w:t>
            </w:r>
          </w:p>
        </w:tc>
        <w:tc>
          <w:tcPr>
            <w:tcW w:type="dxa" w:w="125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4.1</w:t>
            </w:r>
          </w:p>
        </w:tc>
      </w:tr>
      <w:tr>
        <w:tc>
          <w:tcPr>
            <w:tcW w:type="dxa" w:w="2100"/>
            <w:shd w:fill="EDEFF7"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DMA Optimisation</w:t>
            </w:r>
          </w:p>
        </w:tc>
        <w:tc>
          <w:tcPr>
            <w:tcW w:type="dxa" w:w="1250"/>
            <w:shd w:fill="EDEFF7"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528</w:t>
            </w:r>
          </w:p>
        </w:tc>
        <w:tc>
          <w:tcPr>
            <w:tcW w:type="dxa" w:w="1250"/>
            <w:shd w:fill="EDEFF7"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11.28</w:t>
            </w:r>
          </w:p>
        </w:tc>
        <w:tc>
          <w:tcPr>
            <w:tcW w:type="dxa" w:w="1250"/>
            <w:shd w:fill="EDEFF7"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88</w:t>
            </w:r>
          </w:p>
        </w:tc>
        <w:tc>
          <w:tcPr>
            <w:tcW w:type="dxa" w:w="1250"/>
            <w:shd w:fill="EDEFF7"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1.88</w:t>
            </w:r>
          </w:p>
        </w:tc>
        <w:tc>
          <w:tcPr>
            <w:tcW w:type="dxa" w:w="1250"/>
            <w:shd w:fill="EDEFF7"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147</w:t>
            </w:r>
          </w:p>
        </w:tc>
        <w:tc>
          <w:tcPr>
            <w:tcW w:type="dxa" w:w="1250"/>
            <w:shd w:fill="EDEFF7"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4.56</w:t>
            </w:r>
          </w:p>
        </w:tc>
      </w:tr>
      <w:tr>
        <w:tc>
          <w:tcPr>
            <w:tcW w:type="dxa" w:w="2100"/>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iQuarius+</w:t>
            </w:r>
          </w:p>
        </w:tc>
        <w:tc>
          <w:tcPr>
            <w:tcW w:type="dxa" w:w="125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4,512</w:t>
            </w:r>
          </w:p>
        </w:tc>
        <w:tc>
          <w:tcPr>
            <w:tcW w:type="dxa" w:w="125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48</w:t>
            </w:r>
          </w:p>
        </w:tc>
        <w:tc>
          <w:tcPr>
            <w:tcW w:type="dxa" w:w="125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752</w:t>
            </w:r>
          </w:p>
        </w:tc>
        <w:tc>
          <w:tcPr>
            <w:tcW w:type="dxa" w:w="125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8</w:t>
            </w:r>
          </w:p>
        </w:tc>
        <w:tc>
          <w:tcPr>
            <w:tcW w:type="dxa" w:w="125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1,078</w:t>
            </w:r>
          </w:p>
        </w:tc>
        <w:tc>
          <w:tcPr>
            <w:tcW w:type="dxa" w:w="125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11.22</w:t>
            </w:r>
          </w:p>
        </w:tc>
      </w:tr>
      <w:tr>
        <w:tc>
          <w:tcPr>
            <w:tcW w:type="dxa" w:w="2100"/>
            <w:shd w:fill="EDEFF7"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Inoperable DMAs</w:t>
            </w:r>
          </w:p>
        </w:tc>
        <w:tc>
          <w:tcPr>
            <w:tcW w:type="dxa" w:w="1250"/>
            <w:shd w:fill="EDEFF7"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420</w:t>
            </w:r>
          </w:p>
        </w:tc>
        <w:tc>
          <w:tcPr>
            <w:tcW w:type="dxa" w:w="1250"/>
            <w:shd w:fill="EDEFF7"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4.56</w:t>
            </w:r>
          </w:p>
        </w:tc>
        <w:tc>
          <w:tcPr>
            <w:tcW w:type="dxa" w:w="1250"/>
            <w:shd w:fill="EDEFF7"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70</w:t>
            </w:r>
          </w:p>
        </w:tc>
        <w:tc>
          <w:tcPr>
            <w:tcW w:type="dxa" w:w="1250"/>
            <w:shd w:fill="EDEFF7"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0.76</w:t>
            </w:r>
          </w:p>
        </w:tc>
        <w:tc>
          <w:tcPr>
            <w:tcW w:type="dxa" w:w="1250"/>
            <w:shd w:fill="EDEFF7"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129</w:t>
            </w:r>
          </w:p>
        </w:tc>
        <w:tc>
          <w:tcPr>
            <w:tcW w:type="dxa" w:w="1250"/>
            <w:shd w:fill="EDEFF7"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1.50</w:t>
            </w:r>
          </w:p>
        </w:tc>
      </w:tr>
      <w:tr>
        <w:tc>
          <w:tcPr>
            <w:tcW w:type="dxa" w:w="2100"/>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Pressure Management</w:t>
            </w:r>
          </w:p>
        </w:tc>
        <w:tc>
          <w:tcPr>
            <w:tcW w:type="dxa" w:w="125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w:t>
            </w:r>
          </w:p>
        </w:tc>
        <w:tc>
          <w:tcPr>
            <w:tcW w:type="dxa" w:w="125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12.10</w:t>
            </w:r>
          </w:p>
        </w:tc>
        <w:tc>
          <w:tcPr>
            <w:tcW w:type="dxa" w:w="125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w:t>
            </w:r>
          </w:p>
        </w:tc>
        <w:tc>
          <w:tcPr>
            <w:tcW w:type="dxa" w:w="125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2.02</w:t>
            </w:r>
          </w:p>
        </w:tc>
        <w:tc>
          <w:tcPr>
            <w:tcW w:type="dxa" w:w="125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w:t>
            </w:r>
          </w:p>
        </w:tc>
        <w:tc>
          <w:tcPr>
            <w:tcW w:type="dxa" w:w="125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2.23</w:t>
            </w:r>
          </w:p>
        </w:tc>
      </w:tr>
      <w:tr>
        <w:tc>
          <w:tcPr>
            <w:tcW w:type="dxa" w:w="2100"/>
            <w:shd w:fill="D6EEF6"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bCs/>
                <w:i w:val="false"/>
                <w:iCs w:val="false"/>
                <w:color w:val="0C2C3A"/>
                <w:sz w:val="18"/>
                <w:szCs w:val="18"/>
              </w:rPr>
              <w:t xml:space="preserve">Total</w:t>
            </w:r>
          </w:p>
        </w:tc>
        <w:tc>
          <w:tcPr>
            <w:tcW w:type="dxa" w:w="1250"/>
            <w:shd w:fill="D6EEF6"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bCs/>
                <w:i w:val="false"/>
                <w:iCs w:val="false"/>
                <w:color w:val="0C2C3A"/>
                <w:sz w:val="18"/>
                <w:szCs w:val="18"/>
              </w:rPr>
              <w:t xml:space="preserve">7,320</w:t>
            </w:r>
          </w:p>
        </w:tc>
        <w:tc>
          <w:tcPr>
            <w:tcW w:type="dxa" w:w="1250"/>
            <w:shd w:fill="D6EEF6"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bCs/>
                <w:i w:val="false"/>
                <w:iCs w:val="false"/>
                <w:color w:val="0C2C3A"/>
                <w:sz w:val="18"/>
                <w:szCs w:val="18"/>
              </w:rPr>
              <w:t xml:space="preserve">99.9</w:t>
            </w:r>
          </w:p>
        </w:tc>
        <w:tc>
          <w:tcPr>
            <w:tcW w:type="dxa" w:w="1250"/>
            <w:shd w:fill="D6EEF6"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bCs/>
                <w:i w:val="false"/>
                <w:iCs w:val="false"/>
                <w:color w:val="0C2C3A"/>
                <w:sz w:val="18"/>
                <w:szCs w:val="18"/>
              </w:rPr>
              <w:t xml:space="preserve">1,220</w:t>
            </w:r>
          </w:p>
        </w:tc>
        <w:tc>
          <w:tcPr>
            <w:tcW w:type="dxa" w:w="1250"/>
            <w:shd w:fill="D6EEF6"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bCs/>
                <w:i w:val="false"/>
                <w:iCs w:val="false"/>
                <w:color w:val="0C2C3A"/>
                <w:sz w:val="18"/>
                <w:szCs w:val="18"/>
              </w:rPr>
              <w:t xml:space="preserve">16.66</w:t>
            </w:r>
          </w:p>
        </w:tc>
        <w:tc>
          <w:tcPr>
            <w:tcW w:type="dxa" w:w="1250"/>
            <w:shd w:fill="D6EEF6"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bCs/>
                <w:i w:val="false"/>
                <w:iCs w:val="false"/>
                <w:color w:val="0C2C3A"/>
                <w:sz w:val="18"/>
                <w:szCs w:val="18"/>
              </w:rPr>
              <w:t xml:space="preserve">1,681</w:t>
            </w:r>
          </w:p>
        </w:tc>
        <w:tc>
          <w:tcPr>
            <w:tcW w:type="dxa" w:w="1250"/>
            <w:shd w:fill="D6EEF6"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bCs/>
                <w:i w:val="false"/>
                <w:iCs w:val="false"/>
                <w:color w:val="0C2C3A"/>
                <w:sz w:val="18"/>
                <w:szCs w:val="18"/>
              </w:rPr>
              <w:t xml:space="preserve">23.61</w:t>
            </w:r>
          </w:p>
        </w:tc>
      </w:tr>
    </w:tbl>
    <w:p>
      <w:pPr>
        <w:keepNext/>
        <w:pageBreakBefore/>
        <w:pBdr>
          <w:bottom w:val="single" w:color="00B6DB" w:sz="8" w:space="6"/>
        </w:pBdr>
        <w:spacing w:after="200" w:before="60"/>
      </w:pPr>
      <w:r>
        <w:rPr>
          <w:rFonts w:ascii="Manrope" w:cs="Manrope" w:eastAsia="Manrope" w:hAnsi="Manrope"/>
          <w:b/>
          <w:bCs/>
          <w:i w:val="false"/>
          <w:iCs w:val="false"/>
          <w:color w:val="00B6DB"/>
          <w:sz w:val="30"/>
          <w:szCs w:val="30"/>
        </w:rPr>
        <w:t xml:space="preserve">3    </w:t>
      </w:r>
      <w:r>
        <w:rPr>
          <w:rFonts w:ascii="Manrope" w:cs="Manrope" w:eastAsia="Manrope" w:hAnsi="Manrope"/>
          <w:b/>
          <w:bCs/>
          <w:i w:val="false"/>
          <w:iCs w:val="false"/>
          <w:color w:val="0C2C3A"/>
          <w:sz w:val="30"/>
          <w:szCs w:val="30"/>
        </w:rPr>
        <w:t xml:space="preserve">Workstream Overview</w:t>
      </w:r>
    </w:p>
    <w:p>
      <w:pPr>
        <w:spacing w:after="160" w:before="0" w:line="264" w:lineRule="auto"/>
        <w:jc w:val="left"/>
      </w:pPr>
      <w:r>
        <w:rPr>
          <w:rFonts w:ascii="Manrope" w:cs="Manrope" w:eastAsia="Manrope" w:hAnsi="Manrope"/>
          <w:b w:val="false"/>
          <w:bCs w:val="false"/>
          <w:i w:val="false"/>
          <w:iCs w:val="false"/>
          <w:color w:val="40424D"/>
          <w:sz w:val="22"/>
          <w:szCs w:val="22"/>
        </w:rPr>
        <w:t xml:space="preserve">Four key workstreams, comprising eight individual projects, form the core of Aqualogic's portfolio supporting South West Water's leakage-reduction programme: Pressure Management, Upstream Losses, DMA Optimisation and iQuarius+.</w:t>
      </w:r>
    </w:p>
    <w:p>
      <w:pPr>
        <w:spacing w:after="160" w:before="0" w:line="264" w:lineRule="auto"/>
        <w:jc w:val="left"/>
      </w:pPr>
      <w:r>
        <w:rPr>
          <w:rFonts w:ascii="Manrope" w:cs="Manrope" w:eastAsia="Manrope" w:hAnsi="Manrope"/>
          <w:b/>
          <w:bCs/>
          <w:i w:val="false"/>
          <w:iCs w:val="false"/>
          <w:color w:val="0C2C3A"/>
          <w:sz w:val="22"/>
          <w:szCs w:val="22"/>
        </w:rPr>
        <w:t xml:space="preserve">Pressure Management.  </w:t>
      </w:r>
      <w:r>
        <w:rPr>
          <w:rFonts w:ascii="Manrope" w:cs="Manrope" w:eastAsia="Manrope" w:hAnsi="Manrope"/>
          <w:b w:val="false"/>
          <w:bCs w:val="false"/>
          <w:i w:val="false"/>
          <w:iCs w:val="false"/>
          <w:color w:val="40424D"/>
          <w:sz w:val="22"/>
          <w:szCs w:val="22"/>
        </w:rPr>
        <w:t xml:space="preserve">This workstream focuses on optimising and stabilising pressures across South West Water's network to increase asset life, reduce bursts and decrease background leakage. The projects within it are Pressure Reduction Valve (PRV) servicing, new PRV design and installation, new electronic controller installations and existing controller optimisations.</w:t>
      </w:r>
    </w:p>
    <w:p>
      <w:pPr>
        <w:spacing w:after="160" w:before="0" w:line="264" w:lineRule="auto"/>
        <w:jc w:val="left"/>
      </w:pPr>
      <w:r>
        <w:rPr>
          <w:rFonts w:ascii="Manrope" w:cs="Manrope" w:eastAsia="Manrope" w:hAnsi="Manrope"/>
          <w:b/>
          <w:bCs/>
          <w:i w:val="false"/>
          <w:iCs w:val="false"/>
          <w:color w:val="0C2C3A"/>
          <w:sz w:val="22"/>
          <w:szCs w:val="22"/>
        </w:rPr>
        <w:t xml:space="preserve">Upstream Losses.  </w:t>
      </w:r>
      <w:r>
        <w:rPr>
          <w:rFonts w:ascii="Manrope" w:cs="Manrope" w:eastAsia="Manrope" w:hAnsi="Manrope"/>
          <w:b w:val="false"/>
          <w:bCs w:val="false"/>
          <w:i w:val="false"/>
          <w:iCs w:val="false"/>
          <w:color w:val="40424D"/>
          <w:sz w:val="22"/>
          <w:szCs w:val="22"/>
        </w:rPr>
        <w:t xml:space="preserve">Across the South West Water operating region, approximately 45,000 customer connections lie outside the established District Metered Area (DMA) estate, spread across 2,757 kilometres of distribution and trunk main. This workstream is dedicated to identifying, locating and quantifying leakage on these assets, where visibility is inherently lower and the potential scale of water loss is significantly larger.</w:t>
      </w:r>
    </w:p>
    <w:p>
      <w:pPr>
        <w:spacing w:after="160" w:before="0" w:line="264" w:lineRule="auto"/>
        <w:jc w:val="left"/>
      </w:pPr>
      <w:r>
        <w:rPr>
          <w:rFonts w:ascii="Manrope" w:cs="Manrope" w:eastAsia="Manrope" w:hAnsi="Manrope"/>
          <w:b/>
          <w:bCs/>
          <w:i w:val="false"/>
          <w:iCs w:val="false"/>
          <w:color w:val="0C2C3A"/>
          <w:sz w:val="22"/>
          <w:szCs w:val="22"/>
        </w:rPr>
        <w:t xml:space="preserve">DMA Optimisation.  </w:t>
      </w:r>
      <w:r>
        <w:rPr>
          <w:rFonts w:ascii="Manrope" w:cs="Manrope" w:eastAsia="Manrope" w:hAnsi="Manrope"/>
          <w:b w:val="false"/>
          <w:bCs w:val="false"/>
          <w:i w:val="false"/>
          <w:iCs w:val="false"/>
          <w:color w:val="40424D"/>
          <w:sz w:val="22"/>
          <w:szCs w:val="22"/>
        </w:rPr>
        <w:t xml:space="preserve">Aqualogic takes full operational ownership of agreed operable and inoperable DMAs. Alongside the day-to-day management of leakage increases in operable DMAs, Aqualogic applies a best-practice optimisation methodology to move each DMA toward its lowest achievable leakage level, including analysing consumption and nightlines, validating meter performance, improving data integrity, and deploying targeted interventions. The workstream also assures that leakage within inoperable DMAs is proactively managed, maintaining control even where full DMA functionality is compromised. Together, these projects deliver a sustained reduction in leakage, improved network reliability and increased operational efficiency.</w:t>
      </w:r>
    </w:p>
    <w:p>
      <w:pPr>
        <w:spacing w:after="160" w:before="0" w:line="264" w:lineRule="auto"/>
        <w:jc w:val="left"/>
      </w:pPr>
      <w:r>
        <w:rPr>
          <w:rFonts w:ascii="Manrope" w:cs="Manrope" w:eastAsia="Manrope" w:hAnsi="Manrope"/>
          <w:b/>
          <w:bCs/>
          <w:i w:val="false"/>
          <w:iCs w:val="false"/>
          <w:color w:val="0C2C3A"/>
          <w:sz w:val="22"/>
          <w:szCs w:val="22"/>
        </w:rPr>
        <w:t xml:space="preserve">iQuarius+.  </w:t>
      </w:r>
      <w:r>
        <w:rPr>
          <w:rFonts w:ascii="Manrope" w:cs="Manrope" w:eastAsia="Manrope" w:hAnsi="Manrope"/>
          <w:b w:val="false"/>
          <w:bCs w:val="false"/>
          <w:i w:val="false"/>
          <w:iCs w:val="false"/>
          <w:color w:val="40424D"/>
          <w:sz w:val="22"/>
          <w:szCs w:val="22"/>
        </w:rPr>
        <w:t xml:space="preserve">This workstream targets routine leakage across 474 proven DMAs, where the methodology has demonstrated sustained success. Using mobile iQ100b devices, the teams collect, manage and analyse leakage data to achieve industry-leading detection performance. The methodology removes subjectivity from leak detection and enables newly trained technicians to become effective immediately, sustaining high productivity across the operating region despite the limited availability of skilled resources.</w:t>
      </w:r>
    </w:p>
    <w:p>
      <w:pPr>
        <w:keepNext/>
        <w:pageBreakBefore/>
        <w:pBdr>
          <w:bottom w:val="single" w:color="00B6DB" w:sz="8" w:space="6"/>
        </w:pBdr>
        <w:spacing w:after="200" w:before="60"/>
      </w:pPr>
      <w:r>
        <w:rPr>
          <w:rFonts w:ascii="Manrope" w:cs="Manrope" w:eastAsia="Manrope" w:hAnsi="Manrope"/>
          <w:b/>
          <w:bCs/>
          <w:i w:val="false"/>
          <w:iCs w:val="false"/>
          <w:color w:val="00B6DB"/>
          <w:sz w:val="30"/>
          <w:szCs w:val="30"/>
        </w:rPr>
        <w:t xml:space="preserve">4    </w:t>
      </w:r>
      <w:r>
        <w:rPr>
          <w:rFonts w:ascii="Manrope" w:cs="Manrope" w:eastAsia="Manrope" w:hAnsi="Manrope"/>
          <w:b/>
          <w:bCs/>
          <w:i w:val="false"/>
          <w:iCs w:val="false"/>
          <w:color w:val="0C2C3A"/>
          <w:sz w:val="30"/>
          <w:szCs w:val="30"/>
        </w:rPr>
        <w:t xml:space="preserve">Strategic Objectives</w:t>
      </w:r>
    </w:p>
    <w:p>
      <w:pPr>
        <w:spacing w:after="220" w:before="0" w:line="264" w:lineRule="auto"/>
        <w:jc w:val="left"/>
      </w:pPr>
      <w:r>
        <w:rPr>
          <w:rFonts w:ascii="Manrope" w:cs="Manrope" w:eastAsia="Manrope" w:hAnsi="Manrope"/>
          <w:b w:val="false"/>
          <w:bCs w:val="false"/>
          <w:i w:val="false"/>
          <w:iCs w:val="false"/>
          <w:color w:val="40424D"/>
          <w:sz w:val="22"/>
          <w:szCs w:val="22"/>
        </w:rPr>
        <w:t xml:space="preserve">The table below sets out the primary service level agreement, key performance indicator, budget and cost benefit for each project across the portfolio.</w:t>
      </w:r>
    </w:p>
    <w:tbl>
      <w:tblPr>
        <w:tblW w:type="dxa" w:w="9600"/>
        <w:tblBorders>
          <w:top w:val="single" w:color="D3D6E0" w:sz="4"/>
          <w:left w:val="single" w:color="D3D6E0" w:sz="4"/>
          <w:bottom w:val="single" w:color="D3D6E0" w:sz="4"/>
          <w:right w:val="single" w:color="D3D6E0" w:sz="4"/>
          <w:insideH w:val="single" w:color="D3D6E0" w:sz="4"/>
          <w:insideV w:val="single" w:color="D3D6E0" w:sz="4"/>
        </w:tblBorders>
        <w:tblLayout w:type="fixed"/>
      </w:tblPr>
      <w:tblGrid>
        <w:gridCol w:w="1900"/>
        <w:gridCol w:w="1750"/>
        <w:gridCol w:w="1150"/>
        <w:gridCol w:w="2050"/>
        <w:gridCol w:w="950"/>
        <w:gridCol w:w="1800"/>
      </w:tblGrid>
      <w:tr>
        <w:trPr>
          <w:tblHeader/>
        </w:trPr>
        <w:tc>
          <w:tcPr>
            <w:tcW w:type="dxa" w:w="1900"/>
            <w:shd w:fill="0C2C3A"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bCs/>
                <w:i w:val="false"/>
                <w:iCs w:val="false"/>
                <w:color w:val="FFFFFF"/>
                <w:sz w:val="16"/>
                <w:szCs w:val="16"/>
              </w:rPr>
              <w:t xml:space="preserve">Workstream</w:t>
            </w:r>
          </w:p>
        </w:tc>
        <w:tc>
          <w:tcPr>
            <w:tcW w:type="dxa" w:w="1750"/>
            <w:shd w:fill="0C2C3A"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bCs/>
                <w:i w:val="false"/>
                <w:iCs w:val="false"/>
                <w:color w:val="FFFFFF"/>
                <w:sz w:val="16"/>
                <w:szCs w:val="16"/>
              </w:rPr>
              <w:t xml:space="preserve">Project</w:t>
            </w:r>
          </w:p>
        </w:tc>
        <w:tc>
          <w:tcPr>
            <w:tcW w:type="dxa" w:w="1150"/>
            <w:shd w:fill="0C2C3A"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bCs/>
                <w:i w:val="false"/>
                <w:iCs w:val="false"/>
                <w:color w:val="FFFFFF"/>
                <w:sz w:val="16"/>
                <w:szCs w:val="16"/>
              </w:rPr>
              <w:t xml:space="preserve">SLA (Ml/d)</w:t>
            </w:r>
          </w:p>
        </w:tc>
        <w:tc>
          <w:tcPr>
            <w:tcW w:type="dxa" w:w="2050"/>
            <w:shd w:fill="0C2C3A"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bCs/>
                <w:i w:val="false"/>
                <w:iCs w:val="false"/>
                <w:color w:val="FFFFFF"/>
                <w:sz w:val="16"/>
                <w:szCs w:val="16"/>
              </w:rPr>
              <w:t xml:space="preserve">Primary KPI</w:t>
            </w:r>
          </w:p>
        </w:tc>
        <w:tc>
          <w:tcPr>
            <w:tcW w:type="dxa" w:w="950"/>
            <w:shd w:fill="0C2C3A"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bCs/>
                <w:i w:val="false"/>
                <w:iCs w:val="false"/>
                <w:color w:val="FFFFFF"/>
                <w:sz w:val="16"/>
                <w:szCs w:val="16"/>
              </w:rPr>
              <w:t xml:space="preserve">Budget (£m)</w:t>
            </w:r>
          </w:p>
        </w:tc>
        <w:tc>
          <w:tcPr>
            <w:tcW w:type="dxa" w:w="1800"/>
            <w:shd w:fill="0C2C3A"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bCs/>
                <w:i w:val="false"/>
                <w:iCs w:val="false"/>
                <w:color w:val="FFFFFF"/>
                <w:sz w:val="16"/>
                <w:szCs w:val="16"/>
              </w:rPr>
              <w:t xml:space="preserve">Cost benefit (£k/Ml/d)</w:t>
            </w:r>
          </w:p>
        </w:tc>
      </w:tr>
      <w:tr>
        <w:tc>
          <w:tcPr>
            <w:tcW w:type="dxa" w:w="1900"/>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Pressure Management</w:t>
            </w:r>
          </w:p>
        </w:tc>
        <w:tc>
          <w:tcPr>
            <w:tcW w:type="dxa" w:w="1750"/>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PRV Servicing</w:t>
            </w:r>
          </w:p>
        </w:tc>
        <w:tc>
          <w:tcPr>
            <w:tcW w:type="dxa" w:w="115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7.28</w:t>
            </w:r>
          </w:p>
        </w:tc>
        <w:tc>
          <w:tcPr>
            <w:tcW w:type="dxa" w:w="2050"/>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150 Services</w:t>
            </w:r>
          </w:p>
        </w:tc>
        <w:tc>
          <w:tcPr>
            <w:tcW w:type="dxa" w:w="95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0.71</w:t>
            </w:r>
          </w:p>
        </w:tc>
        <w:tc>
          <w:tcPr>
            <w:tcW w:type="dxa" w:w="180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98</w:t>
            </w:r>
          </w:p>
        </w:tc>
      </w:tr>
      <w:tr>
        <w:tc>
          <w:tcPr>
            <w:tcW w:type="dxa" w:w="1900"/>
            <w:shd w:fill="EDEFF7"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Pressure Management</w:t>
            </w:r>
          </w:p>
        </w:tc>
        <w:tc>
          <w:tcPr>
            <w:tcW w:type="dxa" w:w="1750"/>
            <w:shd w:fill="EDEFF7"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New Scheme Designs</w:t>
            </w:r>
          </w:p>
        </w:tc>
        <w:tc>
          <w:tcPr>
            <w:tcW w:type="dxa" w:w="1150"/>
            <w:shd w:fill="EDEFF7"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2.55</w:t>
            </w:r>
          </w:p>
        </w:tc>
        <w:tc>
          <w:tcPr>
            <w:tcW w:type="dxa" w:w="2050"/>
            <w:shd w:fill="EDEFF7"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35 Schemes</w:t>
            </w:r>
          </w:p>
        </w:tc>
        <w:tc>
          <w:tcPr>
            <w:tcW w:type="dxa" w:w="950"/>
            <w:shd w:fill="EDEFF7"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0.25</w:t>
            </w:r>
          </w:p>
        </w:tc>
        <w:tc>
          <w:tcPr>
            <w:tcW w:type="dxa" w:w="1800"/>
            <w:shd w:fill="EDEFF7"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98</w:t>
            </w:r>
          </w:p>
        </w:tc>
      </w:tr>
      <w:tr>
        <w:tc>
          <w:tcPr>
            <w:tcW w:type="dxa" w:w="1900"/>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Pressure Management</w:t>
            </w:r>
          </w:p>
        </w:tc>
        <w:tc>
          <w:tcPr>
            <w:tcW w:type="dxa" w:w="1750"/>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New Controller Schemes</w:t>
            </w:r>
          </w:p>
        </w:tc>
        <w:tc>
          <w:tcPr>
            <w:tcW w:type="dxa" w:w="115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1.00</w:t>
            </w:r>
          </w:p>
        </w:tc>
        <w:tc>
          <w:tcPr>
            <w:tcW w:type="dxa" w:w="2050"/>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50 Schemes</w:t>
            </w:r>
          </w:p>
        </w:tc>
        <w:tc>
          <w:tcPr>
            <w:tcW w:type="dxa" w:w="95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0.09</w:t>
            </w:r>
          </w:p>
        </w:tc>
        <w:tc>
          <w:tcPr>
            <w:tcW w:type="dxa" w:w="180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95</w:t>
            </w:r>
          </w:p>
        </w:tc>
      </w:tr>
      <w:tr>
        <w:tc>
          <w:tcPr>
            <w:tcW w:type="dxa" w:w="1900"/>
            <w:shd w:fill="EDEFF7"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Pressure Management</w:t>
            </w:r>
          </w:p>
        </w:tc>
        <w:tc>
          <w:tcPr>
            <w:tcW w:type="dxa" w:w="1750"/>
            <w:shd w:fill="EDEFF7"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Controller Optimisations</w:t>
            </w:r>
          </w:p>
        </w:tc>
        <w:tc>
          <w:tcPr>
            <w:tcW w:type="dxa" w:w="1150"/>
            <w:shd w:fill="EDEFF7"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1.27</w:t>
            </w:r>
          </w:p>
        </w:tc>
        <w:tc>
          <w:tcPr>
            <w:tcW w:type="dxa" w:w="2050"/>
            <w:shd w:fill="EDEFF7"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80 Optimisations</w:t>
            </w:r>
          </w:p>
        </w:tc>
        <w:tc>
          <w:tcPr>
            <w:tcW w:type="dxa" w:w="950"/>
            <w:shd w:fill="EDEFF7"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0.13</w:t>
            </w:r>
          </w:p>
        </w:tc>
        <w:tc>
          <w:tcPr>
            <w:tcW w:type="dxa" w:w="1800"/>
            <w:shd w:fill="EDEFF7"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102</w:t>
            </w:r>
          </w:p>
        </w:tc>
      </w:tr>
      <w:tr>
        <w:tc>
          <w:tcPr>
            <w:tcW w:type="dxa" w:w="1900"/>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Upstream Losses</w:t>
            </w:r>
          </w:p>
        </w:tc>
        <w:tc>
          <w:tcPr>
            <w:tcW w:type="dxa" w:w="1750"/>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Upstream Losses</w:t>
            </w:r>
          </w:p>
        </w:tc>
        <w:tc>
          <w:tcPr>
            <w:tcW w:type="dxa" w:w="115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24.00</w:t>
            </w:r>
          </w:p>
        </w:tc>
        <w:tc>
          <w:tcPr>
            <w:tcW w:type="dxa" w:w="2050"/>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1,860 Detected Leaks</w:t>
            </w:r>
          </w:p>
        </w:tc>
        <w:tc>
          <w:tcPr>
            <w:tcW w:type="dxa" w:w="95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2.63</w:t>
            </w:r>
          </w:p>
        </w:tc>
        <w:tc>
          <w:tcPr>
            <w:tcW w:type="dxa" w:w="180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109</w:t>
            </w:r>
          </w:p>
        </w:tc>
      </w:tr>
      <w:tr>
        <w:tc>
          <w:tcPr>
            <w:tcW w:type="dxa" w:w="1900"/>
            <w:shd w:fill="EDEFF7"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DMA Optimisation</w:t>
            </w:r>
          </w:p>
        </w:tc>
        <w:tc>
          <w:tcPr>
            <w:tcW w:type="dxa" w:w="1750"/>
            <w:shd w:fill="EDEFF7"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Operable</w:t>
            </w:r>
          </w:p>
        </w:tc>
        <w:tc>
          <w:tcPr>
            <w:tcW w:type="dxa" w:w="1150"/>
            <w:shd w:fill="EDEFF7"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11.28</w:t>
            </w:r>
          </w:p>
        </w:tc>
        <w:tc>
          <w:tcPr>
            <w:tcW w:type="dxa" w:w="2050"/>
            <w:shd w:fill="EDEFF7"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528 Detected Leaks</w:t>
            </w:r>
          </w:p>
        </w:tc>
        <w:tc>
          <w:tcPr>
            <w:tcW w:type="dxa" w:w="950"/>
            <w:shd w:fill="EDEFF7"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1.11</w:t>
            </w:r>
          </w:p>
        </w:tc>
        <w:tc>
          <w:tcPr>
            <w:tcW w:type="dxa" w:w="1800"/>
            <w:shd w:fill="EDEFF7"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98</w:t>
            </w:r>
          </w:p>
        </w:tc>
      </w:tr>
      <w:tr>
        <w:tc>
          <w:tcPr>
            <w:tcW w:type="dxa" w:w="1900"/>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DMA Optimisation</w:t>
            </w:r>
          </w:p>
        </w:tc>
        <w:tc>
          <w:tcPr>
            <w:tcW w:type="dxa" w:w="1750"/>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Inoperable</w:t>
            </w:r>
          </w:p>
        </w:tc>
        <w:tc>
          <w:tcPr>
            <w:tcW w:type="dxa" w:w="115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4.56</w:t>
            </w:r>
          </w:p>
        </w:tc>
        <w:tc>
          <w:tcPr>
            <w:tcW w:type="dxa" w:w="2050"/>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420 Detected Leaks</w:t>
            </w:r>
          </w:p>
        </w:tc>
        <w:tc>
          <w:tcPr>
            <w:tcW w:type="dxa" w:w="95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0.48</w:t>
            </w:r>
          </w:p>
        </w:tc>
        <w:tc>
          <w:tcPr>
            <w:tcW w:type="dxa" w:w="1800"/>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104</w:t>
            </w:r>
          </w:p>
        </w:tc>
      </w:tr>
      <w:tr>
        <w:tc>
          <w:tcPr>
            <w:tcW w:type="dxa" w:w="1900"/>
            <w:shd w:fill="EDEFF7"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iQuarius+</w:t>
            </w:r>
          </w:p>
        </w:tc>
        <w:tc>
          <w:tcPr>
            <w:tcW w:type="dxa" w:w="1750"/>
            <w:shd w:fill="EDEFF7"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iQuarius+</w:t>
            </w:r>
          </w:p>
        </w:tc>
        <w:tc>
          <w:tcPr>
            <w:tcW w:type="dxa" w:w="1150"/>
            <w:shd w:fill="EDEFF7"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48</w:t>
            </w:r>
          </w:p>
        </w:tc>
        <w:tc>
          <w:tcPr>
            <w:tcW w:type="dxa" w:w="2050"/>
            <w:shd w:fill="EDEFF7"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4,512 Detected Leaks</w:t>
            </w:r>
          </w:p>
        </w:tc>
        <w:tc>
          <w:tcPr>
            <w:tcW w:type="dxa" w:w="950"/>
            <w:shd w:fill="EDEFF7"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4.24</w:t>
            </w:r>
          </w:p>
        </w:tc>
        <w:tc>
          <w:tcPr>
            <w:tcW w:type="dxa" w:w="1800"/>
            <w:shd w:fill="EDEFF7"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val="false"/>
                <w:bCs w:val="false"/>
                <w:i w:val="false"/>
                <w:iCs w:val="false"/>
                <w:color w:val="40424D"/>
                <w:sz w:val="18"/>
                <w:szCs w:val="18"/>
              </w:rPr>
              <w:t xml:space="preserve">88</w:t>
            </w:r>
          </w:p>
        </w:tc>
      </w:tr>
      <w:tr>
        <w:tc>
          <w:tcPr>
            <w:tcW w:type="dxa" w:w="1900"/>
            <w:shd w:fill="D6EEF6"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bCs/>
                <w:i w:val="false"/>
                <w:iCs w:val="false"/>
                <w:color w:val="0C2C3A"/>
                <w:sz w:val="18"/>
                <w:szCs w:val="18"/>
              </w:rPr>
              <w:t xml:space="preserve">Total</w:t>
            </w:r>
          </w:p>
        </w:tc>
        <w:tc>
          <w:tcPr>
            <w:tcW w:type="dxa" w:w="1750"/>
            <w:shd w:fill="D6EEF6"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bCs/>
                <w:i w:val="false"/>
                <w:iCs w:val="false"/>
                <w:color w:val="0C2C3A"/>
                <w:sz w:val="18"/>
                <w:szCs w:val="18"/>
              </w:rPr>
              <w:t xml:space="preserve"/>
            </w:r>
          </w:p>
        </w:tc>
        <w:tc>
          <w:tcPr>
            <w:tcW w:type="dxa" w:w="1150"/>
            <w:shd w:fill="D6EEF6"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bCs/>
                <w:i w:val="false"/>
                <w:iCs w:val="false"/>
                <w:color w:val="0C2C3A"/>
                <w:sz w:val="18"/>
                <w:szCs w:val="18"/>
              </w:rPr>
              <w:t xml:space="preserve">99.9</w:t>
            </w:r>
          </w:p>
        </w:tc>
        <w:tc>
          <w:tcPr>
            <w:tcW w:type="dxa" w:w="2050"/>
            <w:shd w:fill="D6EEF6"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bCs/>
                <w:i w:val="false"/>
                <w:iCs w:val="false"/>
                <w:color w:val="0C2C3A"/>
                <w:sz w:val="18"/>
                <w:szCs w:val="18"/>
              </w:rPr>
              <w:t xml:space="preserve"/>
            </w:r>
          </w:p>
        </w:tc>
        <w:tc>
          <w:tcPr>
            <w:tcW w:type="dxa" w:w="950"/>
            <w:shd w:fill="D6EEF6"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bCs/>
                <w:i w:val="false"/>
                <w:iCs w:val="false"/>
                <w:color w:val="0C2C3A"/>
                <w:sz w:val="18"/>
                <w:szCs w:val="18"/>
              </w:rPr>
              <w:t xml:space="preserve">9.64</w:t>
            </w:r>
          </w:p>
        </w:tc>
        <w:tc>
          <w:tcPr>
            <w:tcW w:type="dxa" w:w="1800"/>
            <w:shd w:fill="D6EEF6" w:color="auto" w:val="clear"/>
            <w:tcMar>
              <w:top w:type="dxa" w:w="70"/>
              <w:left w:type="dxa" w:w="110"/>
              <w:bottom w:type="dxa" w:w="70"/>
              <w:right w:type="dxa" w:w="110"/>
            </w:tcMar>
            <w:vAlign w:val="center"/>
          </w:tcPr>
          <w:p>
            <w:pPr>
              <w:spacing w:after="0" w:before="0" w:line="240" w:lineRule="auto"/>
              <w:jc w:val="right"/>
            </w:pPr>
            <w:r>
              <w:rPr>
                <w:rFonts w:ascii="Manrope" w:cs="Manrope" w:eastAsia="Manrope" w:hAnsi="Manrope"/>
                <w:b/>
                <w:bCs/>
                <w:i w:val="false"/>
                <w:iCs w:val="false"/>
                <w:color w:val="0C2C3A"/>
                <w:sz w:val="18"/>
                <w:szCs w:val="18"/>
              </w:rPr>
              <w:t xml:space="preserve">97</w:t>
            </w:r>
          </w:p>
        </w:tc>
      </w:tr>
    </w:tbl>
    <w:p>
      <w:pPr>
        <w:keepNext/>
        <w:pageBreakBefore/>
        <w:pBdr>
          <w:bottom w:val="single" w:color="00B6DB" w:sz="8" w:space="6"/>
        </w:pBdr>
        <w:spacing w:after="200" w:before="60"/>
      </w:pPr>
      <w:r>
        <w:rPr>
          <w:rFonts w:ascii="Manrope" w:cs="Manrope" w:eastAsia="Manrope" w:hAnsi="Manrope"/>
          <w:b/>
          <w:bCs/>
          <w:i w:val="false"/>
          <w:iCs w:val="false"/>
          <w:color w:val="00B6DB"/>
          <w:sz w:val="30"/>
          <w:szCs w:val="30"/>
        </w:rPr>
        <w:t xml:space="preserve">5    </w:t>
      </w:r>
      <w:r>
        <w:rPr>
          <w:rFonts w:ascii="Manrope" w:cs="Manrope" w:eastAsia="Manrope" w:hAnsi="Manrope"/>
          <w:b/>
          <w:bCs/>
          <w:i w:val="false"/>
          <w:iCs w:val="false"/>
          <w:color w:val="0C2C3A"/>
          <w:sz w:val="30"/>
          <w:szCs w:val="30"/>
        </w:rPr>
        <w:t xml:space="preserve">Scaling Considerations</w:t>
      </w:r>
    </w:p>
    <w:p>
      <w:pPr>
        <w:spacing w:after="160" w:before="0" w:line="264" w:lineRule="auto"/>
        <w:jc w:val="left"/>
      </w:pPr>
      <w:r>
        <w:rPr>
          <w:rFonts w:ascii="Manrope" w:cs="Manrope" w:eastAsia="Manrope" w:hAnsi="Manrope"/>
          <w:b w:val="false"/>
          <w:bCs w:val="false"/>
          <w:i w:val="false"/>
          <w:iCs w:val="false"/>
          <w:color w:val="40424D"/>
          <w:sz w:val="22"/>
          <w:szCs w:val="22"/>
        </w:rPr>
        <w:t xml:space="preserve">Should South West Water wish to scale activities, whether to deliver greater reportable leakage savings, maximise distribution input reductions, or optimise budgets based on risk profile, the following table should be considered when making decisions.</w:t>
      </w:r>
    </w:p>
    <w:p>
      <w:pPr>
        <w:spacing w:after="220" w:before="0" w:line="264" w:lineRule="auto"/>
        <w:jc w:val="left"/>
      </w:pPr>
      <w:r>
        <w:rPr>
          <w:rFonts w:ascii="Manrope" w:cs="Manrope" w:eastAsia="Manrope" w:hAnsi="Manrope"/>
          <w:b w:val="false"/>
          <w:bCs w:val="false"/>
          <w:i w:val="false"/>
          <w:iCs w:val="false"/>
          <w:color w:val="40424D"/>
          <w:sz w:val="22"/>
          <w:szCs w:val="22"/>
        </w:rPr>
        <w:t xml:space="preserve">The Budget Optimisation column highlights the potential risk of increased leakage from discontinuing or reducing activity in a workstream, weighed against the budgetary benefit. The Scalability Potential column indicates the practicality of expanding the project activity and the likely scale of leakage benefit that could be achieved.</w:t>
      </w:r>
    </w:p>
    <w:tbl>
      <w:tblPr>
        <w:tblW w:type="dxa" w:w="9600"/>
        <w:tblBorders>
          <w:top w:val="single" w:color="D3D6E0" w:sz="4"/>
          <w:left w:val="single" w:color="D3D6E0" w:sz="4"/>
          <w:bottom w:val="single" w:color="D3D6E0" w:sz="4"/>
          <w:right w:val="single" w:color="D3D6E0" w:sz="4"/>
          <w:insideH w:val="single" w:color="D3D6E0" w:sz="4"/>
          <w:insideV w:val="single" w:color="D3D6E0" w:sz="4"/>
        </w:tblBorders>
        <w:tblLayout w:type="fixed"/>
      </w:tblPr>
      <w:tblGrid>
        <w:gridCol w:w="2400"/>
        <w:gridCol w:w="1700"/>
        <w:gridCol w:w="1700"/>
        <w:gridCol w:w="2050"/>
        <w:gridCol w:w="1750"/>
      </w:tblGrid>
      <w:tr>
        <w:trPr>
          <w:tblHeader/>
        </w:trPr>
        <w:tc>
          <w:tcPr>
            <w:tcW w:type="dxa" w:w="2400"/>
            <w:shd w:fill="0C2C3A"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bCs/>
                <w:i w:val="false"/>
                <w:iCs w:val="false"/>
                <w:color w:val="FFFFFF"/>
                <w:sz w:val="16"/>
                <w:szCs w:val="16"/>
              </w:rPr>
              <w:t xml:space="preserve">Project</w:t>
            </w:r>
          </w:p>
        </w:tc>
        <w:tc>
          <w:tcPr>
            <w:tcW w:type="dxa" w:w="1700"/>
            <w:shd w:fill="0C2C3A"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bCs/>
                <w:i w:val="false"/>
                <w:iCs w:val="false"/>
                <w:color w:val="FFFFFF"/>
                <w:sz w:val="16"/>
                <w:szCs w:val="16"/>
              </w:rPr>
              <w:t xml:space="preserve">Reportable leakage</w:t>
            </w:r>
          </w:p>
        </w:tc>
        <w:tc>
          <w:tcPr>
            <w:tcW w:type="dxa" w:w="1700"/>
            <w:shd w:fill="0C2C3A"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bCs/>
                <w:i w:val="false"/>
                <w:iCs w:val="false"/>
                <w:color w:val="FFFFFF"/>
                <w:sz w:val="16"/>
                <w:szCs w:val="16"/>
              </w:rPr>
              <w:t xml:space="preserve">Distribution input</w:t>
            </w:r>
          </w:p>
        </w:tc>
        <w:tc>
          <w:tcPr>
            <w:tcW w:type="dxa" w:w="2050"/>
            <w:shd w:fill="0C2C3A"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bCs/>
                <w:i w:val="false"/>
                <w:iCs w:val="false"/>
                <w:color w:val="FFFFFF"/>
                <w:sz w:val="16"/>
                <w:szCs w:val="16"/>
              </w:rPr>
              <w:t xml:space="preserve">Budget optimisation</w:t>
            </w:r>
          </w:p>
        </w:tc>
        <w:tc>
          <w:tcPr>
            <w:tcW w:type="dxa" w:w="1750"/>
            <w:shd w:fill="0C2C3A"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bCs/>
                <w:i w:val="false"/>
                <w:iCs w:val="false"/>
                <w:color w:val="FFFFFF"/>
                <w:sz w:val="16"/>
                <w:szCs w:val="16"/>
              </w:rPr>
              <w:t xml:space="preserve">Scalability potential</w:t>
            </w:r>
          </w:p>
        </w:tc>
      </w:tr>
      <w:tr>
        <w:tc>
          <w:tcPr>
            <w:tcW w:type="dxa" w:w="2400"/>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PRV Servicing</w:t>
            </w:r>
          </w:p>
        </w:tc>
        <w:tc>
          <w:tcPr>
            <w:tcW w:type="dxa" w:w="1700"/>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Essential</w:t>
            </w:r>
          </w:p>
        </w:tc>
        <w:tc>
          <w:tcPr>
            <w:tcW w:type="dxa" w:w="1700"/>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Essential</w:t>
            </w:r>
          </w:p>
        </w:tc>
        <w:tc>
          <w:tcPr>
            <w:tcW w:type="dxa" w:w="2050"/>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High risk / Medium benefit</w:t>
            </w:r>
          </w:p>
        </w:tc>
        <w:tc>
          <w:tcPr>
            <w:tcW w:type="dxa" w:w="1750"/>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High / Medium</w:t>
            </w:r>
          </w:p>
        </w:tc>
      </w:tr>
      <w:tr>
        <w:tc>
          <w:tcPr>
            <w:tcW w:type="dxa" w:w="2400"/>
            <w:shd w:fill="EDEFF7"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New Scheme Designs/Installations</w:t>
            </w:r>
          </w:p>
        </w:tc>
        <w:tc>
          <w:tcPr>
            <w:tcW w:type="dxa" w:w="1700"/>
            <w:shd w:fill="EDEFF7"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Essential</w:t>
            </w:r>
          </w:p>
        </w:tc>
        <w:tc>
          <w:tcPr>
            <w:tcW w:type="dxa" w:w="1700"/>
            <w:shd w:fill="EDEFF7"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Essential</w:t>
            </w:r>
          </w:p>
        </w:tc>
        <w:tc>
          <w:tcPr>
            <w:tcW w:type="dxa" w:w="2050"/>
            <w:shd w:fill="EDEFF7"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Medium risk / Low benefit</w:t>
            </w:r>
          </w:p>
        </w:tc>
        <w:tc>
          <w:tcPr>
            <w:tcW w:type="dxa" w:w="1750"/>
            <w:shd w:fill="EDEFF7"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Medium / Medium</w:t>
            </w:r>
          </w:p>
        </w:tc>
      </w:tr>
      <w:tr>
        <w:tc>
          <w:tcPr>
            <w:tcW w:type="dxa" w:w="2400"/>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New Controller Schemes/Installations</w:t>
            </w:r>
          </w:p>
        </w:tc>
        <w:tc>
          <w:tcPr>
            <w:tcW w:type="dxa" w:w="1700"/>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Desirable</w:t>
            </w:r>
          </w:p>
        </w:tc>
        <w:tc>
          <w:tcPr>
            <w:tcW w:type="dxa" w:w="1700"/>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Desirable</w:t>
            </w:r>
          </w:p>
        </w:tc>
        <w:tc>
          <w:tcPr>
            <w:tcW w:type="dxa" w:w="2050"/>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Low risk / Low benefit</w:t>
            </w:r>
          </w:p>
        </w:tc>
        <w:tc>
          <w:tcPr>
            <w:tcW w:type="dxa" w:w="1750"/>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Low / Low</w:t>
            </w:r>
          </w:p>
        </w:tc>
      </w:tr>
      <w:tr>
        <w:tc>
          <w:tcPr>
            <w:tcW w:type="dxa" w:w="2400"/>
            <w:shd w:fill="EDEFF7"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Controller Optimisations</w:t>
            </w:r>
          </w:p>
        </w:tc>
        <w:tc>
          <w:tcPr>
            <w:tcW w:type="dxa" w:w="1700"/>
            <w:shd w:fill="EDEFF7"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Desirable</w:t>
            </w:r>
          </w:p>
        </w:tc>
        <w:tc>
          <w:tcPr>
            <w:tcW w:type="dxa" w:w="1700"/>
            <w:shd w:fill="EDEFF7"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Desirable</w:t>
            </w:r>
          </w:p>
        </w:tc>
        <w:tc>
          <w:tcPr>
            <w:tcW w:type="dxa" w:w="2050"/>
            <w:shd w:fill="EDEFF7"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Low risk / Low benefit</w:t>
            </w:r>
          </w:p>
        </w:tc>
        <w:tc>
          <w:tcPr>
            <w:tcW w:type="dxa" w:w="1750"/>
            <w:shd w:fill="EDEFF7"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Low / Low</w:t>
            </w:r>
          </w:p>
        </w:tc>
      </w:tr>
      <w:tr>
        <w:tc>
          <w:tcPr>
            <w:tcW w:type="dxa" w:w="2400"/>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Upstream Losses</w:t>
            </w:r>
          </w:p>
        </w:tc>
        <w:tc>
          <w:tcPr>
            <w:tcW w:type="dxa" w:w="1700"/>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Desirable</w:t>
            </w:r>
          </w:p>
        </w:tc>
        <w:tc>
          <w:tcPr>
            <w:tcW w:type="dxa" w:w="1700"/>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Essential</w:t>
            </w:r>
          </w:p>
        </w:tc>
        <w:tc>
          <w:tcPr>
            <w:tcW w:type="dxa" w:w="2050"/>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High risk / High benefit</w:t>
            </w:r>
          </w:p>
        </w:tc>
        <w:tc>
          <w:tcPr>
            <w:tcW w:type="dxa" w:w="1750"/>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Medium / High</w:t>
            </w:r>
          </w:p>
        </w:tc>
      </w:tr>
      <w:tr>
        <w:tc>
          <w:tcPr>
            <w:tcW w:type="dxa" w:w="2400"/>
            <w:shd w:fill="EDEFF7"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Operable</w:t>
            </w:r>
          </w:p>
        </w:tc>
        <w:tc>
          <w:tcPr>
            <w:tcW w:type="dxa" w:w="1700"/>
            <w:shd w:fill="EDEFF7"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Essential</w:t>
            </w:r>
          </w:p>
        </w:tc>
        <w:tc>
          <w:tcPr>
            <w:tcW w:type="dxa" w:w="1700"/>
            <w:shd w:fill="EDEFF7"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Essential</w:t>
            </w:r>
          </w:p>
        </w:tc>
        <w:tc>
          <w:tcPr>
            <w:tcW w:type="dxa" w:w="2050"/>
            <w:shd w:fill="EDEFF7"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High risk / Medium benefit</w:t>
            </w:r>
          </w:p>
        </w:tc>
        <w:tc>
          <w:tcPr>
            <w:tcW w:type="dxa" w:w="1750"/>
            <w:shd w:fill="EDEFF7"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High / High</w:t>
            </w:r>
          </w:p>
        </w:tc>
      </w:tr>
      <w:tr>
        <w:tc>
          <w:tcPr>
            <w:tcW w:type="dxa" w:w="2400"/>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Inoperable</w:t>
            </w:r>
          </w:p>
        </w:tc>
        <w:tc>
          <w:tcPr>
            <w:tcW w:type="dxa" w:w="1700"/>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Desirable</w:t>
            </w:r>
          </w:p>
        </w:tc>
        <w:tc>
          <w:tcPr>
            <w:tcW w:type="dxa" w:w="1700"/>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Essential</w:t>
            </w:r>
          </w:p>
        </w:tc>
        <w:tc>
          <w:tcPr>
            <w:tcW w:type="dxa" w:w="2050"/>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Medium risk / Low benefit</w:t>
            </w:r>
          </w:p>
        </w:tc>
        <w:tc>
          <w:tcPr>
            <w:tcW w:type="dxa" w:w="1750"/>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High / Medium</w:t>
            </w:r>
          </w:p>
        </w:tc>
      </w:tr>
      <w:tr>
        <w:tc>
          <w:tcPr>
            <w:tcW w:type="dxa" w:w="2400"/>
            <w:shd w:fill="EDEFF7"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iQuarius+</w:t>
            </w:r>
          </w:p>
        </w:tc>
        <w:tc>
          <w:tcPr>
            <w:tcW w:type="dxa" w:w="1700"/>
            <w:shd w:fill="EDEFF7"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Essential</w:t>
            </w:r>
          </w:p>
        </w:tc>
        <w:tc>
          <w:tcPr>
            <w:tcW w:type="dxa" w:w="1700"/>
            <w:shd w:fill="EDEFF7"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Essential</w:t>
            </w:r>
          </w:p>
        </w:tc>
        <w:tc>
          <w:tcPr>
            <w:tcW w:type="dxa" w:w="2050"/>
            <w:shd w:fill="EDEFF7"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High risk / High benefit</w:t>
            </w:r>
          </w:p>
        </w:tc>
        <w:tc>
          <w:tcPr>
            <w:tcW w:type="dxa" w:w="1750"/>
            <w:shd w:fill="EDEFF7"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High / High</w:t>
            </w:r>
          </w:p>
        </w:tc>
      </w:tr>
    </w:tbl>
    <w:p>
      <w:pPr>
        <w:spacing w:after="160" w:before="220" w:line="264" w:lineRule="auto"/>
        <w:jc w:val="left"/>
      </w:pPr>
      <w:r>
        <w:rPr>
          <w:rFonts w:ascii="Manrope" w:cs="Manrope" w:eastAsia="Manrope" w:hAnsi="Manrope"/>
          <w:b w:val="false"/>
          <w:bCs w:val="false"/>
          <w:i w:val="false"/>
          <w:iCs w:val="false"/>
          <w:color w:val="40424D"/>
          <w:sz w:val="22"/>
          <w:szCs w:val="22"/>
        </w:rPr>
        <w:t xml:space="preserve">Aqualogic has developed an optimisation model capable of simulating the impact on budgets and leakage levels under a range of operational scenarios. The model uses cost-relationship data for each project type, incorporates estimates of background leakage, and factors in efficiencies that vary with the scale and maturity of each workstream. The model is available to South West Water and can be expanded to include additional leakage projects beyond Aqualogic's current scope.</w:t>
      </w:r>
    </w:p>
    <w:p>
      <w:pPr>
        <w:keepNext/>
        <w:pageBreakBefore/>
        <w:pBdr>
          <w:bottom w:val="single" w:color="00B6DB" w:sz="8" w:space="6"/>
        </w:pBdr>
        <w:spacing w:after="200" w:before="60"/>
      </w:pPr>
      <w:r>
        <w:rPr>
          <w:rFonts w:ascii="Manrope" w:cs="Manrope" w:eastAsia="Manrope" w:hAnsi="Manrope"/>
          <w:b/>
          <w:bCs/>
          <w:i w:val="false"/>
          <w:iCs w:val="false"/>
          <w:color w:val="00B6DB"/>
          <w:sz w:val="30"/>
          <w:szCs w:val="30"/>
        </w:rPr>
        <w:t xml:space="preserve">6    </w:t>
      </w:r>
      <w:r>
        <w:rPr>
          <w:rFonts w:ascii="Manrope" w:cs="Manrope" w:eastAsia="Manrope" w:hAnsi="Manrope"/>
          <w:b/>
          <w:bCs/>
          <w:i w:val="false"/>
          <w:iCs w:val="false"/>
          <w:color w:val="0C2C3A"/>
          <w:sz w:val="30"/>
          <w:szCs w:val="30"/>
        </w:rPr>
        <w:t xml:space="preserve">Project Resources</w:t>
      </w:r>
    </w:p>
    <w:p>
      <w:pPr>
        <w:spacing w:after="220" w:before="0" w:line="264" w:lineRule="auto"/>
        <w:jc w:val="left"/>
      </w:pPr>
      <w:r>
        <w:rPr>
          <w:rFonts w:ascii="Manrope" w:cs="Manrope" w:eastAsia="Manrope" w:hAnsi="Manrope"/>
          <w:b w:val="false"/>
          <w:bCs w:val="false"/>
          <w:i w:val="false"/>
          <w:iCs w:val="false"/>
          <w:color w:val="40424D"/>
          <w:sz w:val="22"/>
          <w:szCs w:val="22"/>
        </w:rPr>
        <w:t xml:space="preserve">The table below summarises the field and management resource deployed across each project.</w:t>
      </w:r>
    </w:p>
    <w:tbl>
      <w:tblPr>
        <w:tblW w:type="dxa" w:w="9600"/>
        <w:tblBorders>
          <w:top w:val="single" w:color="D3D6E0" w:sz="4"/>
          <w:left w:val="single" w:color="D3D6E0" w:sz="4"/>
          <w:bottom w:val="single" w:color="D3D6E0" w:sz="4"/>
          <w:right w:val="single" w:color="D3D6E0" w:sz="4"/>
          <w:insideH w:val="single" w:color="D3D6E0" w:sz="4"/>
          <w:insideV w:val="single" w:color="D3D6E0" w:sz="4"/>
        </w:tblBorders>
        <w:tblLayout w:type="fixed"/>
      </w:tblPr>
      <w:tblGrid>
        <w:gridCol w:w="4800"/>
        <w:gridCol w:w="2400"/>
        <w:gridCol w:w="2400"/>
      </w:tblGrid>
      <w:tr>
        <w:trPr>
          <w:tblHeader/>
        </w:trPr>
        <w:tc>
          <w:tcPr>
            <w:tcW w:type="dxa" w:w="4800"/>
            <w:shd w:fill="0C2C3A"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bCs/>
                <w:i w:val="false"/>
                <w:iCs w:val="false"/>
                <w:color w:val="FFFFFF"/>
                <w:sz w:val="16"/>
                <w:szCs w:val="16"/>
              </w:rPr>
              <w:t xml:space="preserve">Project</w:t>
            </w:r>
          </w:p>
        </w:tc>
        <w:tc>
          <w:tcPr>
            <w:tcW w:type="dxa" w:w="2400"/>
            <w:shd w:fill="0C2C3A"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bCs/>
                <w:i w:val="false"/>
                <w:iCs w:val="false"/>
                <w:color w:val="FFFFFF"/>
                <w:sz w:val="16"/>
                <w:szCs w:val="16"/>
              </w:rPr>
              <w:t xml:space="preserve">Field resource</w:t>
            </w:r>
          </w:p>
        </w:tc>
        <w:tc>
          <w:tcPr>
            <w:tcW w:type="dxa" w:w="2400"/>
            <w:shd w:fill="0C2C3A"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bCs/>
                <w:i w:val="false"/>
                <w:iCs w:val="false"/>
                <w:color w:val="FFFFFF"/>
                <w:sz w:val="16"/>
                <w:szCs w:val="16"/>
              </w:rPr>
              <w:t xml:space="preserve">Supervision &amp; management</w:t>
            </w:r>
          </w:p>
        </w:tc>
      </w:tr>
      <w:tr>
        <w:tc>
          <w:tcPr>
            <w:tcW w:type="dxa" w:w="4800"/>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PRV Servicing</w:t>
            </w:r>
          </w:p>
        </w:tc>
        <w:tc>
          <w:tcPr>
            <w:tcW w:type="dxa" w:w="2400"/>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4</w:t>
            </w:r>
          </w:p>
        </w:tc>
        <w:tc>
          <w:tcPr>
            <w:tcW w:type="dxa" w:w="2400"/>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1</w:t>
            </w:r>
          </w:p>
        </w:tc>
      </w:tr>
      <w:tr>
        <w:tc>
          <w:tcPr>
            <w:tcW w:type="dxa" w:w="4800"/>
            <w:shd w:fill="EDEFF7"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Scheme Designs</w:t>
            </w:r>
          </w:p>
        </w:tc>
        <w:tc>
          <w:tcPr>
            <w:tcW w:type="dxa" w:w="2400"/>
            <w:shd w:fill="EDEFF7"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2</w:t>
            </w:r>
          </w:p>
        </w:tc>
        <w:tc>
          <w:tcPr>
            <w:tcW w:type="dxa" w:w="2400"/>
            <w:shd w:fill="EDEFF7"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1</w:t>
            </w:r>
          </w:p>
        </w:tc>
      </w:tr>
      <w:tr>
        <w:tc>
          <w:tcPr>
            <w:tcW w:type="dxa" w:w="4800"/>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Controller Schemes</w:t>
            </w:r>
          </w:p>
        </w:tc>
        <w:tc>
          <w:tcPr>
            <w:tcW w:type="dxa" w:w="2400"/>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1</w:t>
            </w:r>
          </w:p>
        </w:tc>
        <w:tc>
          <w:tcPr>
            <w:tcW w:type="dxa" w:w="2400"/>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w:t>
            </w:r>
          </w:p>
        </w:tc>
      </w:tr>
      <w:tr>
        <w:tc>
          <w:tcPr>
            <w:tcW w:type="dxa" w:w="4800"/>
            <w:shd w:fill="EDEFF7"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Controller Optimisations</w:t>
            </w:r>
          </w:p>
        </w:tc>
        <w:tc>
          <w:tcPr>
            <w:tcW w:type="dxa" w:w="2400"/>
            <w:shd w:fill="EDEFF7"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1</w:t>
            </w:r>
          </w:p>
        </w:tc>
        <w:tc>
          <w:tcPr>
            <w:tcW w:type="dxa" w:w="2400"/>
            <w:shd w:fill="EDEFF7"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w:t>
            </w:r>
          </w:p>
        </w:tc>
      </w:tr>
      <w:tr>
        <w:tc>
          <w:tcPr>
            <w:tcW w:type="dxa" w:w="4800"/>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Upstream Losses</w:t>
            </w:r>
          </w:p>
        </w:tc>
        <w:tc>
          <w:tcPr>
            <w:tcW w:type="dxa" w:w="2400"/>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22</w:t>
            </w:r>
          </w:p>
        </w:tc>
        <w:tc>
          <w:tcPr>
            <w:tcW w:type="dxa" w:w="2400"/>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3</w:t>
            </w:r>
          </w:p>
        </w:tc>
      </w:tr>
      <w:tr>
        <w:tc>
          <w:tcPr>
            <w:tcW w:type="dxa" w:w="4800"/>
            <w:shd w:fill="EDEFF7"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Operable</w:t>
            </w:r>
          </w:p>
        </w:tc>
        <w:tc>
          <w:tcPr>
            <w:tcW w:type="dxa" w:w="2400"/>
            <w:shd w:fill="EDEFF7"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8</w:t>
            </w:r>
          </w:p>
        </w:tc>
        <w:tc>
          <w:tcPr>
            <w:tcW w:type="dxa" w:w="2400"/>
            <w:shd w:fill="EDEFF7"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2</w:t>
            </w:r>
          </w:p>
        </w:tc>
      </w:tr>
      <w:tr>
        <w:tc>
          <w:tcPr>
            <w:tcW w:type="dxa" w:w="4800"/>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Inoperable</w:t>
            </w:r>
          </w:p>
        </w:tc>
        <w:tc>
          <w:tcPr>
            <w:tcW w:type="dxa" w:w="2400"/>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8</w:t>
            </w:r>
          </w:p>
        </w:tc>
        <w:tc>
          <w:tcPr>
            <w:tcW w:type="dxa" w:w="2400"/>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w:t>
            </w:r>
          </w:p>
        </w:tc>
      </w:tr>
      <w:tr>
        <w:tc>
          <w:tcPr>
            <w:tcW w:type="dxa" w:w="4800"/>
            <w:shd w:fill="EDEFF7"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val="false"/>
                <w:bCs w:val="false"/>
                <w:i w:val="false"/>
                <w:iCs w:val="false"/>
                <w:color w:val="40424D"/>
                <w:sz w:val="18"/>
                <w:szCs w:val="18"/>
              </w:rPr>
              <w:t xml:space="preserve">iQuarius+</w:t>
            </w:r>
          </w:p>
        </w:tc>
        <w:tc>
          <w:tcPr>
            <w:tcW w:type="dxa" w:w="2400"/>
            <w:shd w:fill="EDEFF7"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54</w:t>
            </w:r>
          </w:p>
        </w:tc>
        <w:tc>
          <w:tcPr>
            <w:tcW w:type="dxa" w:w="2400"/>
            <w:shd w:fill="EDEFF7"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val="false"/>
                <w:bCs w:val="false"/>
                <w:i w:val="false"/>
                <w:iCs w:val="false"/>
                <w:color w:val="40424D"/>
                <w:sz w:val="18"/>
                <w:szCs w:val="18"/>
              </w:rPr>
              <w:t xml:space="preserve">4</w:t>
            </w:r>
          </w:p>
        </w:tc>
      </w:tr>
      <w:tr>
        <w:tc>
          <w:tcPr>
            <w:tcW w:type="dxa" w:w="4800"/>
            <w:shd w:fill="D6EEF6" w:color="auto" w:val="clear"/>
            <w:tcMar>
              <w:top w:type="dxa" w:w="70"/>
              <w:left w:type="dxa" w:w="110"/>
              <w:bottom w:type="dxa" w:w="70"/>
              <w:right w:type="dxa" w:w="110"/>
            </w:tcMar>
            <w:vAlign w:val="center"/>
          </w:tcPr>
          <w:p>
            <w:pPr>
              <w:spacing w:after="0" w:before="0" w:line="240" w:lineRule="auto"/>
              <w:jc w:val="left"/>
            </w:pPr>
            <w:r>
              <w:rPr>
                <w:rFonts w:ascii="Manrope" w:cs="Manrope" w:eastAsia="Manrope" w:hAnsi="Manrope"/>
                <w:b/>
                <w:bCs/>
                <w:i w:val="false"/>
                <w:iCs w:val="false"/>
                <w:color w:val="0C2C3A"/>
                <w:sz w:val="18"/>
                <w:szCs w:val="18"/>
              </w:rPr>
              <w:t xml:space="preserve">Total</w:t>
            </w:r>
          </w:p>
        </w:tc>
        <w:tc>
          <w:tcPr>
            <w:tcW w:type="dxa" w:w="2400"/>
            <w:shd w:fill="D6EEF6"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bCs/>
                <w:i w:val="false"/>
                <w:iCs w:val="false"/>
                <w:color w:val="0C2C3A"/>
                <w:sz w:val="18"/>
                <w:szCs w:val="18"/>
              </w:rPr>
              <w:t xml:space="preserve">100</w:t>
            </w:r>
          </w:p>
        </w:tc>
        <w:tc>
          <w:tcPr>
            <w:tcW w:type="dxa" w:w="2400"/>
            <w:shd w:fill="D6EEF6" w:color="auto" w:val="clear"/>
            <w:tcMar>
              <w:top w:type="dxa" w:w="70"/>
              <w:left w:type="dxa" w:w="110"/>
              <w:bottom w:type="dxa" w:w="70"/>
              <w:right w:type="dxa" w:w="110"/>
            </w:tcMar>
            <w:vAlign w:val="center"/>
          </w:tcPr>
          <w:p>
            <w:pPr>
              <w:spacing w:after="0" w:before="0" w:line="240" w:lineRule="auto"/>
              <w:jc w:val="center"/>
            </w:pPr>
            <w:r>
              <w:rPr>
                <w:rFonts w:ascii="Manrope" w:cs="Manrope" w:eastAsia="Manrope" w:hAnsi="Manrope"/>
                <w:b/>
                <w:bCs/>
                <w:i w:val="false"/>
                <w:iCs w:val="false"/>
                <w:color w:val="0C2C3A"/>
                <w:sz w:val="18"/>
                <w:szCs w:val="18"/>
              </w:rPr>
              <w:t xml:space="preserve">11</w:t>
            </w:r>
          </w:p>
        </w:tc>
      </w:tr>
    </w:tbl>
    <w:p>
      <w:pPr>
        <w:sectPr>
          <w:headerReference w:type="default" r:id="rId8"/>
          <w:footerReference w:type="default" r:id="rId9"/>
          <w:pgSz w:w="11906" w:h="16838" w:orient="portrait"/>
          <w:pgMar w:top="1500" w:right="1153" w:bottom="1340" w:left="1153" w:header="760" w:footer="680" w:gutter="0"/>
          <w:pgNumType w:start="1"/>
          <w:docGrid w:linePitch="360"/>
        </w:sectPr>
      </w:pPr>
    </w:p>
    <w:tbl>
      <w:tblPr>
        <w:tblW w:type="dxa" w:w="11906"/>
        <w:tblBorders>
          <w:top w:val="none" w:color="auto" w:sz="0"/>
          <w:left w:val="none" w:color="auto" w:sz="0"/>
          <w:bottom w:val="none" w:color="auto" w:sz="0"/>
          <w:right w:val="none" w:color="auto" w:sz="0"/>
          <w:insideH w:val="none" w:color="auto" w:sz="0"/>
          <w:insideV w:val="none" w:color="auto" w:sz="0"/>
        </w:tblBorders>
        <w:tblLayout w:type="fixed"/>
      </w:tblPr>
      <w:tblGrid>
        <w:gridCol w:w="11906"/>
      </w:tblGrid>
      <w:tr>
        <w:trPr>
          <w:trHeight w:val="16500" w:hRule="atLeast"/>
        </w:trPr>
        <w:tc>
          <w:tcPr>
            <w:tcW w:type="dxa" w:w="11906"/>
            <w:tcBorders>
              <w:top w:val="none" w:color="auto" w:sz="0"/>
              <w:left w:val="none" w:color="auto" w:sz="0"/>
              <w:bottom w:val="none" w:color="auto" w:sz="0"/>
              <w:right w:val="none" w:color="auto" w:sz="0"/>
            </w:tcBorders>
            <w:shd w:fill="0C2C3A" w:color="auto" w:val="clear"/>
            <w:tcMar>
              <w:top w:type="dxa" w:w="1200"/>
              <w:left w:type="dxa" w:w="1153"/>
              <w:bottom w:type="dxa" w:w="1200"/>
              <w:right w:type="dxa" w:w="1153"/>
            </w:tcMar>
            <w:vAlign w:val="center"/>
          </w:tcPr>
          <w:p>
            <w:pPr>
              <w:spacing w:after="0"/>
              <w:jc w:val="center"/>
            </w:pPr>
            <w:r>
              <w:drawing>
                <wp:inline distT="0" distB="0" distL="0" distR="0">
                  <wp:extent cx="2381250" cy="781050"/>
                  <wp:effectExtent t="0" r="0" b="0" l="0"/>
                  <wp:docPr id="1" name="logo" descr="Aqualogic logo" title="Aqualog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381250" cy="781050"/>
                          </a:xfrm>
                          <a:prstGeom prst="rect">
                            <a:avLst/>
                          </a:prstGeom>
                        </pic:spPr>
                      </pic:pic>
                    </a:graphicData>
                  </a:graphic>
                </wp:inline>
              </w:drawing>
            </w:r>
          </w:p>
          <w:p>
            <w:pPr>
              <w:spacing w:after="200" w:before="420" w:line="240"/>
              <w:jc w:val="center"/>
            </w:pPr>
            <w:r>
              <w:rPr>
                <w:rFonts w:ascii="Manrope" w:cs="Manrope" w:eastAsia="Manrope" w:hAnsi="Manrope"/>
                <w:b w:val="false"/>
                <w:bCs w:val="false"/>
                <w:i w:val="false"/>
                <w:iCs w:val="false"/>
                <w:color w:val="FFFFFF"/>
                <w:spacing w:val="30"/>
                <w:sz w:val="34"/>
                <w:szCs w:val="34"/>
              </w:rPr>
              <w:t xml:space="preserve">Part of the Sustec group</w:t>
            </w:r>
          </w:p>
          <w:p>
            <w:pPr>
              <w:spacing w:after="0" w:before="0"/>
              <w:jc w:val="center"/>
            </w:pPr>
            <w:r>
              <w:drawing>
                <wp:inline distT="0" distB="0" distL="0" distR="0">
                  <wp:extent cx="1676400" cy="333375"/>
                  <wp:effectExtent t="0" r="0" b="0" l="0"/>
                  <wp:docPr id="1" name="sustec" descr="Sustec" title="Sust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76400" cy="333375"/>
                          </a:xfrm>
                          <a:prstGeom prst="rect">
                            <a:avLst/>
                          </a:prstGeom>
                        </pic:spPr>
                      </pic:pic>
                    </a:graphicData>
                  </a:graphic>
                </wp:inline>
              </w:drawing>
            </w:r>
          </w:p>
          <w:p>
            <w:pPr>
              <w:spacing w:after="0" w:before="420" w:line="240"/>
              <w:jc w:val="center"/>
            </w:pPr>
            <w:r>
              <w:rPr>
                <w:rFonts w:ascii="Manrope" w:cs="Manrope" w:eastAsia="Manrope" w:hAnsi="Manrope"/>
                <w:b w:val="false"/>
                <w:bCs w:val="false"/>
                <w:i w:val="false"/>
                <w:iCs w:val="false"/>
                <w:color w:val="00B6DB"/>
                <w:sz w:val="30"/>
                <w:szCs w:val="30"/>
              </w:rPr>
              <w:t xml:space="preserve">Intelligent water conservation.</w:t>
            </w:r>
          </w:p>
          <w:p>
            <w:pPr>
              <w:spacing w:after="50" w:before="820" w:line="252"/>
              <w:jc w:val="center"/>
            </w:pPr>
            <w:r>
              <w:rPr>
                <w:rFonts w:ascii="Manrope" w:cs="Manrope" w:eastAsia="Manrope" w:hAnsi="Manrope"/>
                <w:b w:val="false"/>
                <w:bCs w:val="false"/>
                <w:i w:val="false"/>
                <w:iCs w:val="false"/>
                <w:color w:val="EDEFF7"/>
                <w:sz w:val="16"/>
                <w:szCs w:val="16"/>
              </w:rPr>
              <w:t xml:space="preserve">12 Tower Quays, Tower Road, Birkenhead CH41 1BP      ·      Ty Dwr, Stalling Down, Cowbridge CF71 7DT</w:t>
            </w:r>
          </w:p>
          <w:p>
            <w:pPr>
              <w:spacing w:after="0" w:line="252"/>
              <w:jc w:val="center"/>
            </w:pPr>
            <w:r>
              <w:rPr>
                <w:rFonts w:ascii="Manrope" w:cs="Manrope" w:eastAsia="Manrope" w:hAnsi="Manrope"/>
                <w:b w:val="false"/>
                <w:bCs w:val="false"/>
                <w:i w:val="false"/>
                <w:iCs w:val="false"/>
                <w:color w:val="EDEFF7"/>
                <w:sz w:val="16"/>
                <w:szCs w:val="16"/>
              </w:rPr>
              <w:t xml:space="preserve">0844 324 0844      ·      www.aqualogic-wc.com</w:t>
            </w:r>
          </w:p>
          <w:p>
            <w:pPr>
              <w:spacing w:after="30" w:before="280" w:line="240"/>
              <w:jc w:val="center"/>
            </w:pPr>
            <w:r>
              <w:rPr>
                <w:rFonts w:ascii="Manrope" w:cs="Manrope" w:eastAsia="Manrope" w:hAnsi="Manrope"/>
                <w:b w:val="false"/>
                <w:bCs w:val="false"/>
                <w:i w:val="false"/>
                <w:iCs w:val="false"/>
                <w:color w:val="BCBFCC"/>
                <w:sz w:val="14"/>
                <w:szCs w:val="14"/>
              </w:rPr>
              <w:t xml:space="preserve">Registered in England and Wales 05159010      ·      ISO Cert No 8075</w:t>
            </w:r>
          </w:p>
          <w:p>
            <w:pPr>
              <w:spacing w:after="0" w:line="240"/>
              <w:jc w:val="center"/>
            </w:pPr>
            <w:r>
              <w:rPr>
                <w:rFonts w:ascii="Manrope" w:cs="Manrope" w:eastAsia="Manrope" w:hAnsi="Manrope"/>
                <w:b w:val="false"/>
                <w:bCs w:val="false"/>
                <w:i w:val="false"/>
                <w:iCs w:val="false"/>
                <w:color w:val="BCBFCC"/>
                <w:sz w:val="14"/>
                <w:szCs w:val="14"/>
              </w:rPr>
              <w:t xml:space="preserve">Commercial in confidence</w:t>
            </w:r>
          </w:p>
        </w:tc>
      </w:tr>
    </w:tbl>
    <w:sectPr>
      <w:headerReference w:type="default" r:id="rId10"/>
      <w:footerReference w:type="default" r:id="rId11"/>
      <w:pgSz w:w="11906" w:h="16838"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B6DB" w:sz="6" w:space="8"/>
      </w:pBdr>
      <w:spacing w:after="40" w:before="0"/>
      <w:jc w:val="center"/>
    </w:pPr>
    <w:r>
      <w:rPr>
        <w:rFonts w:ascii="Manrope" w:cs="Manrope" w:eastAsia="Manrope" w:hAnsi="Manrope"/>
        <w:b w:val="false"/>
        <w:bCs w:val="false"/>
        <w:i w:val="false"/>
        <w:iCs w:val="false"/>
        <w:color w:val="6E7180"/>
        <w:sz w:val="15"/>
        <w:szCs w:val="15"/>
      </w:rPr>
      <w:t xml:space="preserve">12 Tower Quays, Tower Road, Birkenhead CH41 1BP      ·      Ty Dwr, Stalling Down, Cowbridge CF71 7DT</w:t>
    </w:r>
  </w:p>
  <w:p>
    <w:pPr>
      <w:spacing w:after="0"/>
      <w:jc w:val="center"/>
    </w:pPr>
    <w:r>
      <w:rPr>
        <w:rFonts w:ascii="Manrope" w:cs="Manrope" w:eastAsia="Manrope" w:hAnsi="Manrope"/>
        <w:b w:val="false"/>
        <w:bCs w:val="false"/>
        <w:i w:val="false"/>
        <w:iCs w:val="false"/>
        <w:color w:val="BCBFCC"/>
        <w:sz w:val="14"/>
        <w:szCs w:val="14"/>
      </w:rPr>
      <w:t xml:space="preserve">0844 324 0844    ·    www.aqualogic-wc.com    ·    Registered in England and Wales 05159010    ·    ISO Cert No 8075    ·    Commercial in confidence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DEFF7" w:sz="4" w:space="6"/>
      </w:pBdr>
      <w:tabs>
        <w:tab w:val="center" w:pos="4800"/>
        <w:tab w:val="right" w:pos="9600"/>
      </w:tabs>
    </w:pPr>
    <w:r>
      <w:rPr>
        <w:rFonts w:ascii="Manrope" w:cs="Manrope" w:eastAsia="Manrope" w:hAnsi="Manrope"/>
        <w:b w:val="false"/>
        <w:bCs w:val="false"/>
        <w:i w:val="false"/>
        <w:iCs w:val="false"/>
        <w:color w:val="6E7180"/>
        <w:sz w:val="15"/>
        <w:szCs w:val="15"/>
      </w:rPr>
      <w:t xml:space="preserve">Aqualogic, a Sustec company</w:t>
    </w:r>
    <w:r>
      <w:rPr>
        <w:rFonts w:ascii="Manrope" w:cs="Manrope" w:eastAsia="Manrope" w:hAnsi="Manrope"/>
      </w:rPr>
      <w:t xml:space="preserve">	</w:t>
    </w:r>
    <w:r>
      <w:rPr>
        <w:rFonts w:ascii="Manrope" w:cs="Manrope" w:eastAsia="Manrope" w:hAnsi="Manrope"/>
        <w:b w:val="false"/>
        <w:bCs w:val="false"/>
        <w:i w:val="false"/>
        <w:iCs w:val="false"/>
        <w:color w:val="BCBFCC"/>
        <w:sz w:val="15"/>
        <w:szCs w:val="15"/>
      </w:rPr>
      <w:t xml:space="preserve">Commercial in confidence</w:t>
    </w:r>
    <w:r>
      <w:rPr>
        <w:rFonts w:ascii="Manrope" w:cs="Manrope" w:eastAsia="Manrope" w:hAnsi="Manrope"/>
      </w:rPr>
      <w:t xml:space="preserve">	</w:t>
    </w:r>
    <w:r>
      <w:rPr>
        <w:rFonts w:ascii="Manrope" w:cs="Manrope" w:eastAsia="Manrope" w:hAnsi="Manrope"/>
        <w:b w:val="false"/>
        <w:bCs w:val="false"/>
        <w:i w:val="false"/>
        <w:iCs w:val="false"/>
        <w:color w:val="6E7180"/>
        <w:sz w:val="15"/>
        <w:szCs w:val="15"/>
      </w:rPr>
      <w:t xml:space="preserve">Page </w:t>
    </w:r>
    <w:r>
      <w:rPr>
        <w:rFonts w:ascii="Manrope" w:cs="Manrope" w:eastAsia="Manrope" w:hAnsi="Manrope"/>
        <w:color w:val="6E7180"/>
        <w:sz w:val="15"/>
        <w:szCs w:val="15"/>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EFF7" w:sz="4" w:space="6"/>
      </w:pBdr>
      <w:spacing w:after="0"/>
    </w:pPr>
    <w:r>
      <w:drawing>
        <wp:inline distT="0" distB="0" distL="0" distR="0">
          <wp:extent cx="152400" cy="152400"/>
          <wp:effectExtent t="0" r="0" b="0" l="0"/>
          <wp:docPr id="1" name="mark" descr="mark" title="Aqualog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 cy="152400"/>
                  </a:xfrm>
                  <a:prstGeom prst="rect">
                    <a:avLst/>
                  </a:prstGeom>
                </pic:spPr>
              </pic:pic>
            </a:graphicData>
          </a:graphic>
        </wp:inline>
      </w:drawing>
    </w:r>
    <w:r>
      <w:rPr>
        <w:rFonts w:ascii="Manrope" w:cs="Manrope" w:eastAsia="Manrope" w:hAnsi="Manrope"/>
        <w:b w:val="false"/>
        <w:bCs w:val="false"/>
        <w:i w:val="false"/>
        <w:iCs w:val="false"/>
        <w:color w:val="6E7180"/>
        <w:sz w:val="15"/>
        <w:szCs w:val="15"/>
      </w:rPr>
      <w:t xml:space="preserve">   South West Water   ·   Leakage Workstreams 2026/27</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rPr>
        <w:color w:val="00B6D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nrope" w:cs="Manrope" w:eastAsia="Manrope" w:hAnsi="Manrope"/>
        <w:color w:val="40424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image" Target="media/03c7d8fed723a13c353a5da63e122e2cfefe7fce.png"/><Relationship Id="rId13" Type="http://schemas.openxmlformats.org/officeDocument/2006/relationships/image" Target="media/3d3eb2e07061ee3bb4b65f64874dcf0323184d7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a45ef290d7fe481ec1d4700b75831bfdb052934.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Aqualogic client report template</dc:title>
  <dc:creator>Alchemy</dc:creator>
  <dc:description>Aqualogic report</dc:description>
  <cp:lastModifiedBy>Un-named</cp:lastModifiedBy>
  <cp:revision>1</cp:revision>
  <dcterms:created xsi:type="dcterms:W3CDTF">2026-06-12T10:52:52.401Z</dcterms:created>
  <dcterms:modified xsi:type="dcterms:W3CDTF">2026-06-12T10:52:52.401Z</dcterms:modified>
</cp:coreProperties>
</file>

<file path=docProps/custom.xml><?xml version="1.0" encoding="utf-8"?>
<Properties xmlns="http://schemas.openxmlformats.org/officeDocument/2006/custom-properties" xmlns:vt="http://schemas.openxmlformats.org/officeDocument/2006/docPropsVTypes"/>
</file>