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b/>
          <w:i w:val="0"/>
          <w:color w:val="0F3D56"/>
          <w:sz w:val="48"/>
        </w:rPr>
        <w:t>OSINT Tool Alpha Build</w:t>
      </w:r>
    </w:p>
    <w:p>
      <w:pPr>
        <w:spacing w:after="200"/>
        <w:jc w:val="center"/>
      </w:pPr>
      <w:r>
        <w:rPr>
          <w:b/>
          <w:i w:val="0"/>
          <w:color w:val="1F6F8B"/>
          <w:sz w:val="40"/>
        </w:rPr>
        <w:t>Technical Architecture</w:t>
      </w:r>
      <w:r>
        <w:rPr>
          <w:b/>
          <w:i w:val="0"/>
          <w:color w:val="1F6F8B"/>
          <w:sz w:val="40"/>
        </w:rPr>
        <w:t xml:space="preserve"> - Trends Workflow</w:t>
      </w:r>
    </w:p>
    <w:p>
      <w:pPr>
        <w:spacing w:after="520"/>
        <w:jc w:val="center"/>
      </w:pPr>
      <w:r>
        <w:rPr>
          <w:b w:val="0"/>
          <w:i/>
          <w:color w:val="5F6B73"/>
          <w:sz w:val="22"/>
        </w:rPr>
        <w:t>Meeting-ready architecture note focused on the current Trends-only research path.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color="C9D9E1"/>
          <w:left w:val="single" w:sz="10" w:color="C9D9E1"/>
          <w:bottom w:val="single" w:sz="10" w:color="C9D9E1"/>
          <w:right w:val="single" w:sz="10" w:color="C9D9E1"/>
          <w:insideH w:val="single" w:sz="10" w:color="C9D9E1"/>
          <w:insideV w:val="single" w:sz="10" w:color="C9D9E1"/>
        </w:tblBorders>
      </w:tblPr>
      <w:tblGrid>
        <w:gridCol w:w="9936"/>
      </w:tblGrid>
      <w:tr>
        <w:tc>
          <w:tcPr>
            <w:tcW w:type="dxa" w:w="9936"/>
            <w:shd w:fill="EAF4F8"/>
            <w:vAlign w:val="center"/>
          </w:tcPr>
          <w:p>
            <w:pPr>
              <w:spacing w:before="200" w:after="200"/>
              <w:jc w:val="center"/>
            </w:pPr>
            <w:r>
              <w:rPr>
                <w:b/>
                <w:i w:val="0"/>
                <w:color w:val="0F3D56"/>
                <w:sz w:val="22"/>
              </w:rPr>
              <w:t xml:space="preserve">Purpose: </w:t>
            </w:r>
            <w:r>
              <w:rPr>
                <w:b w:val="0"/>
                <w:i w:val="0"/>
                <w:sz w:val="22"/>
              </w:rPr>
              <w:t>Explain how the alpha system generates source-backed market trends through a staged OSINT pipeline.</w:t>
            </w:r>
          </w:p>
        </w:tc>
      </w:tr>
    </w:tbl>
    <w:p/>
    <w:p>
      <w:pPr>
        <w:jc w:val="center"/>
      </w:pPr>
      <w:r>
        <w:rPr>
          <w:b/>
          <w:i w:val="0"/>
          <w:color w:val="5F6B73"/>
          <w:sz w:val="20"/>
        </w:rPr>
        <w:t>Prepared for Alpha Demo Discussion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  <w:spacing w:before="160" w:after="120"/>
      </w:pPr>
      <w:r>
        <w:rPr>
          <w:b/>
          <w:color w:val="0F3D56"/>
          <w:sz w:val="36"/>
        </w:rPr>
        <w:t>1. Executive Overview</w:t>
      </w:r>
    </w:p>
    <w:p>
      <w:pPr>
        <w:spacing w:after="120" w:line="276" w:lineRule="auto"/>
      </w:pPr>
      <w:r>
        <w:rPr>
          <w:sz w:val="22"/>
        </w:rPr>
        <w:t>This alpha build is designed as a Trends-first OSINT research workflow. The system accepts a topic and optional geography, generates trend-oriented search queries, retrieves and filters sources, collects text from web pages and PDFs, cleans the evidence, and produces structured trend outputs with traceable sources.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B7C6CE"/>
          <w:left w:val="single" w:sz="8" w:color="B7C6CE"/>
          <w:bottom w:val="single" w:sz="8" w:color="B7C6CE"/>
          <w:right w:val="single" w:sz="8" w:color="B7C6CE"/>
          <w:insideH w:val="single" w:sz="8" w:color="B7C6CE"/>
          <w:insideV w:val="single" w:sz="8" w:color="B7C6CE"/>
        </w:tblBorders>
      </w:tblPr>
      <w:tblGrid>
        <w:gridCol w:w="4968"/>
        <w:gridCol w:w="4968"/>
      </w:tblGrid>
      <w:tr>
        <w:tc>
          <w:tcPr>
            <w:tcW w:type="dxa" w:w="4968"/>
            <w:shd w:fill="D8EEF5"/>
          </w:tcPr>
          <w:p>
            <w:r>
              <w:rPr>
                <w:b/>
                <w:i w:val="0"/>
                <w:color w:val="0F3D56"/>
                <w:sz w:val="22"/>
              </w:rPr>
              <w:t>Layer</w:t>
            </w:r>
          </w:p>
        </w:tc>
        <w:tc>
          <w:tcPr>
            <w:tcW w:type="dxa" w:w="4968"/>
            <w:shd w:fill="D8EEF5"/>
          </w:tcPr>
          <w:p>
            <w:r>
              <w:rPr>
                <w:b/>
                <w:i w:val="0"/>
                <w:color w:val="0F3D56"/>
                <w:sz w:val="22"/>
              </w:rPr>
              <w:t>Responsibility</w:t>
            </w:r>
          </w:p>
        </w:tc>
      </w:tr>
      <w:tr>
        <w:tc>
          <w:tcPr>
            <w:tcW w:type="dxa" w:w="4968"/>
            <w:vAlign w:val="center"/>
            <w:shd w:fill="EAF4F8"/>
          </w:tcPr>
          <w:p>
            <w:r>
              <w:rPr>
                <w:sz w:val="21"/>
              </w:rPr>
              <w:t>Frontend UI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1"/>
              </w:rPr>
              <w:t>Captures analyst input, sends research requests, and renders trends results.</w:t>
            </w:r>
          </w:p>
        </w:tc>
      </w:tr>
      <w:tr>
        <w:tc>
          <w:tcPr>
            <w:tcW w:type="dxa" w:w="4968"/>
            <w:vAlign w:val="center"/>
            <w:shd w:fill="EAF4F8"/>
          </w:tcPr>
          <w:p>
            <w:r>
              <w:rPr>
                <w:sz w:val="21"/>
              </w:rPr>
              <w:t>API Layer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1"/>
              </w:rPr>
              <w:t>Validates requests, coordinates sessions, and exposes research and follow-up endpoints.</w:t>
            </w:r>
          </w:p>
        </w:tc>
      </w:tr>
      <w:tr>
        <w:tc>
          <w:tcPr>
            <w:tcW w:type="dxa" w:w="4968"/>
            <w:vAlign w:val="center"/>
            <w:shd w:fill="EAF4F8"/>
          </w:tcPr>
          <w:p>
            <w:r>
              <w:rPr>
                <w:sz w:val="21"/>
              </w:rPr>
              <w:t>Research Orchestrator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1"/>
              </w:rPr>
              <w:t>Runs the end-to-end research pipeline in one bounded execution path.</w:t>
            </w:r>
          </w:p>
        </w:tc>
      </w:tr>
      <w:tr>
        <w:tc>
          <w:tcPr>
            <w:tcW w:type="dxa" w:w="4968"/>
            <w:vAlign w:val="center"/>
            <w:shd w:fill="EAF4F8"/>
          </w:tcPr>
          <w:p>
            <w:r>
              <w:rPr>
                <w:sz w:val="21"/>
              </w:rPr>
              <w:t>Retrieval Layer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1"/>
              </w:rPr>
              <w:t>Generates queries, searches the web, filters results, and prioritizes quality sources.</w:t>
            </w:r>
          </w:p>
        </w:tc>
      </w:tr>
      <w:tr>
        <w:tc>
          <w:tcPr>
            <w:tcW w:type="dxa" w:w="4968"/>
            <w:vAlign w:val="center"/>
            <w:shd w:fill="EAF4F8"/>
          </w:tcPr>
          <w:p>
            <w:r>
              <w:rPr>
                <w:sz w:val="21"/>
              </w:rPr>
              <w:t>Evidence Layer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1"/>
              </w:rPr>
              <w:t>Collects artifacts, cleans text, scores source quality, and prepares analysis context.</w:t>
            </w:r>
          </w:p>
        </w:tc>
      </w:tr>
      <w:tr>
        <w:tc>
          <w:tcPr>
            <w:tcW w:type="dxa" w:w="4968"/>
            <w:vAlign w:val="center"/>
            <w:shd w:fill="EAF4F8"/>
          </w:tcPr>
          <w:p>
            <w:r>
              <w:rPr>
                <w:sz w:val="21"/>
              </w:rPr>
              <w:t>Analysis Layer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1"/>
              </w:rPr>
              <w:t>Produces structured trend insights and attaches source references.</w:t>
            </w:r>
          </w:p>
        </w:tc>
      </w:tr>
    </w:tbl>
    <w:p>
      <w:pPr>
        <w:pStyle w:val="Heading1"/>
        <w:spacing w:before="160" w:after="120"/>
      </w:pPr>
      <w:r>
        <w:rPr>
          <w:b/>
          <w:color w:val="0F3D56"/>
          <w:sz w:val="36"/>
        </w:rPr>
        <w:t>2. Trends Workflow</w:t>
      </w:r>
    </w:p>
    <w:p>
      <w:pPr>
        <w:spacing w:after="120" w:line="276" w:lineRule="auto"/>
      </w:pPr>
      <w:r>
        <w:rPr>
          <w:sz w:val="22"/>
        </w:rPr>
        <w:t>The current trends pipeline can be described in the following architecture sequence: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C9D9E1"/>
          <w:left w:val="single" w:sz="10" w:color="C9D9E1"/>
          <w:bottom w:val="single" w:sz="10" w:color="C9D9E1"/>
          <w:right w:val="single" w:sz="10" w:color="C9D9E1"/>
          <w:insideH w:val="single" w:sz="10" w:color="C9D9E1"/>
          <w:insideV w:val="single" w:sz="10" w:color="C9D9E1"/>
        </w:tblBorders>
      </w:tblPr>
      <w:tblGrid>
        <w:gridCol w:w="9936"/>
      </w:tblGrid>
      <w:tr>
        <w:tc>
          <w:tcPr>
            <w:tcW w:type="dxa" w:w="9936"/>
            <w:shd w:fill="EAF4F8"/>
          </w:tcPr>
          <w:p>
            <w:pPr>
              <w:spacing w:before="200" w:after="200"/>
              <w:jc w:val="center"/>
            </w:pPr>
            <w:r>
              <w:rPr>
                <w:b/>
                <w:i w:val="0"/>
                <w:color w:val="0F3D56"/>
                <w:sz w:val="22"/>
              </w:rPr>
              <w:t>Topic + Geography Input</w:t>
            </w:r>
            <w:r>
              <w:rPr>
                <w:b w:val="0"/>
                <w:i w:val="0"/>
                <w:sz w:val="22"/>
              </w:rPr>
              <w:br/>
              <w:t>-&gt; Query Generation for Trends</w:t>
            </w:r>
            <w:r>
              <w:rPr>
                <w:b w:val="0"/>
                <w:i w:val="0"/>
                <w:sz w:val="22"/>
              </w:rPr>
              <w:br/>
              <w:t>-&gt; Multi-Query Search and Ranking</w:t>
            </w:r>
            <w:r>
              <w:rPr>
                <w:b w:val="0"/>
                <w:i w:val="0"/>
                <w:sz w:val="22"/>
              </w:rPr>
              <w:br/>
              <w:t>-&gt; Web / PDF Artifact Collection</w:t>
            </w:r>
            <w:r>
              <w:rPr>
                <w:b w:val="0"/>
                <w:i w:val="0"/>
                <w:sz w:val="22"/>
              </w:rPr>
              <w:br/>
              <w:t>-&gt; Evidence Cleaning and Sentence Selection</w:t>
            </w:r>
            <w:r>
              <w:rPr>
                <w:b w:val="0"/>
                <w:i w:val="0"/>
                <w:sz w:val="22"/>
              </w:rPr>
              <w:br/>
              <w:t>-&gt; Structured Trend Analysis</w:t>
            </w:r>
            <w:r>
              <w:rPr>
                <w:b w:val="0"/>
                <w:i w:val="0"/>
                <w:sz w:val="22"/>
              </w:rPr>
              <w:br/>
              <w:t>-&gt; Source Attachment and Example Enrichment</w:t>
            </w:r>
            <w:r>
              <w:rPr>
                <w:b w:val="0"/>
                <w:i w:val="0"/>
                <w:sz w:val="22"/>
              </w:rPr>
              <w:br/>
              <w:t>-&gt; Frontend Trend Cards and Export</w:t>
            </w:r>
          </w:p>
        </w:tc>
      </w:tr>
    </w:tbl>
    <w:p>
      <w:pPr>
        <w:pStyle w:val="Heading1"/>
        <w:spacing w:before="160" w:after="120"/>
      </w:pPr>
      <w:r>
        <w:rPr>
          <w:b/>
          <w:color w:val="0F3D56"/>
          <w:sz w:val="36"/>
        </w:rPr>
        <w:t>3. Stage-by-Stage Breakdown</w:t>
      </w:r>
    </w:p>
    <w:p>
      <w:pPr>
        <w:pStyle w:val="ListBullet"/>
        <w:spacing w:after="80" w:line="264" w:lineRule="auto"/>
      </w:pPr>
      <w:r>
        <w:rPr>
          <w:sz w:val="22"/>
        </w:rPr>
        <w:t>Input Layer: The analyst selects the topic, the section as Trends, and an optional global, regional, or country scope.</w:t>
      </w:r>
    </w:p>
    <w:p>
      <w:pPr>
        <w:pStyle w:val="ListBullet"/>
        <w:spacing w:after="80" w:line="264" w:lineRule="auto"/>
      </w:pPr>
      <w:r>
        <w:rPr>
          <w:sz w:val="22"/>
        </w:rPr>
        <w:t>Query Generation: The backend creates exactly ten trend-oriented search queries designed to capture what is changing in the market.</w:t>
      </w:r>
    </w:p>
    <w:p>
      <w:pPr>
        <w:pStyle w:val="ListBullet"/>
        <w:spacing w:after="80" w:line="264" w:lineRule="auto"/>
      </w:pPr>
      <w:r>
        <w:rPr>
          <w:sz w:val="22"/>
        </w:rPr>
        <w:t>Search and Ranking: The system fans out across multiple queries, filters weak domains, blocks reference-only sources such as Wikipedia-family domains, and ranks results by authority, freshness, and geography relevance.</w:t>
      </w:r>
    </w:p>
    <w:p>
      <w:pPr>
        <w:pStyle w:val="ListBullet"/>
        <w:spacing w:after="80" w:line="264" w:lineRule="auto"/>
      </w:pPr>
      <w:r>
        <w:rPr>
          <w:sz w:val="22"/>
        </w:rPr>
        <w:t>Artifact Collection: The pipeline captures usable text from web pages and PDFs and stores research artifacts for reuse in later analysis or follow-up flows.</w:t>
      </w:r>
    </w:p>
    <w:p>
      <w:pPr>
        <w:pStyle w:val="ListBullet"/>
        <w:spacing w:after="80" w:line="264" w:lineRule="auto"/>
      </w:pPr>
      <w:r>
        <w:rPr>
          <w:sz w:val="22"/>
        </w:rPr>
        <w:t>Evidence Cleaning: Raw source text is cleaned, noise is removed, and high-signal evidence sentences are selected to form a bounded analysis pack.</w:t>
      </w:r>
    </w:p>
    <w:p>
      <w:pPr>
        <w:pStyle w:val="ListBullet"/>
        <w:spacing w:after="80" w:line="264" w:lineRule="auto"/>
      </w:pPr>
      <w:r>
        <w:rPr>
          <w:sz w:val="22"/>
        </w:rPr>
        <w:t>Trend Analysis: The cleaned evidence is sent to the analysis layer, which generates structured trend insights rather than plain conversational summaries.</w:t>
      </w:r>
    </w:p>
    <w:p>
      <w:pPr>
        <w:pStyle w:val="ListBullet"/>
        <w:spacing w:after="80" w:line="264" w:lineRule="auto"/>
      </w:pPr>
      <w:r>
        <w:rPr>
          <w:sz w:val="22"/>
        </w:rPr>
        <w:t>Source Linking: Each returned trend item is normalized and paired with source references so the frontend can render traceable results.</w:t>
      </w:r>
    </w:p>
    <w:p>
      <w:pPr>
        <w:pStyle w:val="ListBullet"/>
        <w:spacing w:after="80" w:line="264" w:lineRule="auto"/>
      </w:pPr>
      <w:r>
        <w:rPr>
          <w:sz w:val="22"/>
        </w:rPr>
        <w:t>Example Enrichment: A second pass can research concrete examples for top trend items without forcing examples from the same initial evidence bundle.</w:t>
      </w:r>
    </w:p>
    <w:p>
      <w:pPr>
        <w:pStyle w:val="Heading1"/>
        <w:spacing w:before="160" w:after="120"/>
      </w:pPr>
      <w:r>
        <w:rPr>
          <w:b/>
          <w:color w:val="0F3D56"/>
          <w:sz w:val="36"/>
        </w:rPr>
        <w:t>4. Key Components in the Current Alpha Build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B7C6CE"/>
          <w:left w:val="single" w:sz="8" w:color="B7C6CE"/>
          <w:bottom w:val="single" w:sz="8" w:color="B7C6CE"/>
          <w:right w:val="single" w:sz="8" w:color="B7C6CE"/>
          <w:insideH w:val="single" w:sz="8" w:color="B7C6CE"/>
          <w:insideV w:val="single" w:sz="8" w:color="B7C6C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D8EEF5"/>
          </w:tcPr>
          <w:p>
            <w:r>
              <w:rPr>
                <w:b/>
                <w:i w:val="0"/>
                <w:color w:val="0F3D56"/>
                <w:sz w:val="22"/>
              </w:rPr>
              <w:t>Component</w:t>
            </w:r>
          </w:p>
        </w:tc>
        <w:tc>
          <w:tcPr>
            <w:tcW w:type="dxa" w:w="3312"/>
            <w:shd w:fill="D8EEF5"/>
          </w:tcPr>
          <w:p>
            <w:r>
              <w:rPr>
                <w:b/>
                <w:i w:val="0"/>
                <w:color w:val="0F3D56"/>
                <w:sz w:val="22"/>
              </w:rPr>
              <w:t>Primary Role</w:t>
            </w:r>
          </w:p>
        </w:tc>
        <w:tc>
          <w:tcPr>
            <w:tcW w:type="dxa" w:w="3312"/>
            <w:shd w:fill="D8EEF5"/>
          </w:tcPr>
          <w:p>
            <w:r>
              <w:rPr>
                <w:b/>
                <w:i w:val="0"/>
                <w:color w:val="0F3D56"/>
                <w:sz w:val="22"/>
              </w:rPr>
              <w:t>Representative Implementation</w:t>
            </w:r>
          </w:p>
        </w:tc>
      </w:tr>
      <w:tr>
        <w:tc>
          <w:tcPr>
            <w:tcW w:type="dxa" w:w="3312"/>
            <w:vAlign w:val="center"/>
            <w:shd w:fill="EAF4F8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Input capture, request orchestration, result rendering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Static UI with research and follow-up flows</w:t>
            </w:r>
          </w:p>
        </w:tc>
      </w:tr>
      <w:tr>
        <w:tc>
          <w:tcPr>
            <w:tcW w:type="dxa" w:w="3312"/>
            <w:vAlign w:val="center"/>
            <w:shd w:fill="EAF4F8"/>
          </w:tcPr>
          <w:p>
            <w:r>
              <w:rPr>
                <w:sz w:val="20"/>
              </w:rPr>
              <w:t>FastAPI Backend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Endpoint routing and orchestration entrypoint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/api/research and related routes</w:t>
            </w:r>
          </w:p>
        </w:tc>
      </w:tr>
      <w:tr>
        <w:tc>
          <w:tcPr>
            <w:tcW w:type="dxa" w:w="3312"/>
            <w:vAlign w:val="center"/>
            <w:shd w:fill="EAF4F8"/>
          </w:tcPr>
          <w:p>
            <w:r>
              <w:rPr>
                <w:sz w:val="20"/>
              </w:rPr>
              <w:t>Query Generator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Builds ten trend-focused search queries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Structured and fallback query generation</w:t>
            </w:r>
          </w:p>
        </w:tc>
      </w:tr>
      <w:tr>
        <w:tc>
          <w:tcPr>
            <w:tcW w:type="dxa" w:w="3312"/>
            <w:vAlign w:val="center"/>
            <w:shd w:fill="EAF4F8"/>
          </w:tcPr>
          <w:p>
            <w:r>
              <w:rPr>
                <w:sz w:val="20"/>
              </w:rPr>
              <w:t>Search Service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Runs DDG search, filtering, scoring, and URL dedupe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Authority, freshness, and location-aware ranking</w:t>
            </w:r>
          </w:p>
        </w:tc>
      </w:tr>
      <w:tr>
        <w:tc>
          <w:tcPr>
            <w:tcW w:type="dxa" w:w="3312"/>
            <w:vAlign w:val="center"/>
            <w:shd w:fill="EAF4F8"/>
          </w:tcPr>
          <w:p>
            <w:r>
              <w:rPr>
                <w:sz w:val="20"/>
              </w:rPr>
              <w:t>Scraper Service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Collects web and PDF artifacts for evidence capture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Artifact retrieval and storage pipeline</w:t>
            </w:r>
          </w:p>
        </w:tc>
      </w:tr>
      <w:tr>
        <w:tc>
          <w:tcPr>
            <w:tcW w:type="dxa" w:w="3312"/>
            <w:vAlign w:val="center"/>
            <w:shd w:fill="EAF4F8"/>
          </w:tcPr>
          <w:p>
            <w:r>
              <w:rPr>
                <w:sz w:val="20"/>
              </w:rPr>
              <w:t>Content Processor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Cleans text and extracts strong evidence sentences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Bounded context construction for analysis</w:t>
            </w:r>
          </w:p>
        </w:tc>
      </w:tr>
      <w:tr>
        <w:tc>
          <w:tcPr>
            <w:tcW w:type="dxa" w:w="3312"/>
            <w:vAlign w:val="center"/>
            <w:shd w:fill="EAF4F8"/>
          </w:tcPr>
          <w:p>
            <w:r>
              <w:rPr>
                <w:sz w:val="20"/>
              </w:rPr>
              <w:t>OpenAI Analysis Layer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Produces structured trends output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Validated, schema-based trend generation</w:t>
            </w:r>
          </w:p>
        </w:tc>
      </w:tr>
      <w:tr>
        <w:tc>
          <w:tcPr>
            <w:tcW w:type="dxa" w:w="3312"/>
            <w:vAlign w:val="center"/>
            <w:shd w:fill="EAF4F8"/>
          </w:tcPr>
          <w:p>
            <w:r>
              <w:rPr>
                <w:sz w:val="20"/>
              </w:rPr>
              <w:t>Session and Storage Layer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Maintains session state and persists research assets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>Redis plus Cloudflare R2</w:t>
            </w:r>
          </w:p>
        </w:tc>
      </w:tr>
    </w:tbl>
    <w:p>
      <w:pPr>
        <w:pStyle w:val="Heading1"/>
        <w:spacing w:before="160" w:after="120"/>
      </w:pPr>
      <w:r>
        <w:rPr>
          <w:b/>
          <w:color w:val="0F3D56"/>
          <w:sz w:val="36"/>
        </w:rPr>
        <w:t>5. Alpha Build Positioning</w:t>
      </w:r>
    </w:p>
    <w:p>
      <w:pPr>
        <w:spacing w:after="120" w:line="276" w:lineRule="auto"/>
      </w:pPr>
      <w:r>
        <w:rPr>
          <w:sz w:val="22"/>
        </w:rPr>
        <w:t>For stakeholder discussion, this build should be presented as a production-shaped alpha. The architecture is modular and traceability-focused, but some dependencies and operational controls are still early-stage.</w:t>
      </w:r>
    </w:p>
    <w:p>
      <w:pPr>
        <w:pStyle w:val="ListBullet"/>
        <w:spacing w:after="80" w:line="264" w:lineRule="auto"/>
      </w:pPr>
      <w:r>
        <w:rPr>
          <w:sz w:val="22"/>
        </w:rPr>
        <w:t>Strength: The system is structured as a staged research workflow rather than a one-shot summarizer.</w:t>
      </w:r>
    </w:p>
    <w:p>
      <w:pPr>
        <w:pStyle w:val="ListBullet"/>
        <w:spacing w:after="80" w:line="264" w:lineRule="auto"/>
      </w:pPr>
      <w:r>
        <w:rPr>
          <w:sz w:val="22"/>
        </w:rPr>
        <w:t>Strength: Retrieval, cleaning, analysis, and follow-up decisioning are separated into distinct layers.</w:t>
      </w:r>
    </w:p>
    <w:p>
      <w:pPr>
        <w:pStyle w:val="ListBullet"/>
        <w:spacing w:after="80" w:line="264" w:lineRule="auto"/>
      </w:pPr>
      <w:r>
        <w:rPr>
          <w:sz w:val="22"/>
        </w:rPr>
        <w:t>Strength: Trend outputs are designed to be source-backed and structured for repeatable rendering.</w:t>
      </w:r>
    </w:p>
    <w:p>
      <w:pPr>
        <w:pStyle w:val="ListBullet"/>
        <w:spacing w:after="80" w:line="264" w:lineRule="auto"/>
      </w:pPr>
      <w:r>
        <w:rPr>
          <w:sz w:val="22"/>
        </w:rPr>
        <w:t>Alpha Caveat: Reliability still depends on external services such as OpenAI, search providers, and artifact storage.</w:t>
      </w:r>
    </w:p>
    <w:p>
      <w:pPr>
        <w:pStyle w:val="ListBullet"/>
        <w:spacing w:after="80" w:line="264" w:lineRule="auto"/>
      </w:pPr>
      <w:r>
        <w:rPr>
          <w:sz w:val="22"/>
        </w:rPr>
        <w:t>Alpha Caveat: Fallback behavior exists for several failures, but enterprise-scale hardening is still a future step.</w:t>
      </w:r>
    </w:p>
    <w:p>
      <w:pPr>
        <w:pStyle w:val="ListBullet"/>
        <w:spacing w:after="80" w:line="264" w:lineRule="auto"/>
      </w:pPr>
      <w:r>
        <w:rPr>
          <w:sz w:val="22"/>
        </w:rPr>
        <w:t>Alpha Caveat: The current story is strongest when positioned as an analyst-assist research engine focused on trend discovery.</w:t>
      </w:r>
    </w:p>
    <w:p>
      <w:pPr>
        <w:pStyle w:val="Heading1"/>
        <w:spacing w:before="160" w:after="120"/>
      </w:pPr>
      <w:r>
        <w:rPr>
          <w:b/>
          <w:color w:val="0F3D56"/>
          <w:sz w:val="36"/>
        </w:rPr>
        <w:t>6. Suggested Meeting Talk Track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9FC6D3"/>
          <w:left w:val="single" w:sz="10" w:color="9FC6D3"/>
          <w:bottom w:val="single" w:sz="10" w:color="9FC6D3"/>
          <w:right w:val="single" w:sz="10" w:color="9FC6D3"/>
          <w:insideH w:val="single" w:sz="10" w:color="9FC6D3"/>
          <w:insideV w:val="single" w:sz="10" w:color="9FC6D3"/>
        </w:tblBorders>
      </w:tblPr>
      <w:tblGrid>
        <w:gridCol w:w="9936"/>
      </w:tblGrid>
      <w:tr>
        <w:tc>
          <w:tcPr>
            <w:tcW w:type="dxa" w:w="9936"/>
            <w:shd w:fill="D8EEF5"/>
          </w:tcPr>
          <w:p>
            <w:pPr>
              <w:spacing w:before="200" w:after="200"/>
            </w:pPr>
            <w:r>
              <w:rPr>
                <w:b w:val="0"/>
                <w:i w:val="0"/>
                <w:sz w:val="22"/>
              </w:rPr>
              <w:t>This alpha build supports a Trends-first OSINT workflow. A user submits a topic, the backend generates trend-specific research queries, retrieves and filters sources, captures web and PDF artifacts, cleans the evidence, and then uses structured AI analysis to return source-backed market trends. The value of the system is that it behaves like a bounded research pipeline rather than a generic chat summary layer.</w:t>
            </w:r>
          </w:p>
        </w:tc>
      </w:tr>
    </w:tbl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5F6B73"/>
        <w:sz w:val="18"/>
      </w:rPr>
      <w:t>Alpha Architecture Note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5F6B73"/>
        <w:sz w:val="18"/>
      </w:rPr>
      <w:t>OSINT Tool Alpha Build | Trends Technical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