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F78" w:rsidRPr="00392F78" w:rsidRDefault="00392F78">
      <w:pPr>
        <w:rPr>
          <w:rFonts w:ascii="Times New Roman" w:hAnsi="Times New Roman" w:cs="Times New Roman"/>
          <w:sz w:val="24"/>
          <w:szCs w:val="24"/>
        </w:rPr>
      </w:pPr>
    </w:p>
    <w:p w:rsidR="00392F78" w:rsidRPr="00392F78" w:rsidRDefault="00392F78" w:rsidP="00392F78">
      <w:pPr>
        <w:rPr>
          <w:rFonts w:ascii="Times New Roman" w:hAnsi="Times New Roman" w:cs="Times New Roman"/>
          <w:sz w:val="24"/>
          <w:szCs w:val="24"/>
        </w:rPr>
      </w:pPr>
    </w:p>
    <w:p w:rsidR="00392F78" w:rsidRPr="00392F78" w:rsidRDefault="00392F78" w:rsidP="00392F78">
      <w:pPr>
        <w:jc w:val="center"/>
        <w:rPr>
          <w:rFonts w:ascii="Times New Roman" w:hAnsi="Times New Roman" w:cs="Times New Roman"/>
          <w:b/>
          <w:bCs/>
          <w:sz w:val="32"/>
          <w:szCs w:val="24"/>
        </w:rPr>
      </w:pPr>
      <w:bookmarkStart w:id="0" w:name="_GoBack"/>
      <w:r w:rsidRPr="00392F78">
        <w:rPr>
          <w:rFonts w:ascii="Times New Roman" w:hAnsi="Times New Roman" w:cs="Times New Roman"/>
          <w:b/>
          <w:bCs/>
          <w:sz w:val="32"/>
          <w:szCs w:val="24"/>
        </w:rPr>
        <w:t>Predictive Modeling of Annual Customer Spending: Comprehensive Project Report</w:t>
      </w:r>
    </w:p>
    <w:bookmarkEnd w:id="0"/>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Prepared by:</w:t>
      </w:r>
      <w:r w:rsidRPr="00392F78">
        <w:rPr>
          <w:rFonts w:ascii="Times New Roman" w:hAnsi="Times New Roman" w:cs="Times New Roman"/>
          <w:sz w:val="24"/>
          <w:szCs w:val="24"/>
        </w:rPr>
        <w:t xml:space="preserve"> KIBIDI</w:t>
      </w:r>
      <w:r>
        <w:rPr>
          <w:rFonts w:ascii="Times New Roman" w:hAnsi="Times New Roman" w:cs="Times New Roman"/>
          <w:sz w:val="24"/>
          <w:szCs w:val="24"/>
        </w:rPr>
        <w:t xml:space="preserve"> LERENCER   CDAM/0047/2026</w:t>
      </w:r>
      <w:r w:rsidRPr="00392F78">
        <w:rPr>
          <w:rFonts w:ascii="Times New Roman" w:hAnsi="Times New Roman" w:cs="Times New Roman"/>
          <w:sz w:val="24"/>
          <w:szCs w:val="24"/>
        </w:rPr>
        <w:br/>
      </w:r>
      <w:r w:rsidRPr="00392F78">
        <w:rPr>
          <w:rFonts w:ascii="Times New Roman" w:hAnsi="Times New Roman" w:cs="Times New Roman"/>
          <w:b/>
          <w:bCs/>
          <w:sz w:val="24"/>
          <w:szCs w:val="24"/>
        </w:rPr>
        <w:t>Date:</w:t>
      </w:r>
      <w:r w:rsidRPr="00392F78">
        <w:rPr>
          <w:rFonts w:ascii="Times New Roman" w:hAnsi="Times New Roman" w:cs="Times New Roman"/>
          <w:sz w:val="24"/>
          <w:szCs w:val="24"/>
        </w:rPr>
        <w:t xml:space="preserve"> March 2026</w:t>
      </w:r>
      <w:r w:rsidRPr="00392F78">
        <w:rPr>
          <w:rFonts w:ascii="Times New Roman" w:hAnsi="Times New Roman" w:cs="Times New Roman"/>
          <w:sz w:val="24"/>
          <w:szCs w:val="24"/>
        </w:rPr>
        <w:br/>
      </w:r>
      <w:r w:rsidRPr="00392F78">
        <w:rPr>
          <w:rFonts w:ascii="Times New Roman" w:hAnsi="Times New Roman" w:cs="Times New Roman"/>
          <w:b/>
          <w:bCs/>
          <w:sz w:val="24"/>
          <w:szCs w:val="24"/>
        </w:rPr>
        <w:t>Dataset:</w:t>
      </w:r>
      <w:r w:rsidRPr="00392F78">
        <w:rPr>
          <w:rFonts w:ascii="Times New Roman" w:hAnsi="Times New Roman" w:cs="Times New Roman"/>
          <w:sz w:val="24"/>
          <w:szCs w:val="24"/>
        </w:rPr>
        <w:t xml:space="preserve"> customerData.csv (n = 10,000 observations)</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pict>
          <v:rect id="_x0000_i1025" style="width:0;height:1.5pt" o:hralign="center" o:hrstd="t" o:hr="t" fillcolor="#a0a0a0" stroked="f"/>
        </w:pic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Executive Summary</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This report presents a comprehensive analysis of factors influencing annual customer spending using a dataset of 10,000 customer records. The primary objective was to identify significant predictors of spending behavior, assess relationships between demographic/behavioral variables, and develop a parsimonious predictive model to inform business strategy.</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Key Findings:</w:t>
      </w:r>
    </w:p>
    <w:p w:rsidR="00392F78" w:rsidRPr="00392F78" w:rsidRDefault="00392F78" w:rsidP="00392F78">
      <w:pPr>
        <w:numPr>
          <w:ilvl w:val="0"/>
          <w:numId w:val="1"/>
        </w:numPr>
        <w:rPr>
          <w:rFonts w:ascii="Times New Roman" w:hAnsi="Times New Roman" w:cs="Times New Roman"/>
          <w:sz w:val="24"/>
          <w:szCs w:val="24"/>
        </w:rPr>
      </w:pPr>
      <w:r w:rsidRPr="00392F78">
        <w:rPr>
          <w:rFonts w:ascii="Times New Roman" w:hAnsi="Times New Roman" w:cs="Times New Roman"/>
          <w:b/>
          <w:bCs/>
          <w:sz w:val="24"/>
          <w:szCs w:val="24"/>
        </w:rPr>
        <w:t>Annual income is the dominant predictor</w:t>
      </w:r>
      <w:r w:rsidRPr="00392F78">
        <w:rPr>
          <w:rFonts w:ascii="Times New Roman" w:hAnsi="Times New Roman" w:cs="Times New Roman"/>
          <w:sz w:val="24"/>
          <w:szCs w:val="24"/>
        </w:rPr>
        <w:t>, explaining approximately 70% of the variation in annual spending. For every additional dollar of income, customers spend an average of $0.34.</w:t>
      </w:r>
    </w:p>
    <w:p w:rsidR="00392F78" w:rsidRPr="00392F78" w:rsidRDefault="00392F78" w:rsidP="00392F78">
      <w:pPr>
        <w:numPr>
          <w:ilvl w:val="0"/>
          <w:numId w:val="1"/>
        </w:numPr>
        <w:rPr>
          <w:rFonts w:ascii="Times New Roman" w:hAnsi="Times New Roman" w:cs="Times New Roman"/>
          <w:sz w:val="24"/>
          <w:szCs w:val="24"/>
        </w:rPr>
      </w:pPr>
      <w:r w:rsidRPr="00392F78">
        <w:rPr>
          <w:rFonts w:ascii="Times New Roman" w:hAnsi="Times New Roman" w:cs="Times New Roman"/>
          <w:b/>
          <w:bCs/>
          <w:sz w:val="24"/>
          <w:szCs w:val="24"/>
        </w:rPr>
        <w:t>LASSO regression selected only two variables</w:t>
      </w:r>
      <w:r w:rsidRPr="00392F78">
        <w:rPr>
          <w:rFonts w:ascii="Times New Roman" w:hAnsi="Times New Roman" w:cs="Times New Roman"/>
          <w:sz w:val="24"/>
          <w:szCs w:val="24"/>
        </w:rPr>
        <w:t xml:space="preserve"> (annual income and online shopper status) from an initial pool of eight candidates, confirming that customer spending is primarily income-driven.</w:t>
      </w:r>
    </w:p>
    <w:p w:rsidR="00392F78" w:rsidRPr="00392F78" w:rsidRDefault="00392F78" w:rsidP="00392F78">
      <w:pPr>
        <w:numPr>
          <w:ilvl w:val="0"/>
          <w:numId w:val="1"/>
        </w:numPr>
        <w:rPr>
          <w:rFonts w:ascii="Times New Roman" w:hAnsi="Times New Roman" w:cs="Times New Roman"/>
          <w:sz w:val="24"/>
          <w:szCs w:val="24"/>
        </w:rPr>
      </w:pPr>
      <w:r w:rsidRPr="00392F78">
        <w:rPr>
          <w:rFonts w:ascii="Times New Roman" w:hAnsi="Times New Roman" w:cs="Times New Roman"/>
          <w:b/>
          <w:bCs/>
          <w:sz w:val="24"/>
          <w:szCs w:val="24"/>
        </w:rPr>
        <w:t>Churned customers spend significantly less</w:t>
      </w:r>
      <w:r w:rsidRPr="00392F78">
        <w:rPr>
          <w:rFonts w:ascii="Times New Roman" w:hAnsi="Times New Roman" w:cs="Times New Roman"/>
          <w:sz w:val="24"/>
          <w:szCs w:val="24"/>
        </w:rPr>
        <w:t xml:space="preserve"> (~$1,471 annually) than retained customers, representing a substantial revenue retention opportunity.</w:t>
      </w:r>
    </w:p>
    <w:p w:rsidR="00392F78" w:rsidRPr="00392F78" w:rsidRDefault="00392F78" w:rsidP="00392F78">
      <w:pPr>
        <w:numPr>
          <w:ilvl w:val="0"/>
          <w:numId w:val="1"/>
        </w:numPr>
        <w:rPr>
          <w:rFonts w:ascii="Times New Roman" w:hAnsi="Times New Roman" w:cs="Times New Roman"/>
          <w:sz w:val="24"/>
          <w:szCs w:val="24"/>
        </w:rPr>
      </w:pPr>
      <w:r w:rsidRPr="00392F78">
        <w:rPr>
          <w:rFonts w:ascii="Times New Roman" w:hAnsi="Times New Roman" w:cs="Times New Roman"/>
          <w:b/>
          <w:bCs/>
          <w:sz w:val="24"/>
          <w:szCs w:val="24"/>
        </w:rPr>
        <w:t>Unemployed customers are significantly more likely to churn</w:t>
      </w:r>
      <w:r w:rsidRPr="00392F78">
        <w:rPr>
          <w:rFonts w:ascii="Times New Roman" w:hAnsi="Times New Roman" w:cs="Times New Roman"/>
          <w:sz w:val="24"/>
          <w:szCs w:val="24"/>
        </w:rPr>
        <w:t>, suggesting employment status is a valuable early-warning indicator for retention efforts.</w:t>
      </w:r>
    </w:p>
    <w:p w:rsidR="00392F78" w:rsidRPr="00392F78" w:rsidRDefault="00392F78" w:rsidP="00392F78">
      <w:pPr>
        <w:numPr>
          <w:ilvl w:val="0"/>
          <w:numId w:val="1"/>
        </w:numPr>
        <w:rPr>
          <w:rFonts w:ascii="Times New Roman" w:hAnsi="Times New Roman" w:cs="Times New Roman"/>
          <w:sz w:val="24"/>
          <w:szCs w:val="24"/>
        </w:rPr>
      </w:pPr>
      <w:r w:rsidRPr="00392F78">
        <w:rPr>
          <w:rFonts w:ascii="Times New Roman" w:hAnsi="Times New Roman" w:cs="Times New Roman"/>
          <w:b/>
          <w:bCs/>
          <w:sz w:val="24"/>
          <w:szCs w:val="24"/>
        </w:rPr>
        <w:t>Region, gender, marital status, and number of children show no statistically significant relationship</w:t>
      </w:r>
      <w:r w:rsidRPr="00392F78">
        <w:rPr>
          <w:rFonts w:ascii="Times New Roman" w:hAnsi="Times New Roman" w:cs="Times New Roman"/>
          <w:sz w:val="24"/>
          <w:szCs w:val="24"/>
        </w:rPr>
        <w:t xml:space="preserve"> with annual spending, indicating these factors should not drive segmentation or targeting strategies.</w:t>
      </w:r>
    </w:p>
    <w:p w:rsidR="00392F78" w:rsidRPr="00392F78" w:rsidRDefault="00392F78" w:rsidP="00392F78">
      <w:pPr>
        <w:numPr>
          <w:ilvl w:val="0"/>
          <w:numId w:val="1"/>
        </w:numPr>
        <w:rPr>
          <w:rFonts w:ascii="Times New Roman" w:hAnsi="Times New Roman" w:cs="Times New Roman"/>
          <w:sz w:val="24"/>
          <w:szCs w:val="24"/>
        </w:rPr>
      </w:pPr>
      <w:r w:rsidRPr="00392F78">
        <w:rPr>
          <w:rFonts w:ascii="Times New Roman" w:hAnsi="Times New Roman" w:cs="Times New Roman"/>
          <w:b/>
          <w:bCs/>
          <w:sz w:val="24"/>
          <w:szCs w:val="24"/>
        </w:rPr>
        <w:t>Education level strongly influences credit score</w:t>
      </w:r>
      <w:r w:rsidRPr="00392F78">
        <w:rPr>
          <w:rFonts w:ascii="Times New Roman" w:hAnsi="Times New Roman" w:cs="Times New Roman"/>
          <w:sz w:val="24"/>
          <w:szCs w:val="24"/>
        </w:rPr>
        <w:t xml:space="preserve"> but has minimal direct impact on spending, suggesting separate models may be needed for risk assessment versus spending prediction.</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Business Implications:</w:t>
      </w:r>
      <w:r w:rsidRPr="00392F78">
        <w:rPr>
          <w:rFonts w:ascii="Times New Roman" w:hAnsi="Times New Roman" w:cs="Times New Roman"/>
          <w:sz w:val="24"/>
          <w:szCs w:val="24"/>
        </w:rPr>
        <w:t xml:space="preserve"> Marketing and retention strategies should prioritize income-based segmentation, digital experience enhancement for online shoppers, and proactive engagement with unemployed customers. Resources should not be allocated to gender-based or region-based differentiation, as these factors do not meaningfully influence spending behavior.</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lastRenderedPageBreak/>
        <w:pict>
          <v:rect id="_x0000_i1026" style="width:0;height:1.5pt" o:hralign="center" o:hrstd="t" o:hr="t" fillcolor="#a0a0a0" stroked="f"/>
        </w:pic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1. Project Objectives &amp; Scope</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1.1 Primary Objectives</w:t>
      </w:r>
    </w:p>
    <w:p w:rsidR="00392F78" w:rsidRPr="00392F78" w:rsidRDefault="00392F78" w:rsidP="00392F78">
      <w:pPr>
        <w:numPr>
          <w:ilvl w:val="0"/>
          <w:numId w:val="2"/>
        </w:numPr>
        <w:rPr>
          <w:rFonts w:ascii="Times New Roman" w:hAnsi="Times New Roman" w:cs="Times New Roman"/>
          <w:sz w:val="24"/>
          <w:szCs w:val="24"/>
        </w:rPr>
      </w:pPr>
      <w:r w:rsidRPr="00392F78">
        <w:rPr>
          <w:rFonts w:ascii="Times New Roman" w:hAnsi="Times New Roman" w:cs="Times New Roman"/>
          <w:sz w:val="24"/>
          <w:szCs w:val="24"/>
        </w:rPr>
        <w:t>Identify statistically significant predictors of annual customer spending</w:t>
      </w:r>
    </w:p>
    <w:p w:rsidR="00392F78" w:rsidRPr="00392F78" w:rsidRDefault="00392F78" w:rsidP="00392F78">
      <w:pPr>
        <w:numPr>
          <w:ilvl w:val="0"/>
          <w:numId w:val="2"/>
        </w:numPr>
        <w:rPr>
          <w:rFonts w:ascii="Times New Roman" w:hAnsi="Times New Roman" w:cs="Times New Roman"/>
          <w:sz w:val="24"/>
          <w:szCs w:val="24"/>
        </w:rPr>
      </w:pPr>
      <w:r w:rsidRPr="00392F78">
        <w:rPr>
          <w:rFonts w:ascii="Times New Roman" w:hAnsi="Times New Roman" w:cs="Times New Roman"/>
          <w:sz w:val="24"/>
          <w:szCs w:val="24"/>
        </w:rPr>
        <w:t>Quantify the strength and direction of relationships between customer attributes and spending behavior</w:t>
      </w:r>
    </w:p>
    <w:p w:rsidR="00392F78" w:rsidRPr="00392F78" w:rsidRDefault="00392F78" w:rsidP="00392F78">
      <w:pPr>
        <w:numPr>
          <w:ilvl w:val="0"/>
          <w:numId w:val="2"/>
        </w:numPr>
        <w:rPr>
          <w:rFonts w:ascii="Times New Roman" w:hAnsi="Times New Roman" w:cs="Times New Roman"/>
          <w:sz w:val="24"/>
          <w:szCs w:val="24"/>
        </w:rPr>
      </w:pPr>
      <w:r w:rsidRPr="00392F78">
        <w:rPr>
          <w:rFonts w:ascii="Times New Roman" w:hAnsi="Times New Roman" w:cs="Times New Roman"/>
          <w:sz w:val="24"/>
          <w:szCs w:val="24"/>
        </w:rPr>
        <w:t>Develop and compare predictive models (simple regression, multiple regression, LASSO)</w:t>
      </w:r>
    </w:p>
    <w:p w:rsidR="00392F78" w:rsidRPr="00392F78" w:rsidRDefault="00392F78" w:rsidP="00392F78">
      <w:pPr>
        <w:numPr>
          <w:ilvl w:val="0"/>
          <w:numId w:val="2"/>
        </w:numPr>
        <w:rPr>
          <w:rFonts w:ascii="Times New Roman" w:hAnsi="Times New Roman" w:cs="Times New Roman"/>
          <w:sz w:val="24"/>
          <w:szCs w:val="24"/>
        </w:rPr>
      </w:pPr>
      <w:r w:rsidRPr="00392F78">
        <w:rPr>
          <w:rFonts w:ascii="Times New Roman" w:hAnsi="Times New Roman" w:cs="Times New Roman"/>
          <w:sz w:val="24"/>
          <w:szCs w:val="24"/>
        </w:rPr>
        <w:t>Assess multicollinearity and model assumptions to ensure analytical validity</w:t>
      </w:r>
    </w:p>
    <w:p w:rsidR="00392F78" w:rsidRPr="00392F78" w:rsidRDefault="00392F78" w:rsidP="00392F78">
      <w:pPr>
        <w:numPr>
          <w:ilvl w:val="0"/>
          <w:numId w:val="2"/>
        </w:numPr>
        <w:rPr>
          <w:rFonts w:ascii="Times New Roman" w:hAnsi="Times New Roman" w:cs="Times New Roman"/>
          <w:sz w:val="24"/>
          <w:szCs w:val="24"/>
        </w:rPr>
      </w:pPr>
      <w:r w:rsidRPr="00392F78">
        <w:rPr>
          <w:rFonts w:ascii="Times New Roman" w:hAnsi="Times New Roman" w:cs="Times New Roman"/>
          <w:sz w:val="24"/>
          <w:szCs w:val="24"/>
        </w:rPr>
        <w:t>Translate statistical findings into actionable business recommendations</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1.2 Analytical Scope</w:t>
      </w:r>
    </w:p>
    <w:p w:rsidR="00392F78" w:rsidRPr="00392F78" w:rsidRDefault="00392F78" w:rsidP="00392F78">
      <w:pPr>
        <w:numPr>
          <w:ilvl w:val="0"/>
          <w:numId w:val="3"/>
        </w:numPr>
        <w:rPr>
          <w:rFonts w:ascii="Times New Roman" w:hAnsi="Times New Roman" w:cs="Times New Roman"/>
          <w:sz w:val="24"/>
          <w:szCs w:val="24"/>
        </w:rPr>
      </w:pPr>
      <w:r w:rsidRPr="00392F78">
        <w:rPr>
          <w:rFonts w:ascii="Times New Roman" w:hAnsi="Times New Roman" w:cs="Times New Roman"/>
          <w:b/>
          <w:bCs/>
          <w:sz w:val="24"/>
          <w:szCs w:val="24"/>
        </w:rPr>
        <w:t>Target Variable:</w:t>
      </w:r>
      <w:r w:rsidRPr="00392F78">
        <w:rPr>
          <w:rFonts w:ascii="Times New Roman" w:hAnsi="Times New Roman" w:cs="Times New Roman"/>
          <w:sz w:val="24"/>
          <w:szCs w:val="24"/>
        </w:rPr>
        <w:t xml:space="preserve"> Annual spending (continuous, USD)</w:t>
      </w:r>
    </w:p>
    <w:p w:rsidR="00392F78" w:rsidRPr="00392F78" w:rsidRDefault="00392F78" w:rsidP="00392F78">
      <w:pPr>
        <w:numPr>
          <w:ilvl w:val="0"/>
          <w:numId w:val="3"/>
        </w:numPr>
        <w:rPr>
          <w:rFonts w:ascii="Times New Roman" w:hAnsi="Times New Roman" w:cs="Times New Roman"/>
          <w:sz w:val="24"/>
          <w:szCs w:val="24"/>
        </w:rPr>
      </w:pPr>
      <w:r w:rsidRPr="00392F78">
        <w:rPr>
          <w:rFonts w:ascii="Times New Roman" w:hAnsi="Times New Roman" w:cs="Times New Roman"/>
          <w:b/>
          <w:bCs/>
          <w:sz w:val="24"/>
          <w:szCs w:val="24"/>
        </w:rPr>
        <w:t>Candidate Predictors:</w:t>
      </w:r>
      <w:r w:rsidRPr="00392F78">
        <w:rPr>
          <w:rFonts w:ascii="Times New Roman" w:hAnsi="Times New Roman" w:cs="Times New Roman"/>
          <w:sz w:val="24"/>
          <w:szCs w:val="24"/>
        </w:rPr>
        <w:t xml:space="preserve"> Annual income, credit score, loyalty years, age, region, employment status, education level, marital status, number of children, payment type, online shopper status, churn status</w:t>
      </w:r>
    </w:p>
    <w:p w:rsidR="00392F78" w:rsidRPr="00392F78" w:rsidRDefault="00392F78" w:rsidP="00392F78">
      <w:pPr>
        <w:numPr>
          <w:ilvl w:val="0"/>
          <w:numId w:val="3"/>
        </w:numPr>
        <w:rPr>
          <w:rFonts w:ascii="Times New Roman" w:hAnsi="Times New Roman" w:cs="Times New Roman"/>
          <w:sz w:val="24"/>
          <w:szCs w:val="24"/>
        </w:rPr>
      </w:pPr>
      <w:r w:rsidRPr="00392F78">
        <w:rPr>
          <w:rFonts w:ascii="Times New Roman" w:hAnsi="Times New Roman" w:cs="Times New Roman"/>
          <w:b/>
          <w:bCs/>
          <w:sz w:val="24"/>
          <w:szCs w:val="24"/>
        </w:rPr>
        <w:t>Analytical Methods:</w:t>
      </w:r>
      <w:r w:rsidRPr="00392F78">
        <w:rPr>
          <w:rFonts w:ascii="Times New Roman" w:hAnsi="Times New Roman" w:cs="Times New Roman"/>
          <w:sz w:val="24"/>
          <w:szCs w:val="24"/>
        </w:rPr>
        <w:t xml:space="preserve"> Descriptive statistics, exploratory data analysis, parametric and non-parametric hypothesis testing, linear regression, regularization (LASSO), multicollinearity diagnostics (VIF)</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1.3 Data Quality Summary</w:t>
      </w:r>
    </w:p>
    <w:p w:rsidR="00392F78" w:rsidRPr="00392F78" w:rsidRDefault="00392F78" w:rsidP="00392F78">
      <w:pPr>
        <w:numPr>
          <w:ilvl w:val="0"/>
          <w:numId w:val="4"/>
        </w:numPr>
        <w:rPr>
          <w:rFonts w:ascii="Times New Roman" w:hAnsi="Times New Roman" w:cs="Times New Roman"/>
          <w:sz w:val="24"/>
          <w:szCs w:val="24"/>
        </w:rPr>
      </w:pPr>
      <w:r w:rsidRPr="00392F78">
        <w:rPr>
          <w:rFonts w:ascii="Times New Roman" w:hAnsi="Times New Roman" w:cs="Times New Roman"/>
          <w:b/>
          <w:bCs/>
          <w:sz w:val="24"/>
          <w:szCs w:val="24"/>
        </w:rPr>
        <w:t>Sample Size:</w:t>
      </w:r>
      <w:r w:rsidRPr="00392F78">
        <w:rPr>
          <w:rFonts w:ascii="Times New Roman" w:hAnsi="Times New Roman" w:cs="Times New Roman"/>
          <w:sz w:val="24"/>
          <w:szCs w:val="24"/>
        </w:rPr>
        <w:t xml:space="preserve"> 10,000 complete customer records</w:t>
      </w:r>
    </w:p>
    <w:p w:rsidR="00392F78" w:rsidRPr="00392F78" w:rsidRDefault="00392F78" w:rsidP="00392F78">
      <w:pPr>
        <w:numPr>
          <w:ilvl w:val="0"/>
          <w:numId w:val="4"/>
        </w:numPr>
        <w:rPr>
          <w:rFonts w:ascii="Times New Roman" w:hAnsi="Times New Roman" w:cs="Times New Roman"/>
          <w:sz w:val="24"/>
          <w:szCs w:val="24"/>
        </w:rPr>
      </w:pPr>
      <w:r w:rsidRPr="00392F78">
        <w:rPr>
          <w:rFonts w:ascii="Times New Roman" w:hAnsi="Times New Roman" w:cs="Times New Roman"/>
          <w:b/>
          <w:bCs/>
          <w:sz w:val="24"/>
          <w:szCs w:val="24"/>
        </w:rPr>
        <w:t>Missing Values:</w:t>
      </w:r>
      <w:r w:rsidRPr="00392F78">
        <w:rPr>
          <w:rFonts w:ascii="Times New Roman" w:hAnsi="Times New Roman" w:cs="Times New Roman"/>
          <w:sz w:val="24"/>
          <w:szCs w:val="24"/>
        </w:rPr>
        <w:t xml:space="preserve"> None detected across all variables</w:t>
      </w:r>
    </w:p>
    <w:p w:rsidR="00392F78" w:rsidRPr="00392F78" w:rsidRDefault="00392F78" w:rsidP="00392F78">
      <w:pPr>
        <w:numPr>
          <w:ilvl w:val="0"/>
          <w:numId w:val="4"/>
        </w:numPr>
        <w:rPr>
          <w:rFonts w:ascii="Times New Roman" w:hAnsi="Times New Roman" w:cs="Times New Roman"/>
          <w:sz w:val="24"/>
          <w:szCs w:val="24"/>
        </w:rPr>
      </w:pPr>
      <w:r w:rsidRPr="00392F78">
        <w:rPr>
          <w:rFonts w:ascii="Times New Roman" w:hAnsi="Times New Roman" w:cs="Times New Roman"/>
          <w:b/>
          <w:bCs/>
          <w:sz w:val="24"/>
          <w:szCs w:val="24"/>
        </w:rPr>
        <w:t>Duplicate Records:</w:t>
      </w:r>
      <w:r w:rsidRPr="00392F78">
        <w:rPr>
          <w:rFonts w:ascii="Times New Roman" w:hAnsi="Times New Roman" w:cs="Times New Roman"/>
          <w:sz w:val="24"/>
          <w:szCs w:val="24"/>
        </w:rPr>
        <w:t xml:space="preserve"> None identified</w:t>
      </w:r>
    </w:p>
    <w:p w:rsidR="00392F78" w:rsidRPr="00392F78" w:rsidRDefault="00392F78" w:rsidP="00392F78">
      <w:pPr>
        <w:numPr>
          <w:ilvl w:val="0"/>
          <w:numId w:val="4"/>
        </w:numPr>
        <w:rPr>
          <w:rFonts w:ascii="Times New Roman" w:hAnsi="Times New Roman" w:cs="Times New Roman"/>
          <w:sz w:val="24"/>
          <w:szCs w:val="24"/>
        </w:rPr>
      </w:pPr>
      <w:r w:rsidRPr="00392F78">
        <w:rPr>
          <w:rFonts w:ascii="Times New Roman" w:hAnsi="Times New Roman" w:cs="Times New Roman"/>
          <w:b/>
          <w:bCs/>
          <w:sz w:val="24"/>
          <w:szCs w:val="24"/>
        </w:rPr>
        <w:t>Data Cleaning Applied:</w:t>
      </w:r>
      <w:r w:rsidRPr="00392F78">
        <w:rPr>
          <w:rFonts w:ascii="Times New Roman" w:hAnsi="Times New Roman" w:cs="Times New Roman"/>
          <w:sz w:val="24"/>
          <w:szCs w:val="24"/>
        </w:rPr>
        <w:t xml:space="preserve"> Outlier treatment using IQR method for annual spending and credit score; standardization of categorical variable formatting; creation of derived features (spending-to-income ratio, financial stability score, customer tenure groups)</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pict>
          <v:rect id="_x0000_i1027" style="width:0;height:1.5pt" o:hralign="center" o:hrstd="t" o:hr="t" fillcolor="#a0a0a0" stroked="f"/>
        </w:pic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2. Methodology Overview</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2.1 Data Preparation &amp; Feature Engineering</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The analysis began with a comprehensive data audit to assess structure, completeness, and consistency. Key preprocessing steps included:</w:t>
      </w:r>
    </w:p>
    <w:p w:rsidR="00392F78" w:rsidRPr="00392F78" w:rsidRDefault="00392F78" w:rsidP="00392F78">
      <w:pPr>
        <w:numPr>
          <w:ilvl w:val="0"/>
          <w:numId w:val="5"/>
        </w:numPr>
        <w:rPr>
          <w:rFonts w:ascii="Times New Roman" w:hAnsi="Times New Roman" w:cs="Times New Roman"/>
          <w:sz w:val="24"/>
          <w:szCs w:val="24"/>
        </w:rPr>
      </w:pPr>
      <w:r w:rsidRPr="00392F78">
        <w:rPr>
          <w:rFonts w:ascii="Times New Roman" w:hAnsi="Times New Roman" w:cs="Times New Roman"/>
          <w:sz w:val="24"/>
          <w:szCs w:val="24"/>
        </w:rPr>
        <w:t>Standardization of categorical variables (case normalization, whitespace trimming)</w:t>
      </w:r>
    </w:p>
    <w:p w:rsidR="00392F78" w:rsidRPr="00392F78" w:rsidRDefault="00392F78" w:rsidP="00392F78">
      <w:pPr>
        <w:numPr>
          <w:ilvl w:val="0"/>
          <w:numId w:val="5"/>
        </w:numPr>
        <w:rPr>
          <w:rFonts w:ascii="Times New Roman" w:hAnsi="Times New Roman" w:cs="Times New Roman"/>
          <w:sz w:val="24"/>
          <w:szCs w:val="24"/>
        </w:rPr>
      </w:pPr>
      <w:r w:rsidRPr="00392F78">
        <w:rPr>
          <w:rFonts w:ascii="Times New Roman" w:hAnsi="Times New Roman" w:cs="Times New Roman"/>
          <w:sz w:val="24"/>
          <w:szCs w:val="24"/>
        </w:rPr>
        <w:t>Outlier treatment using the interquartile range (IQR) method for continuous variables</w:t>
      </w:r>
    </w:p>
    <w:p w:rsidR="00392F78" w:rsidRPr="00392F78" w:rsidRDefault="00392F78" w:rsidP="00392F78">
      <w:pPr>
        <w:numPr>
          <w:ilvl w:val="0"/>
          <w:numId w:val="5"/>
        </w:numPr>
        <w:rPr>
          <w:rFonts w:ascii="Times New Roman" w:hAnsi="Times New Roman" w:cs="Times New Roman"/>
          <w:sz w:val="24"/>
          <w:szCs w:val="24"/>
        </w:rPr>
      </w:pPr>
      <w:r w:rsidRPr="00392F78">
        <w:rPr>
          <w:rFonts w:ascii="Times New Roman" w:hAnsi="Times New Roman" w:cs="Times New Roman"/>
          <w:sz w:val="24"/>
          <w:szCs w:val="24"/>
        </w:rPr>
        <w:lastRenderedPageBreak/>
        <w:t>Creation of business-relevant derived features:</w:t>
      </w:r>
    </w:p>
    <w:p w:rsidR="00392F78" w:rsidRPr="00392F78" w:rsidRDefault="00392F78" w:rsidP="00392F78">
      <w:pPr>
        <w:numPr>
          <w:ilvl w:val="1"/>
          <w:numId w:val="5"/>
        </w:numPr>
        <w:rPr>
          <w:rFonts w:ascii="Times New Roman" w:hAnsi="Times New Roman" w:cs="Times New Roman"/>
          <w:sz w:val="24"/>
          <w:szCs w:val="24"/>
        </w:rPr>
      </w:pPr>
      <w:r w:rsidRPr="00392F78">
        <w:rPr>
          <w:rFonts w:ascii="Times New Roman" w:hAnsi="Times New Roman" w:cs="Times New Roman"/>
          <w:i/>
          <w:iCs/>
          <w:sz w:val="24"/>
          <w:szCs w:val="24"/>
        </w:rPr>
        <w:t>Spending-to-income ratio</w:t>
      </w:r>
      <w:r w:rsidRPr="00392F78">
        <w:rPr>
          <w:rFonts w:ascii="Times New Roman" w:hAnsi="Times New Roman" w:cs="Times New Roman"/>
          <w:sz w:val="24"/>
          <w:szCs w:val="24"/>
        </w:rPr>
        <w:t>: Measures proportion of income allocated to spending</w:t>
      </w:r>
    </w:p>
    <w:p w:rsidR="00392F78" w:rsidRPr="00392F78" w:rsidRDefault="00392F78" w:rsidP="00392F78">
      <w:pPr>
        <w:numPr>
          <w:ilvl w:val="1"/>
          <w:numId w:val="5"/>
        </w:numPr>
        <w:rPr>
          <w:rFonts w:ascii="Times New Roman" w:hAnsi="Times New Roman" w:cs="Times New Roman"/>
          <w:sz w:val="24"/>
          <w:szCs w:val="24"/>
        </w:rPr>
      </w:pPr>
      <w:r w:rsidRPr="00392F78">
        <w:rPr>
          <w:rFonts w:ascii="Times New Roman" w:hAnsi="Times New Roman" w:cs="Times New Roman"/>
          <w:i/>
          <w:iCs/>
          <w:sz w:val="24"/>
          <w:szCs w:val="24"/>
        </w:rPr>
        <w:t>Financial stability score</w:t>
      </w:r>
      <w:r w:rsidRPr="00392F78">
        <w:rPr>
          <w:rFonts w:ascii="Times New Roman" w:hAnsi="Times New Roman" w:cs="Times New Roman"/>
          <w:sz w:val="24"/>
          <w:szCs w:val="24"/>
        </w:rPr>
        <w:t>: Composite metric incorporating income, credit score, and spending behavior</w:t>
      </w:r>
    </w:p>
    <w:p w:rsidR="00392F78" w:rsidRPr="00392F78" w:rsidRDefault="00392F78" w:rsidP="00392F78">
      <w:pPr>
        <w:numPr>
          <w:ilvl w:val="1"/>
          <w:numId w:val="5"/>
        </w:numPr>
        <w:rPr>
          <w:rFonts w:ascii="Times New Roman" w:hAnsi="Times New Roman" w:cs="Times New Roman"/>
          <w:sz w:val="24"/>
          <w:szCs w:val="24"/>
        </w:rPr>
      </w:pPr>
      <w:r w:rsidRPr="00392F78">
        <w:rPr>
          <w:rFonts w:ascii="Times New Roman" w:hAnsi="Times New Roman" w:cs="Times New Roman"/>
          <w:i/>
          <w:iCs/>
          <w:sz w:val="24"/>
          <w:szCs w:val="24"/>
        </w:rPr>
        <w:t>Customer tenure groups</w:t>
      </w:r>
      <w:r w:rsidRPr="00392F78">
        <w:rPr>
          <w:rFonts w:ascii="Times New Roman" w:hAnsi="Times New Roman" w:cs="Times New Roman"/>
          <w:sz w:val="24"/>
          <w:szCs w:val="24"/>
        </w:rPr>
        <w:t>: Categorized loyalty years into New (&lt;5), Mid-term (5-14), and Long-term (15+) segments</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2.2 Exploratory Data Analysis (EDA)</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Univariate analysis characterized distributions of key variables, revealing:</w:t>
      </w:r>
    </w:p>
    <w:p w:rsidR="00392F78" w:rsidRPr="00392F78" w:rsidRDefault="00392F78" w:rsidP="00392F78">
      <w:pPr>
        <w:numPr>
          <w:ilvl w:val="0"/>
          <w:numId w:val="6"/>
        </w:numPr>
        <w:rPr>
          <w:rFonts w:ascii="Times New Roman" w:hAnsi="Times New Roman" w:cs="Times New Roman"/>
          <w:sz w:val="24"/>
          <w:szCs w:val="24"/>
        </w:rPr>
      </w:pPr>
      <w:r w:rsidRPr="00392F78">
        <w:rPr>
          <w:rFonts w:ascii="Times New Roman" w:hAnsi="Times New Roman" w:cs="Times New Roman"/>
          <w:sz w:val="24"/>
          <w:szCs w:val="24"/>
        </w:rPr>
        <w:t>Annual spending is right-skewed, with most customers spending between $10,000–$20,000</w:t>
      </w:r>
    </w:p>
    <w:p w:rsidR="00392F78" w:rsidRPr="00392F78" w:rsidRDefault="00392F78" w:rsidP="00392F78">
      <w:pPr>
        <w:numPr>
          <w:ilvl w:val="0"/>
          <w:numId w:val="6"/>
        </w:numPr>
        <w:rPr>
          <w:rFonts w:ascii="Times New Roman" w:hAnsi="Times New Roman" w:cs="Times New Roman"/>
          <w:sz w:val="24"/>
          <w:szCs w:val="24"/>
        </w:rPr>
      </w:pPr>
      <w:r w:rsidRPr="00392F78">
        <w:rPr>
          <w:rFonts w:ascii="Times New Roman" w:hAnsi="Times New Roman" w:cs="Times New Roman"/>
          <w:sz w:val="24"/>
          <w:szCs w:val="24"/>
        </w:rPr>
        <w:t>Annual income clusters between $25,000–$75,000</w:t>
      </w:r>
    </w:p>
    <w:p w:rsidR="00392F78" w:rsidRPr="00392F78" w:rsidRDefault="00392F78" w:rsidP="00392F78">
      <w:pPr>
        <w:numPr>
          <w:ilvl w:val="0"/>
          <w:numId w:val="6"/>
        </w:numPr>
        <w:rPr>
          <w:rFonts w:ascii="Times New Roman" w:hAnsi="Times New Roman" w:cs="Times New Roman"/>
          <w:sz w:val="24"/>
          <w:szCs w:val="24"/>
        </w:rPr>
      </w:pPr>
      <w:r w:rsidRPr="00392F78">
        <w:rPr>
          <w:rFonts w:ascii="Times New Roman" w:hAnsi="Times New Roman" w:cs="Times New Roman"/>
          <w:sz w:val="24"/>
          <w:szCs w:val="24"/>
        </w:rPr>
        <w:t>Savings (income minus spending) typically range $20,000–$40,000</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 xml:space="preserve">Bivariate and multivariate visualizations (scatterplots, boxplots, </w:t>
      </w:r>
      <w:proofErr w:type="gramStart"/>
      <w:r w:rsidRPr="00392F78">
        <w:rPr>
          <w:rFonts w:ascii="Times New Roman" w:hAnsi="Times New Roman" w:cs="Times New Roman"/>
          <w:sz w:val="24"/>
          <w:szCs w:val="24"/>
        </w:rPr>
        <w:t>correlation</w:t>
      </w:r>
      <w:proofErr w:type="gramEnd"/>
      <w:r w:rsidRPr="00392F78">
        <w:rPr>
          <w:rFonts w:ascii="Times New Roman" w:hAnsi="Times New Roman" w:cs="Times New Roman"/>
          <w:sz w:val="24"/>
          <w:szCs w:val="24"/>
        </w:rPr>
        <w:t xml:space="preserve"> </w:t>
      </w:r>
      <w:proofErr w:type="spellStart"/>
      <w:r w:rsidRPr="00392F78">
        <w:rPr>
          <w:rFonts w:ascii="Times New Roman" w:hAnsi="Times New Roman" w:cs="Times New Roman"/>
          <w:sz w:val="24"/>
          <w:szCs w:val="24"/>
        </w:rPr>
        <w:t>heatmaps</w:t>
      </w:r>
      <w:proofErr w:type="spellEnd"/>
      <w:r w:rsidRPr="00392F78">
        <w:rPr>
          <w:rFonts w:ascii="Times New Roman" w:hAnsi="Times New Roman" w:cs="Times New Roman"/>
          <w:sz w:val="24"/>
          <w:szCs w:val="24"/>
        </w:rPr>
        <w:t>) identified preliminary relationships, notably the strong positive correlation between income and spending, and between credit score and income.</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2.3 Hypothesis Testing Framework</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A structured hypothesis testing approach evaluated specific business questions: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45"/>
        <w:gridCol w:w="2219"/>
        <w:gridCol w:w="4293"/>
      </w:tblGrid>
      <w:tr w:rsidR="00392F78" w:rsidRPr="00392F78" w:rsidTr="00392F78">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Business Question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Statistical Test</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Key Result</w:t>
            </w:r>
          </w:p>
        </w:tc>
      </w:tr>
      <w:tr w:rsidR="00392F78" w:rsidRPr="00392F78" w:rsidTr="00392F7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Do churned customers spend less?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Two-sample t-test / Wilcoxon</w:t>
            </w:r>
          </w:p>
        </w:tc>
        <w:tc>
          <w:tcPr>
            <w:tcW w:w="0" w:type="auto"/>
            <w:tcBorders>
              <w:top w:val="single" w:sz="2" w:space="0" w:color="E3E3E3"/>
              <w:left w:val="single" w:sz="2" w:space="0" w:color="E3E3E3"/>
              <w:bottom w:val="single" w:sz="6" w:space="0" w:color="E1E3EA"/>
              <w:right w:val="nil"/>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Yes</w:t>
            </w:r>
            <w:r w:rsidRPr="00392F78">
              <w:rPr>
                <w:rFonts w:ascii="Times New Roman" w:hAnsi="Times New Roman" w:cs="Times New Roman"/>
                <w:sz w:val="24"/>
                <w:szCs w:val="24"/>
              </w:rPr>
              <w:t xml:space="preserve"> (p &lt; 0.001); churned customers spend ~$1,471 less</w:t>
            </w:r>
          </w:p>
        </w:tc>
      </w:tr>
      <w:tr w:rsidR="00392F78" w:rsidRPr="00392F78" w:rsidTr="00392F7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Does spending vary by region?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 xml:space="preserve">ANOVA / </w:t>
            </w:r>
            <w:proofErr w:type="spellStart"/>
            <w:r w:rsidRPr="00392F78">
              <w:rPr>
                <w:rFonts w:ascii="Times New Roman" w:hAnsi="Times New Roman" w:cs="Times New Roman"/>
                <w:sz w:val="24"/>
                <w:szCs w:val="24"/>
              </w:rPr>
              <w:t>Kruskal</w:t>
            </w:r>
            <w:proofErr w:type="spellEnd"/>
            <w:r w:rsidRPr="00392F78">
              <w:rPr>
                <w:rFonts w:ascii="Times New Roman" w:hAnsi="Times New Roman" w:cs="Times New Roman"/>
                <w:sz w:val="24"/>
                <w:szCs w:val="24"/>
              </w:rPr>
              <w:t>-Wallis</w:t>
            </w:r>
          </w:p>
        </w:tc>
        <w:tc>
          <w:tcPr>
            <w:tcW w:w="0" w:type="auto"/>
            <w:tcBorders>
              <w:top w:val="single" w:sz="2" w:space="0" w:color="E3E3E3"/>
              <w:left w:val="single" w:sz="2" w:space="0" w:color="E3E3E3"/>
              <w:bottom w:val="single" w:sz="6" w:space="0" w:color="E1E3EA"/>
              <w:right w:val="nil"/>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No</w:t>
            </w:r>
            <w:r w:rsidRPr="00392F78">
              <w:rPr>
                <w:rFonts w:ascii="Times New Roman" w:hAnsi="Times New Roman" w:cs="Times New Roman"/>
                <w:sz w:val="24"/>
                <w:szCs w:val="24"/>
              </w:rPr>
              <w:t xml:space="preserve"> (p &gt; 0.05); regional differences not statistically significant</w:t>
            </w:r>
          </w:p>
        </w:tc>
      </w:tr>
      <w:tr w:rsidR="00392F78" w:rsidRPr="00392F78" w:rsidTr="00392F7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Does gender influence spending?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Wilcoxon rank-sum</w:t>
            </w:r>
          </w:p>
        </w:tc>
        <w:tc>
          <w:tcPr>
            <w:tcW w:w="0" w:type="auto"/>
            <w:tcBorders>
              <w:top w:val="single" w:sz="2" w:space="0" w:color="E3E3E3"/>
              <w:left w:val="single" w:sz="2" w:space="0" w:color="E3E3E3"/>
              <w:bottom w:val="single" w:sz="6" w:space="0" w:color="E1E3EA"/>
              <w:right w:val="nil"/>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No</w:t>
            </w:r>
            <w:r w:rsidRPr="00392F78">
              <w:rPr>
                <w:rFonts w:ascii="Times New Roman" w:hAnsi="Times New Roman" w:cs="Times New Roman"/>
                <w:sz w:val="24"/>
                <w:szCs w:val="24"/>
              </w:rPr>
              <w:t xml:space="preserve"> (p = 0.407); gender not a significant predictor</w:t>
            </w:r>
          </w:p>
        </w:tc>
      </w:tr>
      <w:tr w:rsidR="00392F78" w:rsidRPr="00392F78" w:rsidTr="00392F7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Does education affect credit score?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ANOVA</w:t>
            </w:r>
          </w:p>
        </w:tc>
        <w:tc>
          <w:tcPr>
            <w:tcW w:w="0" w:type="auto"/>
            <w:tcBorders>
              <w:top w:val="single" w:sz="2" w:space="0" w:color="E3E3E3"/>
              <w:left w:val="single" w:sz="2" w:space="0" w:color="E3E3E3"/>
              <w:bottom w:val="single" w:sz="6" w:space="0" w:color="E1E3EA"/>
              <w:right w:val="nil"/>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Yes</w:t>
            </w:r>
            <w:r w:rsidRPr="00392F78">
              <w:rPr>
                <w:rFonts w:ascii="Times New Roman" w:hAnsi="Times New Roman" w:cs="Times New Roman"/>
                <w:sz w:val="24"/>
                <w:szCs w:val="24"/>
              </w:rPr>
              <w:t xml:space="preserve"> (p &lt; 0.001); higher education associated with higher scores</w:t>
            </w:r>
          </w:p>
        </w:tc>
      </w:tr>
      <w:tr w:rsidR="00392F78" w:rsidRPr="00392F78" w:rsidTr="00392F7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Is churn associated with employment?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Chi-square test</w:t>
            </w:r>
          </w:p>
        </w:tc>
        <w:tc>
          <w:tcPr>
            <w:tcW w:w="0" w:type="auto"/>
            <w:tcBorders>
              <w:top w:val="single" w:sz="2" w:space="0" w:color="E3E3E3"/>
              <w:left w:val="single" w:sz="2" w:space="0" w:color="E3E3E3"/>
              <w:bottom w:val="single" w:sz="6" w:space="0" w:color="E1E3EA"/>
              <w:right w:val="nil"/>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Yes</w:t>
            </w:r>
            <w:r w:rsidRPr="00392F78">
              <w:rPr>
                <w:rFonts w:ascii="Times New Roman" w:hAnsi="Times New Roman" w:cs="Times New Roman"/>
                <w:sz w:val="24"/>
                <w:szCs w:val="24"/>
              </w:rPr>
              <w:t xml:space="preserve"> (p &lt; 0.001); unemployed customers churn at higher rates</w:t>
            </w:r>
          </w:p>
        </w:tc>
      </w:tr>
      <w:tr w:rsidR="00392F78" w:rsidRPr="00392F78" w:rsidTr="00392F78">
        <w:trPr>
          <w:tblCellSpacing w:w="15" w:type="dxa"/>
        </w:trPr>
        <w:tc>
          <w:tcPr>
            <w:tcW w:w="0" w:type="auto"/>
            <w:tcBorders>
              <w:top w:val="single" w:sz="2" w:space="0" w:color="E3E3E3"/>
              <w:left w:val="single" w:sz="2" w:space="0" w:color="E3E3E3"/>
              <w:bottom w:val="nil"/>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Does payment type relate to churn?</w:t>
            </w:r>
          </w:p>
        </w:tc>
        <w:tc>
          <w:tcPr>
            <w:tcW w:w="0" w:type="auto"/>
            <w:tcBorders>
              <w:top w:val="single" w:sz="2" w:space="0" w:color="E3E3E3"/>
              <w:left w:val="single" w:sz="2" w:space="0" w:color="E3E3E3"/>
              <w:bottom w:val="nil"/>
              <w:right w:val="single" w:sz="6" w:space="0" w:color="E1E3EA"/>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Chi-square test</w:t>
            </w:r>
          </w:p>
        </w:tc>
        <w:tc>
          <w:tcPr>
            <w:tcW w:w="0" w:type="auto"/>
            <w:tcBorders>
              <w:top w:val="single" w:sz="2" w:space="0" w:color="E3E3E3"/>
              <w:left w:val="single" w:sz="2" w:space="0" w:color="E3E3E3"/>
              <w:bottom w:val="nil"/>
              <w:right w:val="nil"/>
            </w:tcBorders>
            <w:vAlign w:val="center"/>
            <w:hideMark/>
          </w:tcPr>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No</w:t>
            </w:r>
            <w:r w:rsidRPr="00392F78">
              <w:rPr>
                <w:rFonts w:ascii="Times New Roman" w:hAnsi="Times New Roman" w:cs="Times New Roman"/>
                <w:sz w:val="24"/>
                <w:szCs w:val="24"/>
              </w:rPr>
              <w:t xml:space="preserve"> (p = 0.351); no meaningful association detected</w:t>
            </w:r>
          </w:p>
        </w:tc>
      </w:tr>
    </w:tbl>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lastRenderedPageBreak/>
        <w:t>All tests verified assumptions (normality, equal variance, independence) and applied appropriate corrections (Bonferroni for multiple comparisons, non-parametric alternatives when assumptions violated).</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2.4 Predictive Modeling</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Three modeling approaches were compared:</w:t>
      </w:r>
    </w:p>
    <w:p w:rsidR="00392F78" w:rsidRPr="00392F78" w:rsidRDefault="00392F78" w:rsidP="00392F78">
      <w:pPr>
        <w:numPr>
          <w:ilvl w:val="0"/>
          <w:numId w:val="7"/>
        </w:numPr>
        <w:rPr>
          <w:rFonts w:ascii="Times New Roman" w:hAnsi="Times New Roman" w:cs="Times New Roman"/>
          <w:sz w:val="24"/>
          <w:szCs w:val="24"/>
        </w:rPr>
      </w:pPr>
      <w:r w:rsidRPr="00392F78">
        <w:rPr>
          <w:rFonts w:ascii="Times New Roman" w:hAnsi="Times New Roman" w:cs="Times New Roman"/>
          <w:b/>
          <w:bCs/>
          <w:sz w:val="24"/>
          <w:szCs w:val="24"/>
        </w:rPr>
        <w:t>Simple Linear Regression</w:t>
      </w:r>
      <w:r w:rsidRPr="00392F78">
        <w:rPr>
          <w:rFonts w:ascii="Times New Roman" w:hAnsi="Times New Roman" w:cs="Times New Roman"/>
          <w:sz w:val="24"/>
          <w:szCs w:val="24"/>
        </w:rPr>
        <w:t xml:space="preserve"> (spending ~ income): R² = 0.701, highly significant (p &lt; 0.001)</w:t>
      </w:r>
    </w:p>
    <w:p w:rsidR="00392F78" w:rsidRPr="00392F78" w:rsidRDefault="00392F78" w:rsidP="00392F78">
      <w:pPr>
        <w:numPr>
          <w:ilvl w:val="0"/>
          <w:numId w:val="7"/>
        </w:numPr>
        <w:rPr>
          <w:rFonts w:ascii="Times New Roman" w:hAnsi="Times New Roman" w:cs="Times New Roman"/>
          <w:sz w:val="24"/>
          <w:szCs w:val="24"/>
        </w:rPr>
      </w:pPr>
      <w:r w:rsidRPr="00392F78">
        <w:rPr>
          <w:rFonts w:ascii="Times New Roman" w:hAnsi="Times New Roman" w:cs="Times New Roman"/>
          <w:b/>
          <w:bCs/>
          <w:sz w:val="24"/>
          <w:szCs w:val="24"/>
        </w:rPr>
        <w:t>Multiple Linear Regression</w:t>
      </w:r>
      <w:r w:rsidRPr="00392F78">
        <w:rPr>
          <w:rFonts w:ascii="Times New Roman" w:hAnsi="Times New Roman" w:cs="Times New Roman"/>
          <w:sz w:val="24"/>
          <w:szCs w:val="24"/>
        </w:rPr>
        <w:t xml:space="preserve"> (8 predictors): R² = 0.703, but only income remained statistically significant; adjusted R² decreased, indicating overfitting risk</w:t>
      </w:r>
    </w:p>
    <w:p w:rsidR="00392F78" w:rsidRPr="00392F78" w:rsidRDefault="00392F78" w:rsidP="00392F78">
      <w:pPr>
        <w:numPr>
          <w:ilvl w:val="0"/>
          <w:numId w:val="7"/>
        </w:numPr>
        <w:rPr>
          <w:rFonts w:ascii="Times New Roman" w:hAnsi="Times New Roman" w:cs="Times New Roman"/>
          <w:sz w:val="24"/>
          <w:szCs w:val="24"/>
        </w:rPr>
      </w:pPr>
      <w:r w:rsidRPr="00392F78">
        <w:rPr>
          <w:rFonts w:ascii="Times New Roman" w:hAnsi="Times New Roman" w:cs="Times New Roman"/>
          <w:b/>
          <w:bCs/>
          <w:sz w:val="24"/>
          <w:szCs w:val="24"/>
        </w:rPr>
        <w:t>LASSO Regression</w:t>
      </w:r>
      <w:r w:rsidRPr="00392F78">
        <w:rPr>
          <w:rFonts w:ascii="Times New Roman" w:hAnsi="Times New Roman" w:cs="Times New Roman"/>
          <w:sz w:val="24"/>
          <w:szCs w:val="24"/>
        </w:rPr>
        <w:t xml:space="preserve"> (regularization with cross-validation): Selected only annual income and online shopper status; confirmed income as the dominant predictor while providing a more parsimonious model</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b/>
          <w:bCs/>
          <w:sz w:val="24"/>
          <w:szCs w:val="24"/>
        </w:rPr>
        <w:t>Multicollinearity Assessment:</w:t>
      </w:r>
      <w:r w:rsidRPr="00392F78">
        <w:rPr>
          <w:rFonts w:ascii="Times New Roman" w:hAnsi="Times New Roman" w:cs="Times New Roman"/>
          <w:sz w:val="24"/>
          <w:szCs w:val="24"/>
        </w:rPr>
        <w:t xml:space="preserve"> Variance Inflation Factors (VIF) for all predictors were below 2.0, confirming no problematic multicollinearity. The strong income-spending relationship reflects genuine predictive power rather than artifact of correlated predictors.</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pict>
          <v:rect id="_x0000_i1028" style="width:0;height:1.5pt" o:hralign="center" o:hrstd="t" o:hr="t" fillcolor="#a0a0a0" stroked="f"/>
        </w:pic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3. Key Findings &amp; Business Interpretation</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3.1 Drivers of Customer Spending</w:t>
      </w:r>
    </w:p>
    <w:p w:rsidR="00392F78" w:rsidRPr="00392F78" w:rsidRDefault="00392F78" w:rsidP="00392F78">
      <w:pPr>
        <w:numPr>
          <w:ilvl w:val="0"/>
          <w:numId w:val="8"/>
        </w:numPr>
        <w:rPr>
          <w:rFonts w:ascii="Times New Roman" w:hAnsi="Times New Roman" w:cs="Times New Roman"/>
          <w:sz w:val="24"/>
          <w:szCs w:val="24"/>
        </w:rPr>
      </w:pPr>
      <w:r w:rsidRPr="00392F78">
        <w:rPr>
          <w:rFonts w:ascii="Times New Roman" w:hAnsi="Times New Roman" w:cs="Times New Roman"/>
          <w:b/>
          <w:bCs/>
          <w:sz w:val="24"/>
          <w:szCs w:val="24"/>
        </w:rPr>
        <w:t>Annual Income</w:t>
      </w:r>
      <w:r w:rsidRPr="00392F78">
        <w:rPr>
          <w:rFonts w:ascii="Times New Roman" w:hAnsi="Times New Roman" w:cs="Times New Roman"/>
          <w:sz w:val="24"/>
          <w:szCs w:val="24"/>
        </w:rPr>
        <w:t>: The single most powerful predictor. The marginal propensity to spend (~34 cents per additional dollar) provides a clear metric for forecasting revenue impact from income changes.</w:t>
      </w:r>
    </w:p>
    <w:p w:rsidR="00392F78" w:rsidRPr="00392F78" w:rsidRDefault="00392F78" w:rsidP="00392F78">
      <w:pPr>
        <w:numPr>
          <w:ilvl w:val="0"/>
          <w:numId w:val="8"/>
        </w:numPr>
        <w:rPr>
          <w:rFonts w:ascii="Times New Roman" w:hAnsi="Times New Roman" w:cs="Times New Roman"/>
          <w:sz w:val="24"/>
          <w:szCs w:val="24"/>
        </w:rPr>
      </w:pPr>
      <w:r w:rsidRPr="00392F78">
        <w:rPr>
          <w:rFonts w:ascii="Times New Roman" w:hAnsi="Times New Roman" w:cs="Times New Roman"/>
          <w:b/>
          <w:bCs/>
          <w:sz w:val="24"/>
          <w:szCs w:val="24"/>
        </w:rPr>
        <w:t>Online Shopper Status</w:t>
      </w:r>
      <w:r w:rsidRPr="00392F78">
        <w:rPr>
          <w:rFonts w:ascii="Times New Roman" w:hAnsi="Times New Roman" w:cs="Times New Roman"/>
          <w:sz w:val="24"/>
          <w:szCs w:val="24"/>
        </w:rPr>
        <w:t>: Online shoppers spend approximately $42 more annually than non-online shoppers. While modest in absolute terms, this effect is consistent and actionable for digital strategy.</w:t>
      </w:r>
    </w:p>
    <w:p w:rsidR="00392F78" w:rsidRPr="00392F78" w:rsidRDefault="00392F78" w:rsidP="00392F78">
      <w:pPr>
        <w:numPr>
          <w:ilvl w:val="0"/>
          <w:numId w:val="8"/>
        </w:numPr>
        <w:rPr>
          <w:rFonts w:ascii="Times New Roman" w:hAnsi="Times New Roman" w:cs="Times New Roman"/>
          <w:sz w:val="24"/>
          <w:szCs w:val="24"/>
        </w:rPr>
      </w:pPr>
      <w:r w:rsidRPr="00392F78">
        <w:rPr>
          <w:rFonts w:ascii="Times New Roman" w:hAnsi="Times New Roman" w:cs="Times New Roman"/>
          <w:b/>
          <w:bCs/>
          <w:sz w:val="24"/>
          <w:szCs w:val="24"/>
        </w:rPr>
        <w:t>Non-Significant Factors</w:t>
      </w:r>
      <w:r w:rsidRPr="00392F78">
        <w:rPr>
          <w:rFonts w:ascii="Times New Roman" w:hAnsi="Times New Roman" w:cs="Times New Roman"/>
          <w:sz w:val="24"/>
          <w:szCs w:val="24"/>
        </w:rPr>
        <w:t>: Region, gender, marital status, number of children, age, and employment status showed no statistically significant independent effects on spending after controlling for income. This suggests customer spending behavior is remarkably consistent across demographic segments when income is accounted for.</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3.2 Churn Insights</w:t>
      </w:r>
    </w:p>
    <w:p w:rsidR="00392F78" w:rsidRPr="00392F78" w:rsidRDefault="00392F78" w:rsidP="00392F78">
      <w:pPr>
        <w:numPr>
          <w:ilvl w:val="0"/>
          <w:numId w:val="9"/>
        </w:numPr>
        <w:rPr>
          <w:rFonts w:ascii="Times New Roman" w:hAnsi="Times New Roman" w:cs="Times New Roman"/>
          <w:sz w:val="24"/>
          <w:szCs w:val="24"/>
        </w:rPr>
      </w:pPr>
      <w:r w:rsidRPr="00392F78">
        <w:rPr>
          <w:rFonts w:ascii="Times New Roman" w:hAnsi="Times New Roman" w:cs="Times New Roman"/>
          <w:b/>
          <w:bCs/>
          <w:sz w:val="24"/>
          <w:szCs w:val="24"/>
        </w:rPr>
        <w:t>Spending-Churn Relationship</w:t>
      </w:r>
      <w:r w:rsidRPr="00392F78">
        <w:rPr>
          <w:rFonts w:ascii="Times New Roman" w:hAnsi="Times New Roman" w:cs="Times New Roman"/>
          <w:sz w:val="24"/>
          <w:szCs w:val="24"/>
        </w:rPr>
        <w:t>: Customers who churn spend significantly less ($13,904 vs. $15,375 annually). This $1,471 gap represents both a risk indicator and a retention opportunity.</w:t>
      </w:r>
    </w:p>
    <w:p w:rsidR="00392F78" w:rsidRPr="00392F78" w:rsidRDefault="00392F78" w:rsidP="00392F78">
      <w:pPr>
        <w:numPr>
          <w:ilvl w:val="0"/>
          <w:numId w:val="9"/>
        </w:numPr>
        <w:rPr>
          <w:rFonts w:ascii="Times New Roman" w:hAnsi="Times New Roman" w:cs="Times New Roman"/>
          <w:sz w:val="24"/>
          <w:szCs w:val="24"/>
        </w:rPr>
      </w:pPr>
      <w:r w:rsidRPr="00392F78">
        <w:rPr>
          <w:rFonts w:ascii="Times New Roman" w:hAnsi="Times New Roman" w:cs="Times New Roman"/>
          <w:b/>
          <w:bCs/>
          <w:sz w:val="24"/>
          <w:szCs w:val="24"/>
        </w:rPr>
        <w:t>Employment-Churn Link</w:t>
      </w:r>
      <w:r w:rsidRPr="00392F78">
        <w:rPr>
          <w:rFonts w:ascii="Times New Roman" w:hAnsi="Times New Roman" w:cs="Times New Roman"/>
          <w:sz w:val="24"/>
          <w:szCs w:val="24"/>
        </w:rPr>
        <w:t>: Unemployed customers exhibit significantly higher churn rates. Employment verification or financial support programs could improve retention.</w:t>
      </w:r>
    </w:p>
    <w:p w:rsidR="00392F78" w:rsidRPr="00392F78" w:rsidRDefault="00392F78" w:rsidP="00392F78">
      <w:pPr>
        <w:numPr>
          <w:ilvl w:val="0"/>
          <w:numId w:val="9"/>
        </w:numPr>
        <w:rPr>
          <w:rFonts w:ascii="Times New Roman" w:hAnsi="Times New Roman" w:cs="Times New Roman"/>
          <w:sz w:val="24"/>
          <w:szCs w:val="24"/>
        </w:rPr>
      </w:pPr>
      <w:r w:rsidRPr="00392F78">
        <w:rPr>
          <w:rFonts w:ascii="Times New Roman" w:hAnsi="Times New Roman" w:cs="Times New Roman"/>
          <w:b/>
          <w:bCs/>
          <w:sz w:val="24"/>
          <w:szCs w:val="24"/>
        </w:rPr>
        <w:lastRenderedPageBreak/>
        <w:t>Payment Type</w:t>
      </w:r>
      <w:r w:rsidRPr="00392F78">
        <w:rPr>
          <w:rFonts w:ascii="Times New Roman" w:hAnsi="Times New Roman" w:cs="Times New Roman"/>
          <w:sz w:val="24"/>
          <w:szCs w:val="24"/>
        </w:rPr>
        <w:t>: No significant association with churn, suggesting payment method flexibility is not a primary retention lever.</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3.3 Credit &amp; Financial Behavior</w:t>
      </w:r>
    </w:p>
    <w:p w:rsidR="00392F78" w:rsidRPr="00392F78" w:rsidRDefault="00392F78" w:rsidP="00392F78">
      <w:pPr>
        <w:numPr>
          <w:ilvl w:val="0"/>
          <w:numId w:val="10"/>
        </w:numPr>
        <w:rPr>
          <w:rFonts w:ascii="Times New Roman" w:hAnsi="Times New Roman" w:cs="Times New Roman"/>
          <w:sz w:val="24"/>
          <w:szCs w:val="24"/>
        </w:rPr>
      </w:pPr>
      <w:r w:rsidRPr="00392F78">
        <w:rPr>
          <w:rFonts w:ascii="Times New Roman" w:hAnsi="Times New Roman" w:cs="Times New Roman"/>
          <w:b/>
          <w:bCs/>
          <w:sz w:val="24"/>
          <w:szCs w:val="24"/>
        </w:rPr>
        <w:t>Education-Credit Score Link</w:t>
      </w:r>
      <w:r w:rsidRPr="00392F78">
        <w:rPr>
          <w:rFonts w:ascii="Times New Roman" w:hAnsi="Times New Roman" w:cs="Times New Roman"/>
          <w:sz w:val="24"/>
          <w:szCs w:val="24"/>
        </w:rPr>
        <w:t>: Strong positive relationship; customers with advanced degrees (Master's, PhD) maintain notably higher credit scores. This supports education-based risk segmentation for credit products.</w:t>
      </w:r>
    </w:p>
    <w:p w:rsidR="00392F78" w:rsidRPr="00392F78" w:rsidRDefault="00392F78" w:rsidP="00392F78">
      <w:pPr>
        <w:numPr>
          <w:ilvl w:val="0"/>
          <w:numId w:val="10"/>
        </w:numPr>
        <w:rPr>
          <w:rFonts w:ascii="Times New Roman" w:hAnsi="Times New Roman" w:cs="Times New Roman"/>
          <w:sz w:val="24"/>
          <w:szCs w:val="24"/>
        </w:rPr>
      </w:pPr>
      <w:r w:rsidRPr="00392F78">
        <w:rPr>
          <w:rFonts w:ascii="Times New Roman" w:hAnsi="Times New Roman" w:cs="Times New Roman"/>
          <w:b/>
          <w:bCs/>
          <w:sz w:val="24"/>
          <w:szCs w:val="24"/>
        </w:rPr>
        <w:t>Spending Independence</w:t>
      </w:r>
      <w:r w:rsidRPr="00392F78">
        <w:rPr>
          <w:rFonts w:ascii="Times New Roman" w:hAnsi="Times New Roman" w:cs="Times New Roman"/>
          <w:sz w:val="24"/>
          <w:szCs w:val="24"/>
        </w:rPr>
        <w:t>: Despite education's effect on creditworthiness, it does not translate to higher spending, indicating that risk assessment and spending prediction should utilize separate modeling approaches.</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3.4 Regional &amp; Demographic Consistency</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The absence of significant regional, gender, or marital status effects on spending suggests:</w:t>
      </w:r>
    </w:p>
    <w:p w:rsidR="00392F78" w:rsidRPr="00392F78" w:rsidRDefault="00392F78" w:rsidP="00392F78">
      <w:pPr>
        <w:numPr>
          <w:ilvl w:val="0"/>
          <w:numId w:val="11"/>
        </w:numPr>
        <w:rPr>
          <w:rFonts w:ascii="Times New Roman" w:hAnsi="Times New Roman" w:cs="Times New Roman"/>
          <w:sz w:val="24"/>
          <w:szCs w:val="24"/>
        </w:rPr>
      </w:pPr>
      <w:r w:rsidRPr="00392F78">
        <w:rPr>
          <w:rFonts w:ascii="Times New Roman" w:hAnsi="Times New Roman" w:cs="Times New Roman"/>
          <w:sz w:val="24"/>
          <w:szCs w:val="24"/>
        </w:rPr>
        <w:t>Standardized pricing and promotion strategies can be applied across geographic markets</w:t>
      </w:r>
    </w:p>
    <w:p w:rsidR="00392F78" w:rsidRPr="00392F78" w:rsidRDefault="00392F78" w:rsidP="00392F78">
      <w:pPr>
        <w:numPr>
          <w:ilvl w:val="0"/>
          <w:numId w:val="11"/>
        </w:numPr>
        <w:rPr>
          <w:rFonts w:ascii="Times New Roman" w:hAnsi="Times New Roman" w:cs="Times New Roman"/>
          <w:sz w:val="24"/>
          <w:szCs w:val="24"/>
        </w:rPr>
      </w:pPr>
      <w:r w:rsidRPr="00392F78">
        <w:rPr>
          <w:rFonts w:ascii="Times New Roman" w:hAnsi="Times New Roman" w:cs="Times New Roman"/>
          <w:sz w:val="24"/>
          <w:szCs w:val="24"/>
        </w:rPr>
        <w:t>Marketing messages need not be gender-differentiated for spending outcomes</w:t>
      </w:r>
    </w:p>
    <w:p w:rsidR="00392F78" w:rsidRPr="00392F78" w:rsidRDefault="00392F78" w:rsidP="00392F78">
      <w:pPr>
        <w:numPr>
          <w:ilvl w:val="0"/>
          <w:numId w:val="11"/>
        </w:numPr>
        <w:rPr>
          <w:rFonts w:ascii="Times New Roman" w:hAnsi="Times New Roman" w:cs="Times New Roman"/>
          <w:sz w:val="24"/>
          <w:szCs w:val="24"/>
        </w:rPr>
      </w:pPr>
      <w:r w:rsidRPr="00392F78">
        <w:rPr>
          <w:rFonts w:ascii="Times New Roman" w:hAnsi="Times New Roman" w:cs="Times New Roman"/>
          <w:sz w:val="24"/>
          <w:szCs w:val="24"/>
        </w:rPr>
        <w:t>Family structure (marital status, children) does not meaningfully alter spending patterns when income is controlled</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pict>
          <v:rect id="_x0000_i1029" style="width:0;height:1.5pt" o:hralign="center" o:hrstd="t" o:hr="t" fillcolor="#a0a0a0" stroked="f"/>
        </w:pic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4. Recommendations &amp; Strategic Implications</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4.1 Immediate Actions</w:t>
      </w:r>
    </w:p>
    <w:p w:rsidR="00392F78" w:rsidRPr="00392F78" w:rsidRDefault="00392F78" w:rsidP="00392F78">
      <w:pPr>
        <w:numPr>
          <w:ilvl w:val="0"/>
          <w:numId w:val="12"/>
        </w:numPr>
        <w:rPr>
          <w:rFonts w:ascii="Times New Roman" w:hAnsi="Times New Roman" w:cs="Times New Roman"/>
          <w:sz w:val="24"/>
          <w:szCs w:val="24"/>
        </w:rPr>
      </w:pPr>
      <w:r w:rsidRPr="00392F78">
        <w:rPr>
          <w:rFonts w:ascii="Times New Roman" w:hAnsi="Times New Roman" w:cs="Times New Roman"/>
          <w:b/>
          <w:bCs/>
          <w:sz w:val="24"/>
          <w:szCs w:val="24"/>
        </w:rPr>
        <w:t>Implement Income-Based Segmentation</w:t>
      </w:r>
      <w:r w:rsidRPr="00392F78">
        <w:rPr>
          <w:rFonts w:ascii="Times New Roman" w:hAnsi="Times New Roman" w:cs="Times New Roman"/>
          <w:sz w:val="24"/>
          <w:szCs w:val="24"/>
        </w:rPr>
        <w:t>: Develop tiered product offerings, loyalty rewards, and communication strategies aligned with customer income brackets.</w:t>
      </w:r>
    </w:p>
    <w:p w:rsidR="00392F78" w:rsidRPr="00392F78" w:rsidRDefault="00392F78" w:rsidP="00392F78">
      <w:pPr>
        <w:numPr>
          <w:ilvl w:val="0"/>
          <w:numId w:val="12"/>
        </w:numPr>
        <w:rPr>
          <w:rFonts w:ascii="Times New Roman" w:hAnsi="Times New Roman" w:cs="Times New Roman"/>
          <w:sz w:val="24"/>
          <w:szCs w:val="24"/>
        </w:rPr>
      </w:pPr>
      <w:r w:rsidRPr="00392F78">
        <w:rPr>
          <w:rFonts w:ascii="Times New Roman" w:hAnsi="Times New Roman" w:cs="Times New Roman"/>
          <w:b/>
          <w:bCs/>
          <w:sz w:val="24"/>
          <w:szCs w:val="24"/>
        </w:rPr>
        <w:t>Enhance Digital Experience</w:t>
      </w:r>
      <w:r w:rsidRPr="00392F78">
        <w:rPr>
          <w:rFonts w:ascii="Times New Roman" w:hAnsi="Times New Roman" w:cs="Times New Roman"/>
          <w:sz w:val="24"/>
          <w:szCs w:val="24"/>
        </w:rPr>
        <w:t>: Invest in online shopping platform improvements, as online shoppers demonstrate incrementally higher spending.</w:t>
      </w:r>
    </w:p>
    <w:p w:rsidR="00392F78" w:rsidRPr="00392F78" w:rsidRDefault="00392F78" w:rsidP="00392F78">
      <w:pPr>
        <w:numPr>
          <w:ilvl w:val="0"/>
          <w:numId w:val="12"/>
        </w:numPr>
        <w:rPr>
          <w:rFonts w:ascii="Times New Roman" w:hAnsi="Times New Roman" w:cs="Times New Roman"/>
          <w:sz w:val="24"/>
          <w:szCs w:val="24"/>
        </w:rPr>
      </w:pPr>
      <w:r w:rsidRPr="00392F78">
        <w:rPr>
          <w:rFonts w:ascii="Times New Roman" w:hAnsi="Times New Roman" w:cs="Times New Roman"/>
          <w:b/>
          <w:bCs/>
          <w:sz w:val="24"/>
          <w:szCs w:val="24"/>
        </w:rPr>
        <w:t>Target Retention for At-Risk Segments</w:t>
      </w:r>
      <w:r w:rsidRPr="00392F78">
        <w:rPr>
          <w:rFonts w:ascii="Times New Roman" w:hAnsi="Times New Roman" w:cs="Times New Roman"/>
          <w:sz w:val="24"/>
          <w:szCs w:val="24"/>
        </w:rPr>
        <w:t>: Proactively engage unemployed customers and low-spending accounts with personalized retention offers.</w:t>
      </w:r>
    </w:p>
    <w:p w:rsidR="00392F78" w:rsidRPr="00392F78" w:rsidRDefault="00392F78" w:rsidP="00392F78">
      <w:pPr>
        <w:numPr>
          <w:ilvl w:val="0"/>
          <w:numId w:val="12"/>
        </w:numPr>
        <w:rPr>
          <w:rFonts w:ascii="Times New Roman" w:hAnsi="Times New Roman" w:cs="Times New Roman"/>
          <w:sz w:val="24"/>
          <w:szCs w:val="24"/>
        </w:rPr>
      </w:pPr>
      <w:r w:rsidRPr="00392F78">
        <w:rPr>
          <w:rFonts w:ascii="Times New Roman" w:hAnsi="Times New Roman" w:cs="Times New Roman"/>
          <w:b/>
          <w:bCs/>
          <w:sz w:val="24"/>
          <w:szCs w:val="24"/>
        </w:rPr>
        <w:t>Simplify Predictive Models</w:t>
      </w:r>
      <w:r w:rsidRPr="00392F78">
        <w:rPr>
          <w:rFonts w:ascii="Times New Roman" w:hAnsi="Times New Roman" w:cs="Times New Roman"/>
          <w:sz w:val="24"/>
          <w:szCs w:val="24"/>
        </w:rPr>
        <w:t>: Deploy the parsimonious LASSO model (income + online status) for spending forecasting, reducing complexity while maintaining accuracy.</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4.2 Strategic Considerations</w:t>
      </w:r>
    </w:p>
    <w:p w:rsidR="00392F78" w:rsidRPr="00392F78" w:rsidRDefault="00392F78" w:rsidP="00392F78">
      <w:pPr>
        <w:numPr>
          <w:ilvl w:val="0"/>
          <w:numId w:val="13"/>
        </w:numPr>
        <w:rPr>
          <w:rFonts w:ascii="Times New Roman" w:hAnsi="Times New Roman" w:cs="Times New Roman"/>
          <w:sz w:val="24"/>
          <w:szCs w:val="24"/>
        </w:rPr>
      </w:pPr>
      <w:r w:rsidRPr="00392F78">
        <w:rPr>
          <w:rFonts w:ascii="Times New Roman" w:hAnsi="Times New Roman" w:cs="Times New Roman"/>
          <w:b/>
          <w:bCs/>
          <w:sz w:val="24"/>
          <w:szCs w:val="24"/>
        </w:rPr>
        <w:t>Avoid Demographic Over-Segmentation</w:t>
      </w:r>
      <w:r w:rsidRPr="00392F78">
        <w:rPr>
          <w:rFonts w:ascii="Times New Roman" w:hAnsi="Times New Roman" w:cs="Times New Roman"/>
          <w:sz w:val="24"/>
          <w:szCs w:val="24"/>
        </w:rPr>
        <w:t>: Resources should not be allocated to region-specific or gender-specific spending campaigns, as these factors lack predictive power.</w:t>
      </w:r>
    </w:p>
    <w:p w:rsidR="00392F78" w:rsidRPr="00392F78" w:rsidRDefault="00392F78" w:rsidP="00392F78">
      <w:pPr>
        <w:numPr>
          <w:ilvl w:val="0"/>
          <w:numId w:val="13"/>
        </w:numPr>
        <w:rPr>
          <w:rFonts w:ascii="Times New Roman" w:hAnsi="Times New Roman" w:cs="Times New Roman"/>
          <w:sz w:val="24"/>
          <w:szCs w:val="24"/>
        </w:rPr>
      </w:pPr>
      <w:r w:rsidRPr="00392F78">
        <w:rPr>
          <w:rFonts w:ascii="Times New Roman" w:hAnsi="Times New Roman" w:cs="Times New Roman"/>
          <w:b/>
          <w:bCs/>
          <w:sz w:val="24"/>
          <w:szCs w:val="24"/>
        </w:rPr>
        <w:t>Separate Risk and Revenue Models</w:t>
      </w:r>
      <w:r w:rsidRPr="00392F78">
        <w:rPr>
          <w:rFonts w:ascii="Times New Roman" w:hAnsi="Times New Roman" w:cs="Times New Roman"/>
          <w:sz w:val="24"/>
          <w:szCs w:val="24"/>
        </w:rPr>
        <w:t>: Use education and credit score for risk assessment; use income and digital engagement for revenue forecasting.</w:t>
      </w:r>
    </w:p>
    <w:p w:rsidR="00392F78" w:rsidRPr="00392F78" w:rsidRDefault="00392F78" w:rsidP="00392F78">
      <w:pPr>
        <w:numPr>
          <w:ilvl w:val="0"/>
          <w:numId w:val="13"/>
        </w:numPr>
        <w:rPr>
          <w:rFonts w:ascii="Times New Roman" w:hAnsi="Times New Roman" w:cs="Times New Roman"/>
          <w:sz w:val="24"/>
          <w:szCs w:val="24"/>
        </w:rPr>
      </w:pPr>
      <w:r w:rsidRPr="00392F78">
        <w:rPr>
          <w:rFonts w:ascii="Times New Roman" w:hAnsi="Times New Roman" w:cs="Times New Roman"/>
          <w:b/>
          <w:bCs/>
          <w:sz w:val="24"/>
          <w:szCs w:val="24"/>
        </w:rPr>
        <w:lastRenderedPageBreak/>
        <w:t>Monitor Marginal Propensity to Spend</w:t>
      </w:r>
      <w:r w:rsidRPr="00392F78">
        <w:rPr>
          <w:rFonts w:ascii="Times New Roman" w:hAnsi="Times New Roman" w:cs="Times New Roman"/>
          <w:sz w:val="24"/>
          <w:szCs w:val="24"/>
        </w:rPr>
        <w:t>: Track the income-spending coefficient (currently ~0.34) over time as an indicator of changing customer behavior or economic conditions.</w: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4.3 Future Analytical Opportunities</w:t>
      </w:r>
    </w:p>
    <w:p w:rsidR="00392F78" w:rsidRPr="00392F78" w:rsidRDefault="00392F78" w:rsidP="00392F78">
      <w:pPr>
        <w:numPr>
          <w:ilvl w:val="0"/>
          <w:numId w:val="14"/>
        </w:numPr>
        <w:rPr>
          <w:rFonts w:ascii="Times New Roman" w:hAnsi="Times New Roman" w:cs="Times New Roman"/>
          <w:sz w:val="24"/>
          <w:szCs w:val="24"/>
        </w:rPr>
      </w:pPr>
      <w:r w:rsidRPr="00392F78">
        <w:rPr>
          <w:rFonts w:ascii="Times New Roman" w:hAnsi="Times New Roman" w:cs="Times New Roman"/>
          <w:b/>
          <w:bCs/>
          <w:sz w:val="24"/>
          <w:szCs w:val="24"/>
        </w:rPr>
        <w:t>Longitudinal Analysis</w:t>
      </w:r>
      <w:r w:rsidRPr="00392F78">
        <w:rPr>
          <w:rFonts w:ascii="Times New Roman" w:hAnsi="Times New Roman" w:cs="Times New Roman"/>
          <w:sz w:val="24"/>
          <w:szCs w:val="24"/>
        </w:rPr>
        <w:t>: Track individual customer spending trajectories to identify inflection points preceding churn.</w:t>
      </w:r>
    </w:p>
    <w:p w:rsidR="00392F78" w:rsidRPr="00392F78" w:rsidRDefault="00392F78" w:rsidP="00392F78">
      <w:pPr>
        <w:numPr>
          <w:ilvl w:val="0"/>
          <w:numId w:val="14"/>
        </w:numPr>
        <w:rPr>
          <w:rFonts w:ascii="Times New Roman" w:hAnsi="Times New Roman" w:cs="Times New Roman"/>
          <w:sz w:val="24"/>
          <w:szCs w:val="24"/>
        </w:rPr>
      </w:pPr>
      <w:r w:rsidRPr="00392F78">
        <w:rPr>
          <w:rFonts w:ascii="Times New Roman" w:hAnsi="Times New Roman" w:cs="Times New Roman"/>
          <w:b/>
          <w:bCs/>
          <w:sz w:val="24"/>
          <w:szCs w:val="24"/>
        </w:rPr>
        <w:t>Interaction Effects</w:t>
      </w:r>
      <w:r w:rsidRPr="00392F78">
        <w:rPr>
          <w:rFonts w:ascii="Times New Roman" w:hAnsi="Times New Roman" w:cs="Times New Roman"/>
          <w:sz w:val="24"/>
          <w:szCs w:val="24"/>
        </w:rPr>
        <w:t>: Test whether income's effect on spending varies by region or employment status (e.g., does income matter more in urban areas?).</w:t>
      </w:r>
    </w:p>
    <w:p w:rsidR="00392F78" w:rsidRPr="00392F78" w:rsidRDefault="00392F78" w:rsidP="00392F78">
      <w:pPr>
        <w:numPr>
          <w:ilvl w:val="0"/>
          <w:numId w:val="14"/>
        </w:numPr>
        <w:rPr>
          <w:rFonts w:ascii="Times New Roman" w:hAnsi="Times New Roman" w:cs="Times New Roman"/>
          <w:sz w:val="24"/>
          <w:szCs w:val="24"/>
        </w:rPr>
      </w:pPr>
      <w:r w:rsidRPr="00392F78">
        <w:rPr>
          <w:rFonts w:ascii="Times New Roman" w:hAnsi="Times New Roman" w:cs="Times New Roman"/>
          <w:b/>
          <w:bCs/>
          <w:sz w:val="24"/>
          <w:szCs w:val="24"/>
        </w:rPr>
        <w:t>External Data Integration</w:t>
      </w:r>
      <w:r w:rsidRPr="00392F78">
        <w:rPr>
          <w:rFonts w:ascii="Times New Roman" w:hAnsi="Times New Roman" w:cs="Times New Roman"/>
          <w:sz w:val="24"/>
          <w:szCs w:val="24"/>
        </w:rPr>
        <w:t>: Incorporate macroeconomic indicators (inflation, unemployment rates) to improve model robustness during economic shifts.</w:t>
      </w:r>
    </w:p>
    <w:p w:rsidR="00392F78" w:rsidRPr="00392F78" w:rsidRDefault="00392F78" w:rsidP="00392F78">
      <w:pPr>
        <w:numPr>
          <w:ilvl w:val="0"/>
          <w:numId w:val="14"/>
        </w:numPr>
        <w:rPr>
          <w:rFonts w:ascii="Times New Roman" w:hAnsi="Times New Roman" w:cs="Times New Roman"/>
          <w:sz w:val="24"/>
          <w:szCs w:val="24"/>
        </w:rPr>
      </w:pPr>
      <w:r w:rsidRPr="00392F78">
        <w:rPr>
          <w:rFonts w:ascii="Times New Roman" w:hAnsi="Times New Roman" w:cs="Times New Roman"/>
          <w:b/>
          <w:bCs/>
          <w:sz w:val="24"/>
          <w:szCs w:val="24"/>
        </w:rPr>
        <w:t>Customer Lifetime Value Modeling</w:t>
      </w:r>
      <w:r w:rsidRPr="00392F78">
        <w:rPr>
          <w:rFonts w:ascii="Times New Roman" w:hAnsi="Times New Roman" w:cs="Times New Roman"/>
          <w:sz w:val="24"/>
          <w:szCs w:val="24"/>
        </w:rPr>
        <w:t>: Extend beyond annual spending to predict multi-year value, incorporating retention probability and acquisition cost.</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pict>
          <v:rect id="_x0000_i1030" style="width:0;height:1.5pt" o:hralign="center" o:hrstd="t" o:hr="t" fillcolor="#a0a0a0" stroked="f"/>
        </w:pic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5. Limitations &amp; Caveats</w:t>
      </w:r>
    </w:p>
    <w:p w:rsidR="00392F78" w:rsidRPr="00392F78" w:rsidRDefault="00392F78" w:rsidP="00392F78">
      <w:pPr>
        <w:numPr>
          <w:ilvl w:val="0"/>
          <w:numId w:val="15"/>
        </w:numPr>
        <w:rPr>
          <w:rFonts w:ascii="Times New Roman" w:hAnsi="Times New Roman" w:cs="Times New Roman"/>
          <w:sz w:val="24"/>
          <w:szCs w:val="24"/>
        </w:rPr>
      </w:pPr>
      <w:r w:rsidRPr="00392F78">
        <w:rPr>
          <w:rFonts w:ascii="Times New Roman" w:hAnsi="Times New Roman" w:cs="Times New Roman"/>
          <w:b/>
          <w:bCs/>
          <w:sz w:val="24"/>
          <w:szCs w:val="24"/>
        </w:rPr>
        <w:t>Cross-Sectional Design</w:t>
      </w:r>
      <w:r w:rsidRPr="00392F78">
        <w:rPr>
          <w:rFonts w:ascii="Times New Roman" w:hAnsi="Times New Roman" w:cs="Times New Roman"/>
          <w:sz w:val="24"/>
          <w:szCs w:val="24"/>
        </w:rPr>
        <w:t>: Analysis reflects a single time point; causal inferences should be made cautiously.</w:t>
      </w:r>
    </w:p>
    <w:p w:rsidR="00392F78" w:rsidRPr="00392F78" w:rsidRDefault="00392F78" w:rsidP="00392F78">
      <w:pPr>
        <w:numPr>
          <w:ilvl w:val="0"/>
          <w:numId w:val="15"/>
        </w:numPr>
        <w:rPr>
          <w:rFonts w:ascii="Times New Roman" w:hAnsi="Times New Roman" w:cs="Times New Roman"/>
          <w:sz w:val="24"/>
          <w:szCs w:val="24"/>
        </w:rPr>
      </w:pPr>
      <w:r w:rsidRPr="00392F78">
        <w:rPr>
          <w:rFonts w:ascii="Times New Roman" w:hAnsi="Times New Roman" w:cs="Times New Roman"/>
          <w:b/>
          <w:bCs/>
          <w:sz w:val="24"/>
          <w:szCs w:val="24"/>
        </w:rPr>
        <w:t>Unobserved Variables</w:t>
      </w:r>
      <w:r w:rsidRPr="00392F78">
        <w:rPr>
          <w:rFonts w:ascii="Times New Roman" w:hAnsi="Times New Roman" w:cs="Times New Roman"/>
          <w:sz w:val="24"/>
          <w:szCs w:val="24"/>
        </w:rPr>
        <w:t>: Factors such as customer satisfaction, brand loyalty, or competitive offerings were not measured and may influence spending.</w:t>
      </w:r>
    </w:p>
    <w:p w:rsidR="00392F78" w:rsidRPr="00392F78" w:rsidRDefault="00392F78" w:rsidP="00392F78">
      <w:pPr>
        <w:numPr>
          <w:ilvl w:val="0"/>
          <w:numId w:val="15"/>
        </w:numPr>
        <w:rPr>
          <w:rFonts w:ascii="Times New Roman" w:hAnsi="Times New Roman" w:cs="Times New Roman"/>
          <w:sz w:val="24"/>
          <w:szCs w:val="24"/>
        </w:rPr>
      </w:pPr>
      <w:r w:rsidRPr="00392F78">
        <w:rPr>
          <w:rFonts w:ascii="Times New Roman" w:hAnsi="Times New Roman" w:cs="Times New Roman"/>
          <w:b/>
          <w:bCs/>
          <w:sz w:val="24"/>
          <w:szCs w:val="24"/>
        </w:rPr>
        <w:t>Generalizability</w:t>
      </w:r>
      <w:r w:rsidRPr="00392F78">
        <w:rPr>
          <w:rFonts w:ascii="Times New Roman" w:hAnsi="Times New Roman" w:cs="Times New Roman"/>
          <w:sz w:val="24"/>
          <w:szCs w:val="24"/>
        </w:rPr>
        <w:t>: Findings apply to the sampled customer base; validation with external datasets is recommended before broad application.</w:t>
      </w:r>
    </w:p>
    <w:p w:rsidR="00392F78" w:rsidRPr="00392F78" w:rsidRDefault="00392F78" w:rsidP="00392F78">
      <w:pPr>
        <w:numPr>
          <w:ilvl w:val="0"/>
          <w:numId w:val="15"/>
        </w:numPr>
        <w:rPr>
          <w:rFonts w:ascii="Times New Roman" w:hAnsi="Times New Roman" w:cs="Times New Roman"/>
          <w:sz w:val="24"/>
          <w:szCs w:val="24"/>
        </w:rPr>
      </w:pPr>
      <w:r w:rsidRPr="00392F78">
        <w:rPr>
          <w:rFonts w:ascii="Times New Roman" w:hAnsi="Times New Roman" w:cs="Times New Roman"/>
          <w:b/>
          <w:bCs/>
          <w:sz w:val="24"/>
          <w:szCs w:val="24"/>
        </w:rPr>
        <w:t>Model Assumptions</w:t>
      </w:r>
      <w:r w:rsidRPr="00392F78">
        <w:rPr>
          <w:rFonts w:ascii="Times New Roman" w:hAnsi="Times New Roman" w:cs="Times New Roman"/>
          <w:sz w:val="24"/>
          <w:szCs w:val="24"/>
        </w:rPr>
        <w:t>: Linear regression assumes additive, linear relationships; non-linear effects or complex interactions may exist but were not modeled.</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pict>
          <v:rect id="_x0000_i1031" style="width:0;height:1.5pt" o:hralign="center" o:hrstd="t" o:hr="t" fillcolor="#a0a0a0" stroked="f"/>
        </w:pict>
      </w:r>
    </w:p>
    <w:p w:rsidR="00392F78" w:rsidRPr="00392F78" w:rsidRDefault="00392F78" w:rsidP="00392F78">
      <w:pPr>
        <w:rPr>
          <w:rFonts w:ascii="Times New Roman" w:hAnsi="Times New Roman" w:cs="Times New Roman"/>
          <w:b/>
          <w:bCs/>
          <w:sz w:val="24"/>
          <w:szCs w:val="24"/>
        </w:rPr>
      </w:pPr>
      <w:r w:rsidRPr="00392F78">
        <w:rPr>
          <w:rFonts w:ascii="Times New Roman" w:hAnsi="Times New Roman" w:cs="Times New Roman"/>
          <w:b/>
          <w:bCs/>
          <w:sz w:val="24"/>
          <w:szCs w:val="24"/>
        </w:rPr>
        <w:t>Conclusion</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sz w:val="24"/>
          <w:szCs w:val="24"/>
        </w:rPr>
        <w:t>This analysis demonstrates that customer annual spending is predominantly driven by income, with minimal influence from demographic or geographic factors. The strong, consistent income-spending relationship provides a reliable foundation for revenue forecasting and segmentation. Meanwhile, the significant spending gap between churned and retained customers highlights a clear opportunity for targeted retention strategies. By focusing resources on income-based personalization, digital experience enhancement, and proactive engagement of at-risk segments, the organization can optimize both revenue growth and customer retention while avoiding ineffective demographic-based differentiation.</w:t>
      </w:r>
    </w:p>
    <w:p w:rsidR="00392F78" w:rsidRPr="00392F78" w:rsidRDefault="00392F78" w:rsidP="00392F78">
      <w:pPr>
        <w:rPr>
          <w:rFonts w:ascii="Times New Roman" w:hAnsi="Times New Roman" w:cs="Times New Roman"/>
          <w:sz w:val="24"/>
          <w:szCs w:val="24"/>
        </w:rPr>
      </w:pPr>
      <w:r w:rsidRPr="00392F78">
        <w:rPr>
          <w:rFonts w:ascii="Times New Roman" w:hAnsi="Times New Roman" w:cs="Times New Roman"/>
          <w:i/>
          <w:iCs/>
          <w:sz w:val="24"/>
          <w:szCs w:val="24"/>
        </w:rPr>
        <w:t>Report generated using R statistical software. All analyses conducted with reproducible code; technical documentation available upon request.</w:t>
      </w:r>
    </w:p>
    <w:p w:rsidR="00965ED9" w:rsidRPr="00392F78" w:rsidRDefault="00965ED9" w:rsidP="00392F78">
      <w:pPr>
        <w:rPr>
          <w:rFonts w:ascii="Times New Roman" w:hAnsi="Times New Roman" w:cs="Times New Roman"/>
          <w:sz w:val="24"/>
          <w:szCs w:val="24"/>
        </w:rPr>
      </w:pPr>
    </w:p>
    <w:sectPr w:rsidR="00965ED9" w:rsidRPr="00392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2654F"/>
    <w:multiLevelType w:val="multilevel"/>
    <w:tmpl w:val="907A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B7FAE"/>
    <w:multiLevelType w:val="multilevel"/>
    <w:tmpl w:val="040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57BF"/>
    <w:multiLevelType w:val="multilevel"/>
    <w:tmpl w:val="1A5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D5735"/>
    <w:multiLevelType w:val="multilevel"/>
    <w:tmpl w:val="933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02934"/>
    <w:multiLevelType w:val="multilevel"/>
    <w:tmpl w:val="C66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23BEA"/>
    <w:multiLevelType w:val="multilevel"/>
    <w:tmpl w:val="A1D6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75DB"/>
    <w:multiLevelType w:val="multilevel"/>
    <w:tmpl w:val="334E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933B6"/>
    <w:multiLevelType w:val="multilevel"/>
    <w:tmpl w:val="1E2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4706D"/>
    <w:multiLevelType w:val="multilevel"/>
    <w:tmpl w:val="8E22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296AEC"/>
    <w:multiLevelType w:val="multilevel"/>
    <w:tmpl w:val="5CB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14C06"/>
    <w:multiLevelType w:val="multilevel"/>
    <w:tmpl w:val="7FEE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402FD2"/>
    <w:multiLevelType w:val="multilevel"/>
    <w:tmpl w:val="8EF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D53E2"/>
    <w:multiLevelType w:val="multilevel"/>
    <w:tmpl w:val="A3D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A5CAC"/>
    <w:multiLevelType w:val="multilevel"/>
    <w:tmpl w:val="139E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F01ED"/>
    <w:multiLevelType w:val="multilevel"/>
    <w:tmpl w:val="038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3"/>
  </w:num>
  <w:num w:numId="4">
    <w:abstractNumId w:val="12"/>
  </w:num>
  <w:num w:numId="5">
    <w:abstractNumId w:val="5"/>
  </w:num>
  <w:num w:numId="6">
    <w:abstractNumId w:val="14"/>
  </w:num>
  <w:num w:numId="7">
    <w:abstractNumId w:val="6"/>
  </w:num>
  <w:num w:numId="8">
    <w:abstractNumId w:val="4"/>
  </w:num>
  <w:num w:numId="9">
    <w:abstractNumId w:val="2"/>
  </w:num>
  <w:num w:numId="10">
    <w:abstractNumId w:val="7"/>
  </w:num>
  <w:num w:numId="11">
    <w:abstractNumId w:val="1"/>
  </w:num>
  <w:num w:numId="12">
    <w:abstractNumId w:val="0"/>
  </w:num>
  <w:num w:numId="13">
    <w:abstractNumId w:val="11"/>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F78"/>
    <w:rsid w:val="00392F78"/>
    <w:rsid w:val="00965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9E9585-7849-45D5-98EE-F56C3F2B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140608">
      <w:bodyDiv w:val="1"/>
      <w:marLeft w:val="0"/>
      <w:marRight w:val="0"/>
      <w:marTop w:val="0"/>
      <w:marBottom w:val="0"/>
      <w:divBdr>
        <w:top w:val="none" w:sz="0" w:space="0" w:color="auto"/>
        <w:left w:val="none" w:sz="0" w:space="0" w:color="auto"/>
        <w:bottom w:val="none" w:sz="0" w:space="0" w:color="auto"/>
        <w:right w:val="none" w:sz="0" w:space="0" w:color="auto"/>
      </w:divBdr>
      <w:divsChild>
        <w:div w:id="330916897">
          <w:marLeft w:val="0"/>
          <w:marRight w:val="0"/>
          <w:marTop w:val="0"/>
          <w:marBottom w:val="0"/>
          <w:divBdr>
            <w:top w:val="single" w:sz="2" w:space="0" w:color="E3E3E3"/>
            <w:left w:val="single" w:sz="2" w:space="0" w:color="E3E3E3"/>
            <w:bottom w:val="single" w:sz="2" w:space="0" w:color="E3E3E3"/>
            <w:right w:val="single" w:sz="2" w:space="0" w:color="E3E3E3"/>
          </w:divBdr>
        </w:div>
        <w:div w:id="1714816352">
          <w:marLeft w:val="0"/>
          <w:marRight w:val="0"/>
          <w:marTop w:val="0"/>
          <w:marBottom w:val="0"/>
          <w:divBdr>
            <w:top w:val="single" w:sz="2" w:space="0" w:color="E3E3E3"/>
            <w:left w:val="single" w:sz="2" w:space="0" w:color="E3E3E3"/>
            <w:bottom w:val="single" w:sz="2" w:space="0" w:color="E3E3E3"/>
            <w:right w:val="single" w:sz="2" w:space="0" w:color="E3E3E3"/>
          </w:divBdr>
        </w:div>
        <w:div w:id="956570630">
          <w:marLeft w:val="0"/>
          <w:marRight w:val="0"/>
          <w:marTop w:val="0"/>
          <w:marBottom w:val="0"/>
          <w:divBdr>
            <w:top w:val="single" w:sz="2" w:space="0" w:color="E3E3E3"/>
            <w:left w:val="single" w:sz="2" w:space="0" w:color="E3E3E3"/>
            <w:bottom w:val="single" w:sz="2" w:space="0" w:color="E3E3E3"/>
            <w:right w:val="single" w:sz="2" w:space="0" w:color="E3E3E3"/>
          </w:divBdr>
        </w:div>
        <w:div w:id="322972641">
          <w:marLeft w:val="0"/>
          <w:marRight w:val="0"/>
          <w:marTop w:val="0"/>
          <w:marBottom w:val="0"/>
          <w:divBdr>
            <w:top w:val="single" w:sz="2" w:space="0" w:color="E3E3E3"/>
            <w:left w:val="single" w:sz="2" w:space="0" w:color="E3E3E3"/>
            <w:bottom w:val="single" w:sz="2" w:space="0" w:color="E3E3E3"/>
            <w:right w:val="single" w:sz="2" w:space="0" w:color="E3E3E3"/>
          </w:divBdr>
        </w:div>
        <w:div w:id="573006882">
          <w:marLeft w:val="0"/>
          <w:marRight w:val="0"/>
          <w:marTop w:val="0"/>
          <w:marBottom w:val="0"/>
          <w:divBdr>
            <w:top w:val="single" w:sz="2" w:space="0" w:color="E3E3E3"/>
            <w:left w:val="single" w:sz="2" w:space="0" w:color="E3E3E3"/>
            <w:bottom w:val="single" w:sz="2" w:space="0" w:color="E3E3E3"/>
            <w:right w:val="single" w:sz="2" w:space="0" w:color="E3E3E3"/>
          </w:divBdr>
        </w:div>
        <w:div w:id="202333058">
          <w:marLeft w:val="0"/>
          <w:marRight w:val="0"/>
          <w:marTop w:val="0"/>
          <w:marBottom w:val="0"/>
          <w:divBdr>
            <w:top w:val="single" w:sz="2" w:space="0" w:color="E3E3E3"/>
            <w:left w:val="single" w:sz="2" w:space="0" w:color="E3E3E3"/>
            <w:bottom w:val="single" w:sz="2" w:space="0" w:color="E3E3E3"/>
            <w:right w:val="single" w:sz="2" w:space="0" w:color="E3E3E3"/>
          </w:divBdr>
        </w:div>
        <w:div w:id="623659656">
          <w:marLeft w:val="0"/>
          <w:marRight w:val="0"/>
          <w:marTop w:val="0"/>
          <w:marBottom w:val="0"/>
          <w:divBdr>
            <w:top w:val="single" w:sz="2" w:space="0" w:color="E3E3E3"/>
            <w:left w:val="single" w:sz="2" w:space="0" w:color="E3E3E3"/>
            <w:bottom w:val="single" w:sz="2" w:space="0" w:color="E3E3E3"/>
            <w:right w:val="single" w:sz="2" w:space="0" w:color="E3E3E3"/>
          </w:divBdr>
        </w:div>
        <w:div w:id="1862550350">
          <w:marLeft w:val="0"/>
          <w:marRight w:val="0"/>
          <w:marTop w:val="0"/>
          <w:marBottom w:val="0"/>
          <w:divBdr>
            <w:top w:val="single" w:sz="2" w:space="0" w:color="E3E3E3"/>
            <w:left w:val="single" w:sz="2" w:space="0" w:color="E3E3E3"/>
            <w:bottom w:val="single" w:sz="2" w:space="0" w:color="E3E3E3"/>
            <w:right w:val="single" w:sz="2" w:space="0" w:color="E3E3E3"/>
          </w:divBdr>
        </w:div>
        <w:div w:id="63991686">
          <w:marLeft w:val="0"/>
          <w:marRight w:val="0"/>
          <w:marTop w:val="0"/>
          <w:marBottom w:val="0"/>
          <w:divBdr>
            <w:top w:val="single" w:sz="2" w:space="0" w:color="E3E3E3"/>
            <w:left w:val="single" w:sz="2" w:space="0" w:color="E3E3E3"/>
            <w:bottom w:val="single" w:sz="2" w:space="0" w:color="E3E3E3"/>
            <w:right w:val="single" w:sz="2" w:space="0" w:color="E3E3E3"/>
          </w:divBdr>
        </w:div>
        <w:div w:id="223837410">
          <w:marLeft w:val="0"/>
          <w:marRight w:val="0"/>
          <w:marTop w:val="0"/>
          <w:marBottom w:val="0"/>
          <w:divBdr>
            <w:top w:val="single" w:sz="2" w:space="0" w:color="E3E3E3"/>
            <w:left w:val="single" w:sz="2" w:space="0" w:color="E3E3E3"/>
            <w:bottom w:val="single" w:sz="2" w:space="0" w:color="E3E3E3"/>
            <w:right w:val="single" w:sz="2" w:space="0" w:color="E3E3E3"/>
          </w:divBdr>
        </w:div>
        <w:div w:id="259610618">
          <w:marLeft w:val="0"/>
          <w:marRight w:val="0"/>
          <w:marTop w:val="0"/>
          <w:marBottom w:val="0"/>
          <w:divBdr>
            <w:top w:val="single" w:sz="2" w:space="0" w:color="E3E3E3"/>
            <w:left w:val="single" w:sz="2" w:space="0" w:color="E3E3E3"/>
            <w:bottom w:val="single" w:sz="2" w:space="0" w:color="E3E3E3"/>
            <w:right w:val="single" w:sz="2" w:space="0" w:color="E3E3E3"/>
          </w:divBdr>
        </w:div>
        <w:div w:id="1705980788">
          <w:marLeft w:val="0"/>
          <w:marRight w:val="0"/>
          <w:marTop w:val="0"/>
          <w:marBottom w:val="0"/>
          <w:divBdr>
            <w:top w:val="single" w:sz="6" w:space="0" w:color="E1E3EA"/>
            <w:left w:val="single" w:sz="6" w:space="0" w:color="E1E3EA"/>
            <w:bottom w:val="single" w:sz="6" w:space="0" w:color="E1E3EA"/>
            <w:right w:val="single" w:sz="6" w:space="0" w:color="E1E3EA"/>
          </w:divBdr>
          <w:divsChild>
            <w:div w:id="1494490540">
              <w:marLeft w:val="0"/>
              <w:marRight w:val="0"/>
              <w:marTop w:val="0"/>
              <w:marBottom w:val="0"/>
              <w:divBdr>
                <w:top w:val="single" w:sz="2" w:space="0" w:color="E3E3E3"/>
                <w:left w:val="single" w:sz="2" w:space="0" w:color="E3E3E3"/>
                <w:bottom w:val="single" w:sz="2" w:space="0" w:color="E3E3E3"/>
                <w:right w:val="single" w:sz="2" w:space="0" w:color="E3E3E3"/>
              </w:divBdr>
              <w:divsChild>
                <w:div w:id="663121084">
                  <w:marLeft w:val="0"/>
                  <w:marRight w:val="0"/>
                  <w:marTop w:val="0"/>
                  <w:marBottom w:val="0"/>
                  <w:divBdr>
                    <w:top w:val="single" w:sz="2" w:space="0" w:color="E3E3E3"/>
                    <w:left w:val="single" w:sz="2" w:space="0" w:color="E3E3E3"/>
                    <w:bottom w:val="single" w:sz="2" w:space="0" w:color="E3E3E3"/>
                    <w:right w:val="single" w:sz="2" w:space="0" w:color="E3E3E3"/>
                  </w:divBdr>
                </w:div>
                <w:div w:id="259145357">
                  <w:marLeft w:val="0"/>
                  <w:marRight w:val="0"/>
                  <w:marTop w:val="0"/>
                  <w:marBottom w:val="0"/>
                  <w:divBdr>
                    <w:top w:val="single" w:sz="2" w:space="0" w:color="E3E3E3"/>
                    <w:left w:val="single" w:sz="2" w:space="0" w:color="E3E3E3"/>
                    <w:bottom w:val="single" w:sz="2" w:space="0" w:color="E3E3E3"/>
                    <w:right w:val="single" w:sz="2" w:space="0" w:color="E3E3E3"/>
                  </w:divBdr>
                </w:div>
                <w:div w:id="1344630175">
                  <w:marLeft w:val="0"/>
                  <w:marRight w:val="0"/>
                  <w:marTop w:val="0"/>
                  <w:marBottom w:val="0"/>
                  <w:divBdr>
                    <w:top w:val="single" w:sz="2" w:space="0" w:color="E3E3E3"/>
                    <w:left w:val="single" w:sz="2" w:space="0" w:color="E3E3E3"/>
                    <w:bottom w:val="single" w:sz="2" w:space="0" w:color="E3E3E3"/>
                    <w:right w:val="single" w:sz="2" w:space="0" w:color="E3E3E3"/>
                  </w:divBdr>
                </w:div>
                <w:div w:id="290789038">
                  <w:marLeft w:val="0"/>
                  <w:marRight w:val="0"/>
                  <w:marTop w:val="0"/>
                  <w:marBottom w:val="0"/>
                  <w:divBdr>
                    <w:top w:val="single" w:sz="2" w:space="0" w:color="E3E3E3"/>
                    <w:left w:val="single" w:sz="2" w:space="0" w:color="E3E3E3"/>
                    <w:bottom w:val="single" w:sz="2" w:space="0" w:color="E3E3E3"/>
                    <w:right w:val="single" w:sz="2" w:space="0" w:color="E3E3E3"/>
                  </w:divBdr>
                </w:div>
                <w:div w:id="381368386">
                  <w:marLeft w:val="0"/>
                  <w:marRight w:val="0"/>
                  <w:marTop w:val="0"/>
                  <w:marBottom w:val="0"/>
                  <w:divBdr>
                    <w:top w:val="single" w:sz="2" w:space="0" w:color="E3E3E3"/>
                    <w:left w:val="single" w:sz="2" w:space="0" w:color="E3E3E3"/>
                    <w:bottom w:val="single" w:sz="2" w:space="0" w:color="E3E3E3"/>
                    <w:right w:val="single" w:sz="2" w:space="0" w:color="E3E3E3"/>
                  </w:divBdr>
                </w:div>
                <w:div w:id="1322932059">
                  <w:marLeft w:val="0"/>
                  <w:marRight w:val="0"/>
                  <w:marTop w:val="0"/>
                  <w:marBottom w:val="0"/>
                  <w:divBdr>
                    <w:top w:val="single" w:sz="2" w:space="0" w:color="E3E3E3"/>
                    <w:left w:val="single" w:sz="2" w:space="0" w:color="E3E3E3"/>
                    <w:bottom w:val="single" w:sz="2" w:space="0" w:color="E3E3E3"/>
                    <w:right w:val="single" w:sz="2" w:space="0" w:color="E3E3E3"/>
                  </w:divBdr>
                </w:div>
                <w:div w:id="1389845459">
                  <w:marLeft w:val="0"/>
                  <w:marRight w:val="0"/>
                  <w:marTop w:val="0"/>
                  <w:marBottom w:val="0"/>
                  <w:divBdr>
                    <w:top w:val="single" w:sz="2" w:space="0" w:color="E3E3E3"/>
                    <w:left w:val="single" w:sz="2" w:space="0" w:color="E3E3E3"/>
                    <w:bottom w:val="single" w:sz="2" w:space="0" w:color="E3E3E3"/>
                    <w:right w:val="single" w:sz="2" w:space="0" w:color="E3E3E3"/>
                  </w:divBdr>
                </w:div>
                <w:div w:id="1310330664">
                  <w:marLeft w:val="0"/>
                  <w:marRight w:val="0"/>
                  <w:marTop w:val="0"/>
                  <w:marBottom w:val="0"/>
                  <w:divBdr>
                    <w:top w:val="single" w:sz="2" w:space="0" w:color="E3E3E3"/>
                    <w:left w:val="single" w:sz="2" w:space="0" w:color="E3E3E3"/>
                    <w:bottom w:val="single" w:sz="2" w:space="0" w:color="E3E3E3"/>
                    <w:right w:val="single" w:sz="2" w:space="0" w:color="E3E3E3"/>
                  </w:divBdr>
                </w:div>
                <w:div w:id="2109544610">
                  <w:marLeft w:val="0"/>
                  <w:marRight w:val="0"/>
                  <w:marTop w:val="0"/>
                  <w:marBottom w:val="0"/>
                  <w:divBdr>
                    <w:top w:val="single" w:sz="2" w:space="0" w:color="E3E3E3"/>
                    <w:left w:val="single" w:sz="2" w:space="0" w:color="E3E3E3"/>
                    <w:bottom w:val="single" w:sz="2" w:space="0" w:color="E3E3E3"/>
                    <w:right w:val="single" w:sz="2" w:space="0" w:color="E3E3E3"/>
                  </w:divBdr>
                </w:div>
                <w:div w:id="469439880">
                  <w:marLeft w:val="0"/>
                  <w:marRight w:val="0"/>
                  <w:marTop w:val="0"/>
                  <w:marBottom w:val="0"/>
                  <w:divBdr>
                    <w:top w:val="single" w:sz="2" w:space="0" w:color="E3E3E3"/>
                    <w:left w:val="single" w:sz="2" w:space="0" w:color="E3E3E3"/>
                    <w:bottom w:val="single" w:sz="2" w:space="0" w:color="E3E3E3"/>
                    <w:right w:val="single" w:sz="2" w:space="0" w:color="E3E3E3"/>
                  </w:divBdr>
                </w:div>
                <w:div w:id="487862581">
                  <w:marLeft w:val="0"/>
                  <w:marRight w:val="0"/>
                  <w:marTop w:val="0"/>
                  <w:marBottom w:val="0"/>
                  <w:divBdr>
                    <w:top w:val="single" w:sz="2" w:space="0" w:color="E3E3E3"/>
                    <w:left w:val="single" w:sz="2" w:space="0" w:color="E3E3E3"/>
                    <w:bottom w:val="single" w:sz="2" w:space="0" w:color="E3E3E3"/>
                    <w:right w:val="single" w:sz="2" w:space="0" w:color="E3E3E3"/>
                  </w:divBdr>
                </w:div>
                <w:div w:id="1118253929">
                  <w:marLeft w:val="0"/>
                  <w:marRight w:val="0"/>
                  <w:marTop w:val="0"/>
                  <w:marBottom w:val="0"/>
                  <w:divBdr>
                    <w:top w:val="single" w:sz="2" w:space="0" w:color="E3E3E3"/>
                    <w:left w:val="single" w:sz="2" w:space="0" w:color="E3E3E3"/>
                    <w:bottom w:val="single" w:sz="2" w:space="0" w:color="E3E3E3"/>
                    <w:right w:val="single" w:sz="2" w:space="0" w:color="E3E3E3"/>
                  </w:divBdr>
                </w:div>
                <w:div w:id="1801532055">
                  <w:marLeft w:val="0"/>
                  <w:marRight w:val="0"/>
                  <w:marTop w:val="0"/>
                  <w:marBottom w:val="0"/>
                  <w:divBdr>
                    <w:top w:val="single" w:sz="2" w:space="0" w:color="E3E3E3"/>
                    <w:left w:val="single" w:sz="2" w:space="0" w:color="E3E3E3"/>
                    <w:bottom w:val="single" w:sz="2" w:space="0" w:color="E3E3E3"/>
                    <w:right w:val="single" w:sz="2" w:space="0" w:color="E3E3E3"/>
                  </w:divBdr>
                </w:div>
                <w:div w:id="1549145132">
                  <w:marLeft w:val="0"/>
                  <w:marRight w:val="0"/>
                  <w:marTop w:val="0"/>
                  <w:marBottom w:val="0"/>
                  <w:divBdr>
                    <w:top w:val="single" w:sz="2" w:space="0" w:color="E3E3E3"/>
                    <w:left w:val="single" w:sz="2" w:space="0" w:color="E3E3E3"/>
                    <w:bottom w:val="single" w:sz="2" w:space="0" w:color="E3E3E3"/>
                    <w:right w:val="single" w:sz="2" w:space="0" w:color="E3E3E3"/>
                  </w:divBdr>
                </w:div>
                <w:div w:id="1622027977">
                  <w:marLeft w:val="0"/>
                  <w:marRight w:val="0"/>
                  <w:marTop w:val="0"/>
                  <w:marBottom w:val="0"/>
                  <w:divBdr>
                    <w:top w:val="single" w:sz="2" w:space="0" w:color="E3E3E3"/>
                    <w:left w:val="single" w:sz="2" w:space="0" w:color="E3E3E3"/>
                    <w:bottom w:val="single" w:sz="2" w:space="0" w:color="E3E3E3"/>
                    <w:right w:val="single" w:sz="2" w:space="0" w:color="E3E3E3"/>
                  </w:divBdr>
                </w:div>
                <w:div w:id="1732658810">
                  <w:marLeft w:val="0"/>
                  <w:marRight w:val="0"/>
                  <w:marTop w:val="0"/>
                  <w:marBottom w:val="0"/>
                  <w:divBdr>
                    <w:top w:val="single" w:sz="2" w:space="0" w:color="E3E3E3"/>
                    <w:left w:val="single" w:sz="2" w:space="0" w:color="E3E3E3"/>
                    <w:bottom w:val="single" w:sz="2" w:space="0" w:color="E3E3E3"/>
                    <w:right w:val="single" w:sz="2" w:space="0" w:color="E3E3E3"/>
                  </w:divBdr>
                </w:div>
                <w:div w:id="1390957673">
                  <w:marLeft w:val="0"/>
                  <w:marRight w:val="0"/>
                  <w:marTop w:val="0"/>
                  <w:marBottom w:val="0"/>
                  <w:divBdr>
                    <w:top w:val="single" w:sz="2" w:space="0" w:color="E3E3E3"/>
                    <w:left w:val="single" w:sz="2" w:space="0" w:color="E3E3E3"/>
                    <w:bottom w:val="single" w:sz="2" w:space="0" w:color="E3E3E3"/>
                    <w:right w:val="single" w:sz="2" w:space="0" w:color="E3E3E3"/>
                  </w:divBdr>
                </w:div>
                <w:div w:id="1921595743">
                  <w:marLeft w:val="0"/>
                  <w:marRight w:val="0"/>
                  <w:marTop w:val="0"/>
                  <w:marBottom w:val="0"/>
                  <w:divBdr>
                    <w:top w:val="single" w:sz="2" w:space="0" w:color="E3E3E3"/>
                    <w:left w:val="single" w:sz="2" w:space="0" w:color="E3E3E3"/>
                    <w:bottom w:val="single" w:sz="2" w:space="0" w:color="E3E3E3"/>
                    <w:right w:val="single" w:sz="2" w:space="0" w:color="E3E3E3"/>
                  </w:divBdr>
                </w:div>
                <w:div w:id="73360318">
                  <w:marLeft w:val="0"/>
                  <w:marRight w:val="0"/>
                  <w:marTop w:val="0"/>
                  <w:marBottom w:val="0"/>
                  <w:divBdr>
                    <w:top w:val="single" w:sz="2" w:space="0" w:color="E3E3E3"/>
                    <w:left w:val="single" w:sz="2" w:space="0" w:color="E3E3E3"/>
                    <w:bottom w:val="single" w:sz="2" w:space="0" w:color="E3E3E3"/>
                    <w:right w:val="single" w:sz="2" w:space="0" w:color="E3E3E3"/>
                  </w:divBdr>
                </w:div>
                <w:div w:id="467094348">
                  <w:marLeft w:val="0"/>
                  <w:marRight w:val="0"/>
                  <w:marTop w:val="0"/>
                  <w:marBottom w:val="0"/>
                  <w:divBdr>
                    <w:top w:val="single" w:sz="2" w:space="0" w:color="E3E3E3"/>
                    <w:left w:val="single" w:sz="2" w:space="0" w:color="E3E3E3"/>
                    <w:bottom w:val="single" w:sz="2" w:space="0" w:color="E3E3E3"/>
                    <w:right w:val="single" w:sz="2" w:space="0" w:color="E3E3E3"/>
                  </w:divBdr>
                </w:div>
                <w:div w:id="1060177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8197380">
          <w:marLeft w:val="0"/>
          <w:marRight w:val="0"/>
          <w:marTop w:val="0"/>
          <w:marBottom w:val="0"/>
          <w:divBdr>
            <w:top w:val="single" w:sz="2" w:space="0" w:color="E3E3E3"/>
            <w:left w:val="single" w:sz="2" w:space="0" w:color="E3E3E3"/>
            <w:bottom w:val="single" w:sz="2" w:space="0" w:color="E3E3E3"/>
            <w:right w:val="single" w:sz="2" w:space="0" w:color="E3E3E3"/>
          </w:divBdr>
        </w:div>
        <w:div w:id="1497651731">
          <w:marLeft w:val="0"/>
          <w:marRight w:val="0"/>
          <w:marTop w:val="0"/>
          <w:marBottom w:val="0"/>
          <w:divBdr>
            <w:top w:val="single" w:sz="2" w:space="0" w:color="E3E3E3"/>
            <w:left w:val="single" w:sz="2" w:space="0" w:color="E3E3E3"/>
            <w:bottom w:val="single" w:sz="2" w:space="0" w:color="E3E3E3"/>
            <w:right w:val="single" w:sz="2" w:space="0" w:color="E3E3E3"/>
          </w:divBdr>
        </w:div>
        <w:div w:id="161287102">
          <w:marLeft w:val="0"/>
          <w:marRight w:val="0"/>
          <w:marTop w:val="0"/>
          <w:marBottom w:val="0"/>
          <w:divBdr>
            <w:top w:val="single" w:sz="2" w:space="0" w:color="E3E3E3"/>
            <w:left w:val="single" w:sz="2" w:space="0" w:color="E3E3E3"/>
            <w:bottom w:val="single" w:sz="2" w:space="0" w:color="E3E3E3"/>
            <w:right w:val="single" w:sz="2" w:space="0" w:color="E3E3E3"/>
          </w:divBdr>
        </w:div>
        <w:div w:id="4477992">
          <w:marLeft w:val="0"/>
          <w:marRight w:val="0"/>
          <w:marTop w:val="0"/>
          <w:marBottom w:val="0"/>
          <w:divBdr>
            <w:top w:val="single" w:sz="2" w:space="0" w:color="E3E3E3"/>
            <w:left w:val="single" w:sz="2" w:space="0" w:color="E3E3E3"/>
            <w:bottom w:val="single" w:sz="2" w:space="0" w:color="E3E3E3"/>
            <w:right w:val="single" w:sz="2" w:space="0" w:color="E3E3E3"/>
          </w:divBdr>
        </w:div>
        <w:div w:id="1539850522">
          <w:marLeft w:val="0"/>
          <w:marRight w:val="0"/>
          <w:marTop w:val="0"/>
          <w:marBottom w:val="0"/>
          <w:divBdr>
            <w:top w:val="single" w:sz="2" w:space="0" w:color="E3E3E3"/>
            <w:left w:val="single" w:sz="2" w:space="0" w:color="E3E3E3"/>
            <w:bottom w:val="single" w:sz="2" w:space="0" w:color="E3E3E3"/>
            <w:right w:val="single" w:sz="2" w:space="0" w:color="E3E3E3"/>
          </w:divBdr>
        </w:div>
        <w:div w:id="1942881097">
          <w:marLeft w:val="0"/>
          <w:marRight w:val="0"/>
          <w:marTop w:val="0"/>
          <w:marBottom w:val="0"/>
          <w:divBdr>
            <w:top w:val="single" w:sz="2" w:space="0" w:color="E3E3E3"/>
            <w:left w:val="single" w:sz="2" w:space="0" w:color="E3E3E3"/>
            <w:bottom w:val="single" w:sz="2" w:space="0" w:color="E3E3E3"/>
            <w:right w:val="single" w:sz="2" w:space="0" w:color="E3E3E3"/>
          </w:divBdr>
        </w:div>
        <w:div w:id="1862281754">
          <w:marLeft w:val="0"/>
          <w:marRight w:val="0"/>
          <w:marTop w:val="0"/>
          <w:marBottom w:val="0"/>
          <w:divBdr>
            <w:top w:val="single" w:sz="2" w:space="0" w:color="E3E3E3"/>
            <w:left w:val="single" w:sz="2" w:space="0" w:color="E3E3E3"/>
            <w:bottom w:val="single" w:sz="2" w:space="0" w:color="E3E3E3"/>
            <w:right w:val="single" w:sz="2" w:space="0" w:color="E3E3E3"/>
          </w:divBdr>
        </w:div>
        <w:div w:id="785737798">
          <w:marLeft w:val="0"/>
          <w:marRight w:val="0"/>
          <w:marTop w:val="0"/>
          <w:marBottom w:val="0"/>
          <w:divBdr>
            <w:top w:val="single" w:sz="2" w:space="0" w:color="E3E3E3"/>
            <w:left w:val="single" w:sz="2" w:space="0" w:color="E3E3E3"/>
            <w:bottom w:val="single" w:sz="2" w:space="0" w:color="E3E3E3"/>
            <w:right w:val="single" w:sz="2" w:space="0" w:color="E3E3E3"/>
          </w:divBdr>
        </w:div>
        <w:div w:id="1833444158">
          <w:marLeft w:val="0"/>
          <w:marRight w:val="0"/>
          <w:marTop w:val="0"/>
          <w:marBottom w:val="0"/>
          <w:divBdr>
            <w:top w:val="single" w:sz="2" w:space="0" w:color="E3E3E3"/>
            <w:left w:val="single" w:sz="2" w:space="0" w:color="E3E3E3"/>
            <w:bottom w:val="single" w:sz="2" w:space="0" w:color="E3E3E3"/>
            <w:right w:val="single" w:sz="2" w:space="0" w:color="E3E3E3"/>
          </w:divBdr>
        </w:div>
        <w:div w:id="469712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1756</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optimalfamilylimited@gmail.com</dc:creator>
  <cp:keywords/>
  <dc:description/>
  <cp:lastModifiedBy>optimalfamilylimited@gmail.com</cp:lastModifiedBy>
  <cp:revision>1</cp:revision>
  <dcterms:created xsi:type="dcterms:W3CDTF">2026-03-29T15:56:00Z</dcterms:created>
  <dcterms:modified xsi:type="dcterms:W3CDTF">2026-03-29T15:58:00Z</dcterms:modified>
</cp:coreProperties>
</file>