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120" w:line="320" w:lineRule="auto"/>
        <w:jc w:val="center"/>
      </w:pPr>
      <w:r>
        <w:t xml:space="preserve">ChemTrack 演讲稿</w:t>
      </w:r>
    </w:p>
    <w:p>
      <w:pPr>
        <w:pStyle w:val="Subtitle"/>
        <w:spacing w:before="0" w:after="70" w:line="300" w:lineRule="auto"/>
        <w:jc w:val="center"/>
      </w:pPr>
      <w:r>
        <w:t xml:space="preserve">软件工程课程设计汇报</w:t>
      </w:r>
    </w:p>
    <w:p>
      <w:pPr>
        <w:pStyle w:val="Subtitle"/>
        <w:spacing w:before="0" w:after="420" w:line="300" w:lineRule="auto"/>
        <w:jc w:val="center"/>
      </w:pPr>
      <w:r>
        <w:t xml:space="preserve">依据《ChemTrack_可行性与需求规格说明书汇报》整理</w:t>
      </w:r>
    </w:p>
    <w:tbl>
      <w:tblPr>
        <w:tblW w:w="9000" w:type="dxa"/>
        <w:tblBorders>
          <w:top w:val="single" w:sz="6" w:color="B7CCC6"/>
          <w:left w:val="single" w:sz="6" w:color="B7CCC6"/>
          <w:bottom w:val="single" w:sz="6" w:color="B7CCC6"/>
          <w:right w:val="single" w:sz="6" w:color="B7CCC6"/>
          <w:insideH w:val="single" w:sz="4" w:color="D8E5E1"/>
          <w:insideV w:val="single" w:sz="4" w:color="D8E5E1"/>
        </w:tblBorders>
      </w:tblPr>
      <w:tblGrid>
        <w:gridCol w:w="1800"/>
        <w:gridCol w:w="7200"/>
      </w:tblGrid>
      <w:tr>
        <w:tc>
          <w:tcPr>
            <w:tcW w:w="1800" w:type="dxa"/>
            <w:shd w:fill="E8F3EF"/>
          </w:tcPr>
          <w:p>
            <w:pPr>
              <w:pStyle w:val="TableText"/>
              <w:spacing w:after="60" w:line="260" w:lineRule="auto"/>
            </w:pPr>
            <w:r>
              <w:rPr>
                <w:b/>
                <w:color w:val="123A35"/>
              </w:rPr>
              <w:t xml:space="preserve">项目</w:t>
            </w:r>
          </w:p>
        </w:tc>
        <w:tc>
          <w:tcPr>
            <w:tcW w:w="7200" w:type="dxa"/>
            <w:shd w:fill="E8F3EF"/>
          </w:tcPr>
          <w:p>
            <w:pPr>
              <w:pStyle w:val="TableText"/>
              <w:spacing w:after="60" w:line="260" w:lineRule="auto"/>
            </w:pPr>
            <w:r>
              <w:rPr>
                <w:b/>
                <w:color w:val="123A35"/>
              </w:rPr>
              <w:t xml:space="preserve">校园实验室危化品全生命周期管理系统</w:t>
            </w:r>
          </w:p>
        </w:tc>
      </w:tr>
      <w:tr>
        <w:tc>
          <w:tcPr>
            <w:tcW w:w="1800" w:type="dxa"/>
            <w:shd w:fill="FFFFFF"/>
          </w:tcPr>
          <w:p>
            <w:pPr>
              <w:pStyle w:val="TableText"/>
              <w:spacing w:after="60" w:line="260" w:lineRule="auto"/>
            </w:pPr>
            <w:r>
              <w:t xml:space="preserve">预计时长</w:t>
            </w:r>
          </w:p>
        </w:tc>
        <w:tc>
          <w:tcPr>
            <w:tcW w:w="7200" w:type="dxa"/>
            <w:shd w:fill="FFFFFF"/>
          </w:tcPr>
          <w:p>
            <w:pPr>
              <w:pStyle w:val="TableText"/>
              <w:spacing w:after="60" w:line="260" w:lineRule="auto"/>
            </w:pPr>
            <w:r>
              <w:t xml:space="preserve">约 10 分钟（含系统演示）</w:t>
            </w:r>
          </w:p>
        </w:tc>
      </w:tr>
      <w:tr>
        <w:tc>
          <w:tcPr>
            <w:tcW w:w="1800" w:type="dxa"/>
            <w:shd w:fill="FFFFFF"/>
          </w:tcPr>
          <w:p>
            <w:pPr>
              <w:pStyle w:val="TableText"/>
              <w:spacing w:after="60" w:line="260" w:lineRule="auto"/>
            </w:pPr>
            <w:r>
              <w:t xml:space="preserve">汇报主线</w:t>
            </w:r>
          </w:p>
        </w:tc>
        <w:tc>
          <w:tcPr>
            <w:tcW w:w="7200" w:type="dxa"/>
            <w:shd w:fill="FFFFFF"/>
          </w:tcPr>
          <w:p>
            <w:pPr>
              <w:pStyle w:val="TableText"/>
              <w:spacing w:after="60" w:line="260" w:lineRule="auto"/>
            </w:pPr>
            <w:r>
              <w:t xml:space="preserve">问题 → 可行性 → 需求 → 模型 → 实现</w:t>
            </w:r>
          </w:p>
        </w:tc>
      </w:tr>
      <w:tr>
        <w:tc>
          <w:tcPr>
            <w:tcW w:w="1800" w:type="dxa"/>
            <w:shd w:fill="FFFFFF"/>
          </w:tcPr>
          <w:p>
            <w:pPr>
              <w:pStyle w:val="TableText"/>
              <w:spacing w:after="60" w:line="260" w:lineRule="auto"/>
            </w:pPr>
            <w:r>
              <w:t xml:space="preserve">演讲重点</w:t>
            </w:r>
          </w:p>
        </w:tc>
        <w:tc>
          <w:tcPr>
            <w:tcW w:w="7200" w:type="dxa"/>
            <w:shd w:fill="FFFFFF"/>
          </w:tcPr>
          <w:p>
            <w:pPr>
              <w:pStyle w:val="TableText"/>
              <w:spacing w:after="60" w:line="260" w:lineRule="auto"/>
            </w:pPr>
            <w:r>
              <w:t xml:space="preserve">状态、责任、库存变化与审计证据</w:t>
            </w:r>
          </w:p>
        </w:tc>
      </w:tr>
    </w:tbl>
    <w:p>
      <w:pPr>
        <w:pStyle w:val="Heading2"/>
        <w:spacing w:before="360" w:after="100" w:line="320" w:lineRule="auto"/>
        <w:keepNext/>
      </w:pPr>
      <w:r>
        <w:t xml:space="preserve">使用说明</w:t>
      </w:r>
    </w:p>
    <w:p>
      <w:pPr>
        <w:pStyle w:val="Normal"/>
        <w:spacing w:before="0" w:after="180" w:line="320" w:lineRule="auto"/>
      </w:pPr>
      <w:r>
        <w:t xml:space="preserve">每个“第 X 页”对应 PPT 的一页。正文可直接照读；“切页提示”用于提醒讲解重点和系统操作，不需要在台上逐字朗读。演示时以 PPT 第 10 页的业务顺序为准。</w:t>
      </w:r>
    </w:p>
    <w:p>
      <w:pPr>
        <w:pStyle w:val="Quote"/>
        <w:spacing w:after="220" w:line="320" w:lineRule="auto"/>
      </w:pPr>
      <w:r>
        <w:rPr>
          <w:b/>
          <w:color w:val="2C7566"/>
        </w:rPr>
        <w:t xml:space="preserve">开场建议：</w:t>
      </w:r>
      <w:r>
        <w:t xml:space="preserve">先用一句话说明系统价值，再进入问题定义，不要一开始就介绍技术栈。</w:t>
      </w:r>
    </w:p>
    <w:p>
      <w:r>
        <w:br w:type="page"/>
      </w:r>
    </w:p>
    <w:p>
      <w:pPr>
        <w:pStyle w:val="Heading1"/>
        <w:spacing w:before="0" w:after="120" w:line="320" w:lineRule="auto"/>
        <w:keepNext/>
      </w:pPr>
      <w:r>
        <w:t xml:space="preserve">01｜开场：把危化品管理变成一条可追溯责任链</w:t>
      </w:r>
    </w:p>
    <w:p>
      <w:pPr>
        <w:pStyle w:val="Caption"/>
        <w:spacing w:before="0" w:after="100" w:line="320" w:lineRule="auto"/>
      </w:pPr>
      <w:r>
        <w:t xml:space="preserve">预计时长：35 秒</w:t>
      </w:r>
    </w:p>
    <w:p>
      <w:pPr>
        <w:pStyle w:val="Heading2"/>
        <w:spacing w:before="80" w:after="80" w:line="320" w:lineRule="auto"/>
        <w:keepNext/>
      </w:pPr>
      <w:r>
        <w:t xml:space="preserve">演讲正文</w:t>
      </w:r>
    </w:p>
    <w:p>
      <w:pPr>
        <w:pStyle w:val="Normal"/>
        <w:spacing w:before="0" w:after="150" w:line="340" w:lineRule="auto"/>
      </w:pPr>
      <w:r>
        <w:t xml:space="preserve">这一页先说明我们为什么做 ChemTrack。它不是一个只展示库存数量的页面，而是一套面向校园实验室的危化品全生命周期管理系统。我们把采购、库存、领用、使用、处置和审计串成一条责任链。</w:t>
      </w:r>
    </w:p>
    <w:p>
      <w:pPr>
        <w:pStyle w:val="Normal"/>
        <w:spacing w:before="0" w:after="150" w:line="340" w:lineRule="auto"/>
      </w:pPr>
      <w:r>
        <w:t xml:space="preserve">对每一次关键动作，系统都希望回答四个问题：谁在什么状态下做了什么，库存因此发生了什么变化，以及这次动作留下了什么证据。当前项目已经完成可运行 MVP，接下来我会从问题、可行性、需求、模型和实现五个方面展开。</w:t>
      </w:r>
    </w:p>
    <w:p>
      <w:pPr>
        <w:pStyle w:val="Heading2"/>
        <w:spacing w:before="180" w:after="80" w:line="320" w:lineRule="auto"/>
        <w:keepNext/>
      </w:pPr>
      <w:r>
        <w:t xml:space="preserve">演示 / 切页提示</w:t>
      </w:r>
    </w:p>
    <w:p>
      <w:pPr>
        <w:pStyle w:val="Quote"/>
        <w:spacing w:after="100" w:line="300" w:lineRule="auto"/>
      </w:pPr>
      <w:r>
        <w:rPr>
          <w:b/>
          <w:color w:val="C37B2B"/>
        </w:rPr>
        <w:t xml:space="preserve">提示：</w:t>
      </w:r>
      <w:r>
        <w:t xml:space="preserve">切页提示：指向右侧的采购—库存—领用—使用—处置—审计链条，强调“全生命周期”和“责任证据”。</w:t>
      </w:r>
    </w:p>
    <w:p>
      <w:r>
        <w:br w:type="page"/>
      </w:r>
    </w:p>
    <w:p>
      <w:pPr>
        <w:pStyle w:val="Heading1"/>
        <w:spacing w:before="0" w:after="120" w:line="320" w:lineRule="auto"/>
        <w:keepNext/>
      </w:pPr>
      <w:r>
        <w:t xml:space="preserve">02｜问题定义：责任链断裂比功能不足更危险</w:t>
      </w:r>
    </w:p>
    <w:p>
      <w:pPr>
        <w:pStyle w:val="Caption"/>
        <w:spacing w:before="0" w:after="100" w:line="320" w:lineRule="auto"/>
      </w:pPr>
      <w:r>
        <w:t xml:space="preserve">预计时长：50 秒</w:t>
      </w:r>
    </w:p>
    <w:p>
      <w:pPr>
        <w:pStyle w:val="Heading2"/>
        <w:spacing w:before="80" w:after="80" w:line="320" w:lineRule="auto"/>
        <w:keepNext/>
      </w:pPr>
      <w:r>
        <w:t xml:space="preserve">演讲正文</w:t>
      </w:r>
    </w:p>
    <w:p>
      <w:pPr>
        <w:pStyle w:val="Normal"/>
        <w:spacing w:before="0" w:after="150" w:line="340" w:lineRule="auto"/>
      </w:pPr>
      <w:r>
        <w:t xml:space="preserve">危化品管理真正的风险，往往不是系统少了一个按钮，而是信息在角色和状态之间断开了。现实中，采购、库存和领用可能分别记录；教师审批、管理员复核和学生使用之间也可能依赖口头确认；一旦发生过期、库存不足或异常处置，就很难还原完整过程。</w:t>
      </w:r>
    </w:p>
    <w:p>
      <w:pPr>
        <w:pStyle w:val="Normal"/>
        <w:spacing w:before="0" w:after="150" w:line="340" w:lineRule="auto"/>
      </w:pPr>
      <w:r>
        <w:t xml:space="preserve">因此，ChemTrack 的目标不是简单地把纸质台账搬到网页上，而是建立一套统一台账、分级审批和闭环留痕机制。每一批危化品都应该能够回答：它从哪里来、谁批准过、谁使用过、还剩多少，以及最后如何处置。</w:t>
      </w:r>
    </w:p>
    <w:p>
      <w:pPr>
        <w:pStyle w:val="Heading2"/>
        <w:spacing w:before="180" w:after="80" w:line="320" w:lineRule="auto"/>
        <w:keepNext/>
      </w:pPr>
      <w:r>
        <w:t xml:space="preserve">演示 / 切页提示</w:t>
      </w:r>
    </w:p>
    <w:p>
      <w:pPr>
        <w:pStyle w:val="Quote"/>
        <w:spacing w:after="100" w:line="300" w:lineRule="auto"/>
      </w:pPr>
      <w:r>
        <w:rPr>
          <w:b/>
          <w:color w:val="C37B2B"/>
        </w:rPr>
        <w:t xml:space="preserve">提示：</w:t>
      </w:r>
      <w:r>
        <w:t xml:space="preserve">切页提示：先讲左侧三个断点，再讲右侧三个系统目标，最后落到“每一批都能回答五个问题”。</w:t>
      </w:r>
    </w:p>
    <w:p>
      <w:r>
        <w:br w:type="page"/>
      </w:r>
    </w:p>
    <w:p>
      <w:pPr>
        <w:pStyle w:val="Heading1"/>
        <w:spacing w:before="0" w:after="120" w:line="320" w:lineRule="auto"/>
        <w:keepNext/>
      </w:pPr>
      <w:r>
        <w:t xml:space="preserve">03｜可行性：MVP 先落地，再扩展治理能力</w:t>
      </w:r>
    </w:p>
    <w:p>
      <w:pPr>
        <w:pStyle w:val="Caption"/>
        <w:spacing w:before="0" w:after="100" w:line="320" w:lineRule="auto"/>
      </w:pPr>
      <w:r>
        <w:t xml:space="preserve">预计时长：50 秒</w:t>
      </w:r>
    </w:p>
    <w:p>
      <w:pPr>
        <w:pStyle w:val="Heading2"/>
        <w:spacing w:before="80" w:after="80" w:line="320" w:lineRule="auto"/>
        <w:keepNext/>
      </w:pPr>
      <w:r>
        <w:t xml:space="preserve">演讲正文</w:t>
      </w:r>
    </w:p>
    <w:p>
      <w:pPr>
        <w:pStyle w:val="Normal"/>
        <w:spacing w:before="0" w:after="150" w:line="340" w:lineRule="auto"/>
      </w:pPr>
      <w:r>
        <w:t xml:space="preserve">从可行性来看，我们把判断拆成四个维度。第一，经济上复用 Spring Boot、Vue 和 MySQL 等现有技术栈，校园服务器部署，软件采购成本可控。第二，技术上已经跑通 Java 17、Spring Boot 3.4、Vue 3、Vite 和 MySQL 8 的组合，事务、预警和审计都有实现基础。</w:t>
      </w:r>
    </w:p>
    <w:p>
      <w:pPr>
        <w:pStyle w:val="Normal"/>
        <w:spacing w:before="0" w:after="150" w:line="340" w:lineRule="auto"/>
      </w:pPr>
      <w:r>
        <w:t xml:space="preserve">第三，操作上按学生、教师和管理员划分路径，页面按照采购、领用、风险和处置组织，学习成本相对清晰。第四，社会和法律方向上，系统能够支持台账、审批、最小权限和留痕，但具体法律适用和学校制度口径仍需要安全管理部门复核。综合判断是：现在可以做、可以演示、可以验收，治理能力再逐步扩展。</w:t>
      </w:r>
    </w:p>
    <w:p>
      <w:pPr>
        <w:pStyle w:val="Heading2"/>
        <w:spacing w:before="180" w:after="80" w:line="320" w:lineRule="auto"/>
        <w:keepNext/>
      </w:pPr>
      <w:r>
        <w:t xml:space="preserve">演示 / 切页提示</w:t>
      </w:r>
    </w:p>
    <w:p>
      <w:pPr>
        <w:pStyle w:val="Quote"/>
        <w:spacing w:after="100" w:line="300" w:lineRule="auto"/>
      </w:pPr>
      <w:r>
        <w:rPr>
          <w:b/>
          <w:color w:val="C37B2B"/>
        </w:rPr>
        <w:t xml:space="preserve">提示：</w:t>
      </w:r>
      <w:r>
        <w:t xml:space="preserve">切页提示：讲到法律时明确“方向可行，但制度必须复核”，体现项目边界意识。</w:t>
      </w:r>
    </w:p>
    <w:p>
      <w:r>
        <w:br w:type="page"/>
      </w:r>
    </w:p>
    <w:p>
      <w:pPr>
        <w:pStyle w:val="Heading1"/>
        <w:spacing w:before="0" w:after="120" w:line="320" w:lineRule="auto"/>
        <w:keepNext/>
      </w:pPr>
      <w:r>
        <w:t xml:space="preserve">04｜功能需求：八个模块覆盖一条完整生命周期</w:t>
      </w:r>
    </w:p>
    <w:p>
      <w:pPr>
        <w:pStyle w:val="Caption"/>
        <w:spacing w:before="0" w:after="100" w:line="320" w:lineRule="auto"/>
      </w:pPr>
      <w:r>
        <w:t xml:space="preserve">预计时长：55 秒</w:t>
      </w:r>
    </w:p>
    <w:p>
      <w:pPr>
        <w:pStyle w:val="Heading2"/>
        <w:spacing w:before="80" w:after="80" w:line="320" w:lineRule="auto"/>
        <w:keepNext/>
      </w:pPr>
      <w:r>
        <w:t xml:space="preserve">演讲正文</w:t>
      </w:r>
    </w:p>
    <w:p>
      <w:pPr>
        <w:pStyle w:val="Normal"/>
        <w:spacing w:before="0" w:after="150" w:line="340" w:lineRule="auto"/>
      </w:pPr>
      <w:r>
        <w:t xml:space="preserve">功能需求围绕生命周期组织，而不是把系统做成一排互相独立的菜单。采购入库负责申请、审批和验收；档案库存负责批次、有效期和存放位置；领用审批负责申请和分级审核；出库使用负责发放和使用记录；归还登记记录实际使用量并回补库存；风险预警发现库存、有效期和异常问题；废弃处置记录暂存、转运和完成；审计报表则汇总关键动作和管理结果。</w:t>
      </w:r>
    </w:p>
    <w:p>
      <w:pPr>
        <w:pStyle w:val="Normal"/>
        <w:spacing w:before="0" w:after="150" w:line="340" w:lineRule="auto"/>
      </w:pPr>
      <w:r>
        <w:t xml:space="preserve">其中有两条关键规则：高风险试剂必须经过教师审批和管理员复核，所有关键动作都要写入审计日志，普通用户不能修改库存和历史记录。我们的验收口径也对应四点：角色可执行、状态可追踪、库存可校验、关键动作可审计。</w:t>
      </w:r>
    </w:p>
    <w:p>
      <w:pPr>
        <w:pStyle w:val="Heading2"/>
        <w:spacing w:before="180" w:after="80" w:line="320" w:lineRule="auto"/>
        <w:keepNext/>
      </w:pPr>
      <w:r>
        <w:t xml:space="preserve">演示 / 切页提示</w:t>
      </w:r>
    </w:p>
    <w:p>
      <w:pPr>
        <w:pStyle w:val="Quote"/>
        <w:spacing w:after="100" w:line="300" w:lineRule="auto"/>
      </w:pPr>
      <w:r>
        <w:rPr>
          <w:b/>
          <w:color w:val="C37B2B"/>
        </w:rPr>
        <w:t xml:space="preserve">提示：</w:t>
      </w:r>
      <w:r>
        <w:t xml:space="preserve">切页提示：沿着 01 到 07 的生命周期顺序讲，最后重点落在 08 审计报表和两条业务规则。</w:t>
      </w:r>
    </w:p>
    <w:p>
      <w:r>
        <w:br w:type="page"/>
      </w:r>
    </w:p>
    <w:p>
      <w:pPr>
        <w:pStyle w:val="Heading1"/>
        <w:spacing w:before="0" w:after="120" w:line="320" w:lineRule="auto"/>
        <w:keepNext/>
      </w:pPr>
      <w:r>
        <w:t xml:space="preserve">05｜非功能需求：把“能运行”变成“可依赖”</w:t>
      </w:r>
    </w:p>
    <w:p>
      <w:pPr>
        <w:pStyle w:val="Caption"/>
        <w:spacing w:before="0" w:after="100" w:line="320" w:lineRule="auto"/>
      </w:pPr>
      <w:r>
        <w:t xml:space="preserve">预计时长：55 秒</w:t>
      </w:r>
    </w:p>
    <w:p>
      <w:pPr>
        <w:pStyle w:val="Heading2"/>
        <w:spacing w:before="80" w:after="80" w:line="320" w:lineRule="auto"/>
        <w:keepNext/>
      </w:pPr>
      <w:r>
        <w:t xml:space="preserve">演讲正文</w:t>
      </w:r>
    </w:p>
    <w:p>
      <w:pPr>
        <w:pStyle w:val="Normal"/>
        <w:spacing w:before="0" w:after="150" w:line="340" w:lineRule="auto"/>
      </w:pPr>
      <w:r>
        <w:t xml:space="preserve">对安全场景来说，能完成一次操作还不够，还要保证系统在正常和异常情况下都可预测。性能上，课堂演示规模下常用查询需要即时反馈，审批和出库要有明确的成功或失败返回。可靠性上，出库和归还涉及库存变化，必须使用事务，库存不能小于零，审计事实不能被删除。</w:t>
      </w:r>
    </w:p>
    <w:p>
      <w:pPr>
        <w:pStyle w:val="Normal"/>
        <w:spacing w:before="0" w:after="150" w:line="340" w:lineRule="auto"/>
      </w:pPr>
      <w:r>
        <w:t xml:space="preserve">可用性上，后端没有启动时，前端可以进入演示数据模式；健康检查通过后，再切换到真实 MySQL 数据。出错处理上，要拦截越权、过期、库存不足和归还数量不一致等情况。也就是说，我们验收的不只是“按钮能不能点”，还包括能否阻断错误、恢复状态并留下证据。</w:t>
      </w:r>
    </w:p>
    <w:p>
      <w:pPr>
        <w:pStyle w:val="Heading2"/>
        <w:spacing w:before="180" w:after="80" w:line="320" w:lineRule="auto"/>
        <w:keepNext/>
      </w:pPr>
      <w:r>
        <w:t xml:space="preserve">演示 / 切页提示</w:t>
      </w:r>
    </w:p>
    <w:p>
      <w:pPr>
        <w:pStyle w:val="Quote"/>
        <w:spacing w:after="100" w:line="300" w:lineRule="auto"/>
      </w:pPr>
      <w:r>
        <w:rPr>
          <w:b/>
          <w:color w:val="C37B2B"/>
        </w:rPr>
        <w:t xml:space="preserve">提示：</w:t>
      </w:r>
      <w:r>
        <w:t xml:space="preserve">切页提示：这一页不要逐字读指标，抓住“性能、可靠性、可用性、出错处理”四个关键词和“可预测、可恢复、可审计”的结论。</w:t>
      </w:r>
    </w:p>
    <w:p>
      <w:r>
        <w:br w:type="page"/>
      </w:r>
    </w:p>
    <w:p>
      <w:pPr>
        <w:pStyle w:val="Heading1"/>
        <w:spacing w:before="0" w:after="120" w:line="320" w:lineRule="auto"/>
        <w:keepNext/>
      </w:pPr>
      <w:r>
        <w:t xml:space="preserve">06｜需求边界：接口、约束、逆向需求与未来要求</w:t>
      </w:r>
    </w:p>
    <w:p>
      <w:pPr>
        <w:pStyle w:val="Caption"/>
        <w:spacing w:before="0" w:after="100" w:line="320" w:lineRule="auto"/>
      </w:pPr>
      <w:r>
        <w:t xml:space="preserve">预计时长：55 秒</w:t>
      </w:r>
    </w:p>
    <w:p>
      <w:pPr>
        <w:pStyle w:val="Heading2"/>
        <w:spacing w:before="80" w:after="80" w:line="320" w:lineRule="auto"/>
        <w:keepNext/>
      </w:pPr>
      <w:r>
        <w:t xml:space="preserve">演讲正文</w:t>
      </w:r>
    </w:p>
    <w:p>
      <w:pPr>
        <w:pStyle w:val="Normal"/>
        <w:spacing w:before="0" w:after="150" w:line="340" w:lineRule="auto"/>
      </w:pPr>
      <w:r>
        <w:t xml:space="preserve">为了让需求可以落到代码上，我们又明确了接口和边界。系统通过 REST API 连接前端、后端和数据库，覆盖健康检查、总览、危化品档案、采购、申请、使用记录、预警、异常、处置、审计和报表；审批、驳回、发放、归还和预警刷新等写操作也有对应接口。</w:t>
      </w:r>
    </w:p>
    <w:p>
      <w:pPr>
        <w:pStyle w:val="Normal"/>
        <w:spacing w:before="0" w:after="150" w:line="340" w:lineRule="auto"/>
      </w:pPr>
      <w:r>
        <w:t xml:space="preserve">约束比功能清单更重要：普通用户不能修改库存和历史审计，高风险试剂不能绕过双重审批，发放和归还必须在事务中完成，实际使用量与归还量不能超过发放量。逆向需求则明确系统绝对不能出现什么。未来可以继续补充 JWT 登录、细粒度权限、消息通知、移动端、报表和法规规则配置，但这些属于下一阶段，不影响当前 MVP 的闭环验证。</w:t>
      </w:r>
    </w:p>
    <w:p>
      <w:pPr>
        <w:pStyle w:val="Heading2"/>
        <w:spacing w:before="180" w:after="80" w:line="320" w:lineRule="auto"/>
        <w:keepNext/>
      </w:pPr>
      <w:r>
        <w:t xml:space="preserve">演示 / 切页提示</w:t>
      </w:r>
    </w:p>
    <w:p>
      <w:pPr>
        <w:pStyle w:val="Quote"/>
        <w:spacing w:after="100" w:line="300" w:lineRule="auto"/>
      </w:pPr>
      <w:r>
        <w:rPr>
          <w:b/>
          <w:color w:val="C37B2B"/>
        </w:rPr>
        <w:t xml:space="preserve">提示：</w:t>
      </w:r>
      <w:r>
        <w:t xml:space="preserve">切页提示：讲“逆向需求”时停顿一下，强调“不能绕过、不能负库存、不能删除、不能混淆演示数据”。</w:t>
      </w:r>
    </w:p>
    <w:p>
      <w:r>
        <w:br w:type="page"/>
      </w:r>
    </w:p>
    <w:p>
      <w:pPr>
        <w:pStyle w:val="Heading1"/>
        <w:spacing w:before="0" w:after="120" w:line="320" w:lineRule="auto"/>
        <w:keepNext/>
      </w:pPr>
      <w:r>
        <w:t xml:space="preserve">07｜DFD：角色、处理和数据存储形成可追踪链路</w:t>
      </w:r>
    </w:p>
    <w:p>
      <w:pPr>
        <w:pStyle w:val="Caption"/>
        <w:spacing w:before="0" w:after="100" w:line="320" w:lineRule="auto"/>
      </w:pPr>
      <w:r>
        <w:t xml:space="preserve">预计时长：50 秒</w:t>
      </w:r>
    </w:p>
    <w:p>
      <w:pPr>
        <w:pStyle w:val="Heading2"/>
        <w:spacing w:before="80" w:after="80" w:line="320" w:lineRule="auto"/>
        <w:keepNext/>
      </w:pPr>
      <w:r>
        <w:t xml:space="preserve">演讲正文</w:t>
      </w:r>
    </w:p>
    <w:p>
      <w:pPr>
        <w:pStyle w:val="Normal"/>
        <w:spacing w:before="0" w:after="150" w:line="340" w:lineRule="auto"/>
      </w:pPr>
      <w:r>
        <w:t xml:space="preserve">接下来进入建模证据。数据流图回答的是：不同角色把什么信息交给系统，系统经过哪些处理，又把结果保存到哪里。外部角色包括学生、指导教师、实验室管理员、安全负责人以及校园统一认证。系统内部拆成八个处理：用户与角色、档案库存、采购入库、领用审批、出库归还、风险预警、废弃处置和审计报表。</w:t>
      </w:r>
    </w:p>
    <w:p>
      <w:pPr>
        <w:pStyle w:val="Normal"/>
        <w:spacing w:before="0" w:after="150" w:line="340" w:lineRule="auto"/>
      </w:pPr>
      <w:r>
        <w:t xml:space="preserve">这些处理最终落到用户库、危化品档案库、批次库存库、领用记录库、审批记录库和审计日志库等数据存储中。这样，从申请、审批结果、入库信息到异常上报和统计报表，都能找到来源、处理责任和落库去向。</w:t>
      </w:r>
    </w:p>
    <w:p>
      <w:pPr>
        <w:pStyle w:val="Heading2"/>
        <w:spacing w:before="180" w:after="80" w:line="320" w:lineRule="auto"/>
        <w:keepNext/>
      </w:pPr>
      <w:r>
        <w:t xml:space="preserve">演示 / 切页提示</w:t>
      </w:r>
    </w:p>
    <w:p>
      <w:pPr>
        <w:pStyle w:val="Quote"/>
        <w:spacing w:after="100" w:line="300" w:lineRule="auto"/>
      </w:pPr>
      <w:r>
        <w:rPr>
          <w:b/>
          <w:color w:val="C37B2B"/>
        </w:rPr>
        <w:t xml:space="preserve">提示：</w:t>
      </w:r>
      <w:r>
        <w:t xml:space="preserve">切页提示：按“外部实体—八个处理—数据存储—关键数据流”的顺序指图，避免在图上来回跳。</w:t>
      </w:r>
    </w:p>
    <w:p>
      <w:r>
        <w:br w:type="page"/>
      </w:r>
    </w:p>
    <w:p>
      <w:pPr>
        <w:pStyle w:val="Heading1"/>
        <w:spacing w:before="0" w:after="120" w:line="320" w:lineRule="auto"/>
        <w:keepNext/>
      </w:pPr>
      <w:r>
        <w:t xml:space="preserve">08｜ER：关键实体围绕申请单和化学品连接</w:t>
      </w:r>
    </w:p>
    <w:p>
      <w:pPr>
        <w:pStyle w:val="Caption"/>
        <w:spacing w:before="0" w:after="100" w:line="320" w:lineRule="auto"/>
      </w:pPr>
      <w:r>
        <w:t xml:space="preserve">预计时长：50 秒</w:t>
      </w:r>
    </w:p>
    <w:p>
      <w:pPr>
        <w:pStyle w:val="Heading2"/>
        <w:spacing w:before="80" w:after="80" w:line="320" w:lineRule="auto"/>
        <w:keepNext/>
      </w:pPr>
      <w:r>
        <w:t xml:space="preserve">演讲正文</w:t>
      </w:r>
    </w:p>
    <w:p>
      <w:pPr>
        <w:pStyle w:val="Normal"/>
        <w:spacing w:before="0" w:after="150" w:line="340" w:lineRule="auto"/>
      </w:pPr>
      <w:r>
        <w:t xml:space="preserve">实体关系图进一步说明数据如何绑定。Chemical 和 Batch 代表危化品档案与具体批次，Request 是审批责任的中心，审批记录用于承载多阶段决策，UsageRecord 记录发放后的实际使用事实，Disposal 记录处置证据，Alert 和 Incident 记录风险与异常，AuditLog 则保留操作人、动作、对象和时间。</w:t>
      </w:r>
    </w:p>
    <w:p>
      <w:pPr>
        <w:pStyle w:val="Normal"/>
        <w:spacing w:before="0" w:after="150" w:line="340" w:lineRule="auto"/>
      </w:pPr>
      <w:r>
        <w:t xml:space="preserve">这里的重点不是表越多越好，而是每个动作都能互相追溯。例如，一个申请能够找到对应批次、审批人和使用记录；一个使用记录能够回到申请和库存；一个处置记录能够回到来源和批次。数据库约束进一步保证批次号唯一、库存不小于零、外键完整，并让申请和使用记录保持一对一关系。</w:t>
      </w:r>
    </w:p>
    <w:p>
      <w:pPr>
        <w:pStyle w:val="Heading2"/>
        <w:spacing w:before="180" w:after="80" w:line="320" w:lineRule="auto"/>
        <w:keepNext/>
      </w:pPr>
      <w:r>
        <w:t xml:space="preserve">演示 / 切页提示</w:t>
      </w:r>
    </w:p>
    <w:p>
      <w:pPr>
        <w:pStyle w:val="Quote"/>
        <w:spacing w:after="100" w:line="300" w:lineRule="auto"/>
      </w:pPr>
      <w:r>
        <w:rPr>
          <w:b/>
          <w:color w:val="C37B2B"/>
        </w:rPr>
        <w:t xml:space="preserve">提示：</w:t>
      </w:r>
      <w:r>
        <w:t xml:space="preserve">切页提示：重点解释 Request 是责任中心，UsageRecord 是使用事实，AuditLog 是不可删除的证据链。</w:t>
      </w:r>
    </w:p>
    <w:p>
      <w:r>
        <w:br w:type="page"/>
      </w:r>
    </w:p>
    <w:p>
      <w:pPr>
        <w:pStyle w:val="Heading1"/>
        <w:spacing w:before="0" w:after="120" w:line="320" w:lineRule="auto"/>
        <w:keepNext/>
      </w:pPr>
      <w:r>
        <w:t xml:space="preserve">09｜状态图：正常链和异常分支并存</w:t>
      </w:r>
    </w:p>
    <w:p>
      <w:pPr>
        <w:pStyle w:val="Caption"/>
        <w:spacing w:before="0" w:after="100" w:line="320" w:lineRule="auto"/>
      </w:pPr>
      <w:r>
        <w:t xml:space="preserve">预计时长：55 秒</w:t>
      </w:r>
    </w:p>
    <w:p>
      <w:pPr>
        <w:pStyle w:val="Heading2"/>
        <w:spacing w:before="80" w:after="80" w:line="320" w:lineRule="auto"/>
        <w:keepNext/>
      </w:pPr>
      <w:r>
        <w:t xml:space="preserve">演讲正文</w:t>
      </w:r>
    </w:p>
    <w:p>
      <w:pPr>
        <w:pStyle w:val="Normal"/>
        <w:spacing w:before="0" w:after="150" w:line="340" w:lineRule="auto"/>
      </w:pPr>
      <w:r>
        <w:t xml:space="preserve">状态图把“谁能做什么”变成可验证的状态迁移。正常情况下，危化品从待采购、采购中、待验收、已入库、可领用，进入申请待审批；经过教师审批和管理员复核后才能发放，随后进入使用中、已归还、待处置和已处置。</w:t>
      </w:r>
    </w:p>
    <w:p>
      <w:pPr>
        <w:pStyle w:val="Normal"/>
        <w:spacing w:before="0" w:after="150" w:line="340" w:lineRule="auto"/>
      </w:pPr>
      <w:r>
        <w:t xml:space="preserve">系统同时处理异常分支。批次过期或被冻结时，要阻断正常领用；库存不足时生成严重预警；审批驳回后回到申请修改；归还不一致、泄漏或存储异常则上报事件并进入处理闭环。每一次迁移都对应一个业务事件，例如到货、验收、审批、发放、归还、处置完成或发现泄漏。这样，状态不仅是页面上的标签，也是权限、库存行为和审计动作的依据。</w:t>
      </w:r>
    </w:p>
    <w:p>
      <w:pPr>
        <w:pStyle w:val="Heading2"/>
        <w:spacing w:before="180" w:after="80" w:line="320" w:lineRule="auto"/>
        <w:keepNext/>
      </w:pPr>
      <w:r>
        <w:t xml:space="preserve">演示 / 切页提示</w:t>
      </w:r>
    </w:p>
    <w:p>
      <w:pPr>
        <w:pStyle w:val="Quote"/>
        <w:spacing w:after="100" w:line="300" w:lineRule="auto"/>
      </w:pPr>
      <w:r>
        <w:rPr>
          <w:b/>
          <w:color w:val="C37B2B"/>
        </w:rPr>
        <w:t xml:space="preserve">提示：</w:t>
      </w:r>
      <w:r>
        <w:t xml:space="preserve">切页提示：先沿主链走一遍，再补充右侧异常分支，突出“异常不是跳出系统，而是进入闭环”。</w:t>
      </w:r>
    </w:p>
    <w:p>
      <w:r>
        <w:br w:type="page"/>
      </w:r>
    </w:p>
    <w:p>
      <w:pPr>
        <w:pStyle w:val="Heading1"/>
        <w:spacing w:before="0" w:after="120" w:line="320" w:lineRule="auto"/>
        <w:keepNext/>
      </w:pPr>
      <w:r>
        <w:t xml:space="preserve">10｜课堂演示：用一条真实路径证明需求可落地</w:t>
      </w:r>
    </w:p>
    <w:p>
      <w:pPr>
        <w:pStyle w:val="Caption"/>
        <w:spacing w:before="0" w:after="100" w:line="320" w:lineRule="auto"/>
      </w:pPr>
      <w:r>
        <w:t xml:space="preserve">预计时长：1 分 20 秒</w:t>
      </w:r>
    </w:p>
    <w:p>
      <w:pPr>
        <w:pStyle w:val="Heading2"/>
        <w:spacing w:before="80" w:after="80" w:line="320" w:lineRule="auto"/>
        <w:keepNext/>
      </w:pPr>
      <w:r>
        <w:t xml:space="preserve">演讲正文</w:t>
      </w:r>
    </w:p>
    <w:p>
      <w:pPr>
        <w:pStyle w:val="Normal"/>
        <w:spacing w:before="0" w:after="150" w:line="340" w:lineRule="auto"/>
      </w:pPr>
      <w:r>
        <w:t xml:space="preserve">下面用一条完整业务路径验证前面的需求和模型。第一步由管理员发起采购并推进入库，第二步建立批次档案；第三步由学生提交领用申请；第四步由教师审批；第五步由管理员复核；第六步办理发放，系统在事务中扣减库存并创建使用记录；第七步查看使用记录，登记实际使用量和归还量；最后进入风险扫描、异常处理和废弃处置。</w:t>
      </w:r>
    </w:p>
    <w:p>
      <w:pPr>
        <w:pStyle w:val="Normal"/>
        <w:spacing w:before="0" w:after="150" w:line="340" w:lineRule="auto"/>
      </w:pPr>
      <w:r>
        <w:t xml:space="preserve">这条路径中，每一步都能同时在四个层面找到证据：前端页面上能操作，REST API 有对应请求，数据库有 requests、usage_records、alerts 和 audit_logs 等记录，页面状态和库存也会同步变化。课堂演示时我会按这个顺序操作，重点展示审批状态推进、库存变化、归还登记和审计日志。</w:t>
      </w:r>
    </w:p>
    <w:p>
      <w:pPr>
        <w:pStyle w:val="Heading2"/>
        <w:spacing w:before="180" w:after="80" w:line="320" w:lineRule="auto"/>
        <w:keepNext/>
      </w:pPr>
      <w:r>
        <w:t xml:space="preserve">演示 / 切页提示</w:t>
      </w:r>
    </w:p>
    <w:p>
      <w:pPr>
        <w:pStyle w:val="Quote"/>
        <w:spacing w:after="100" w:line="300" w:lineRule="auto"/>
      </w:pPr>
      <w:r>
        <w:rPr>
          <w:b/>
          <w:color w:val="C37B2B"/>
        </w:rPr>
        <w:t xml:space="preserve">提示：</w:t>
      </w:r>
      <w:r>
        <w:t xml:space="preserve">切页提示：此页进入系统操作；按“采购入库 → 新建申请 → 教师审批 → 管理员复核 → 发放 → 使用记录 → 风险中心 → 审计”执行。</w:t>
      </w:r>
    </w:p>
    <w:p>
      <w:r>
        <w:br w:type="page"/>
      </w:r>
    </w:p>
    <w:p>
      <w:pPr>
        <w:pStyle w:val="Heading1"/>
        <w:spacing w:before="0" w:after="120" w:line="320" w:lineRule="auto"/>
        <w:keepNext/>
      </w:pPr>
      <w:r>
        <w:t xml:space="preserve">11｜实现映射：技术栈与需求一一对应</w:t>
      </w:r>
    </w:p>
    <w:p>
      <w:pPr>
        <w:pStyle w:val="Caption"/>
        <w:spacing w:before="0" w:after="100" w:line="320" w:lineRule="auto"/>
      </w:pPr>
      <w:r>
        <w:t xml:space="preserve">预计时长：45 秒</w:t>
      </w:r>
    </w:p>
    <w:p>
      <w:pPr>
        <w:pStyle w:val="Heading2"/>
        <w:spacing w:before="80" w:after="80" w:line="320" w:lineRule="auto"/>
        <w:keepNext/>
      </w:pPr>
      <w:r>
        <w:t xml:space="preserve">演讲正文</w:t>
      </w:r>
    </w:p>
    <w:p>
      <w:pPr>
        <w:pStyle w:val="Normal"/>
        <w:spacing w:before="0" w:after="150" w:line="340" w:lineRule="auto"/>
      </w:pPr>
      <w:r>
        <w:t xml:space="preserve">实现层面，前端使用 Vue 3 和 Vite，提供总览、危化品档案、采购入库、领用审批、风险中心、废弃处置和审计等页面；服务层使用 Spring Boot 3.4、Java 17、REST Controller、Validation、JDBC 和健康检查；数据层使用 MySQL 8 保存用户、危化品、采购、申请、审批、使用、异常、处置、预警和审计数据。</w:t>
      </w:r>
    </w:p>
    <w:p>
      <w:pPr>
        <w:pStyle w:val="Normal"/>
        <w:spacing w:before="0" w:after="150" w:line="340" w:lineRule="auto"/>
      </w:pPr>
      <w:r>
        <w:t xml:space="preserve">目前已经覆盖生命周期闭环、风险预警、角色演示和审计展示。下一阶段的重点是身份认证、细粒度权限、通知、移动端和更完整的法规配置。这里要区分“当前 MVP 已完成”和“未来增强项”：前者用于证明课程设计可运行，后者用于说明系统如何继续走向可运营。</w:t>
      </w:r>
    </w:p>
    <w:p>
      <w:pPr>
        <w:pStyle w:val="Heading2"/>
        <w:spacing w:before="180" w:after="80" w:line="320" w:lineRule="auto"/>
        <w:keepNext/>
      </w:pPr>
      <w:r>
        <w:t xml:space="preserve">演示 / 切页提示</w:t>
      </w:r>
    </w:p>
    <w:p>
      <w:pPr>
        <w:pStyle w:val="Quote"/>
        <w:spacing w:after="100" w:line="300" w:lineRule="auto"/>
      </w:pPr>
      <w:r>
        <w:rPr>
          <w:b/>
          <w:color w:val="C37B2B"/>
        </w:rPr>
        <w:t xml:space="preserve">提示：</w:t>
      </w:r>
      <w:r>
        <w:t xml:space="preserve">切页提示：左侧讲技术分层，右侧讲已实现与下一阶段，明确不要把 JWT、移动端等规划说成当前成果。</w:t>
      </w:r>
    </w:p>
    <w:p>
      <w:r>
        <w:br w:type="page"/>
      </w:r>
    </w:p>
    <w:p>
      <w:pPr>
        <w:pStyle w:val="Heading1"/>
        <w:spacing w:before="0" w:after="120" w:line="320" w:lineRule="auto"/>
        <w:keepNext/>
      </w:pPr>
      <w:r>
        <w:t xml:space="preserve">12｜结论：可行、可验收、可持续演进</w:t>
      </w:r>
    </w:p>
    <w:p>
      <w:pPr>
        <w:pStyle w:val="Caption"/>
        <w:spacing w:before="0" w:after="100" w:line="320" w:lineRule="auto"/>
      </w:pPr>
      <w:r>
        <w:t xml:space="preserve">预计时长：50 秒</w:t>
      </w:r>
    </w:p>
    <w:p>
      <w:pPr>
        <w:pStyle w:val="Heading2"/>
        <w:spacing w:before="80" w:after="80" w:line="320" w:lineRule="auto"/>
        <w:keepNext/>
      </w:pPr>
      <w:r>
        <w:t xml:space="preserve">演讲正文</w:t>
      </w:r>
    </w:p>
    <w:p>
      <w:pPr>
        <w:pStyle w:val="Normal"/>
        <w:spacing w:before="0" w:after="150" w:line="340" w:lineRule="auto"/>
      </w:pPr>
      <w:r>
        <w:t xml:space="preserve">最后总结三点。第一，可行性上，技术和操作已经验证，经济成本可控，社会价值明确，法律方向保留制度复核边界。第二，需求上，功能、性能、可靠性、可用性、异常、接口、约束、逆向需求和未来要求都找到了对应落点。第三，实现上，Vue、Spring Boot 和 MySQL 与 DFD、ER 和状态模型保持一致，并通过一条真实业务链完成验证。</w:t>
      </w:r>
    </w:p>
    <w:p>
      <w:pPr>
        <w:pStyle w:val="Normal"/>
        <w:spacing w:before="0" w:after="150" w:line="340" w:lineRule="auto"/>
      </w:pPr>
      <w:r>
        <w:t xml:space="preserve">所以，ChemTrack 不是把几个页面拼在一起，而是用状态、责任和审计把危化品安全管理变成可验证的软件系统。我们最后留下一个答辩检查句：每一个需求，是否都有角色、状态、数据、接口和验收证据？谢谢大家，欢迎提问。</w:t>
      </w:r>
    </w:p>
    <w:p>
      <w:pPr>
        <w:pStyle w:val="Heading2"/>
        <w:spacing w:before="180" w:after="80" w:line="320" w:lineRule="auto"/>
        <w:keepNext/>
      </w:pPr>
      <w:r>
        <w:t xml:space="preserve">演示 / 切页提示</w:t>
      </w:r>
    </w:p>
    <w:p>
      <w:pPr>
        <w:pStyle w:val="Quote"/>
        <w:spacing w:after="100" w:line="300" w:lineRule="auto"/>
      </w:pPr>
      <w:r>
        <w:rPr>
          <w:b/>
          <w:color w:val="C37B2B"/>
        </w:rPr>
        <w:t xml:space="preserve">提示：</w:t>
      </w:r>
      <w:r>
        <w:t xml:space="preserve">切页提示：结尾停留在三条答辩结论和最后一句检查句，不要急着退出放映。</w:t>
      </w:r>
    </w:p>
    <w:p>
      <w:r>
        <w:br w:type="page"/>
      </w:r>
    </w:p>
    <w:p>
      <w:pPr>
        <w:pStyle w:val="Heading1"/>
        <w:spacing w:before="0" w:after="160" w:line="320" w:lineRule="auto"/>
      </w:pPr>
      <w:r>
        <w:t xml:space="preserve">附录｜演示前快速检查</w:t>
      </w:r>
    </w:p>
    <w:tbl>
      <w:tblPr>
        <w:tblW w:w="9000" w:type="dxa"/>
        <w:tblBorders>
          <w:top w:val="single" w:sz="6" w:color="B7CCC6"/>
          <w:left w:val="single" w:sz="6" w:color="B7CCC6"/>
          <w:bottom w:val="single" w:sz="6" w:color="B7CCC6"/>
          <w:right w:val="single" w:sz="6" w:color="B7CCC6"/>
          <w:insideH w:val="single" w:sz="4" w:color="D8E5E1"/>
          <w:insideV w:val="single" w:sz="4" w:color="D8E5E1"/>
        </w:tblBorders>
      </w:tblPr>
      <w:tblGrid>
        <w:gridCol w:w="1800"/>
        <w:gridCol w:w="7200"/>
      </w:tblGrid>
      <w:tr>
        <w:tc>
          <w:tcPr>
            <w:tcW w:w="1800" w:type="dxa"/>
            <w:shd w:fill="E8F3EF"/>
          </w:tcPr>
          <w:p>
            <w:pPr>
              <w:pStyle w:val="TableText"/>
              <w:spacing w:after="60" w:line="260" w:lineRule="auto"/>
            </w:pPr>
            <w:r>
              <w:rPr>
                <w:b/>
                <w:color w:val="123A35"/>
              </w:rPr>
              <w:t xml:space="preserve">检查项</w:t>
            </w:r>
          </w:p>
        </w:tc>
        <w:tc>
          <w:tcPr>
            <w:tcW w:w="7200" w:type="dxa"/>
            <w:shd w:fill="E8F3EF"/>
          </w:tcPr>
          <w:p>
            <w:pPr>
              <w:pStyle w:val="TableText"/>
              <w:spacing w:after="60" w:line="260" w:lineRule="auto"/>
            </w:pPr>
            <w:r>
              <w:rPr>
                <w:b/>
                <w:color w:val="123A35"/>
              </w:rPr>
              <w:t xml:space="preserve">确认内容</w:t>
            </w:r>
          </w:p>
        </w:tc>
      </w:tr>
      <w:tr>
        <w:tc>
          <w:tcPr>
            <w:tcW w:w="1800" w:type="dxa"/>
            <w:shd w:fill="FFFFFF"/>
          </w:tcPr>
          <w:p>
            <w:pPr>
              <w:pStyle w:val="TableText"/>
              <w:spacing w:after="60" w:line="260" w:lineRule="auto"/>
            </w:pPr>
            <w:r>
              <w:t xml:space="preserve">前端</w:t>
            </w:r>
          </w:p>
        </w:tc>
        <w:tc>
          <w:tcPr>
            <w:tcW w:w="7200" w:type="dxa"/>
            <w:shd w:fill="FFFFFF"/>
          </w:tcPr>
          <w:p>
            <w:pPr>
              <w:pStyle w:val="TableText"/>
              <w:spacing w:after="60" w:line="260" w:lineRule="auto"/>
            </w:pPr>
            <w:r>
              <w:t xml:space="preserve">npm run dev，浏览器可打开 http://localhost:5173</w:t>
            </w:r>
          </w:p>
        </w:tc>
      </w:tr>
      <w:tr>
        <w:tc>
          <w:tcPr>
            <w:tcW w:w="1800" w:type="dxa"/>
            <w:shd w:fill="FFFFFF"/>
          </w:tcPr>
          <w:p>
            <w:pPr>
              <w:pStyle w:val="TableText"/>
              <w:spacing w:after="60" w:line="260" w:lineRule="auto"/>
            </w:pPr>
            <w:r>
              <w:t xml:space="preserve">后端</w:t>
            </w:r>
          </w:p>
        </w:tc>
        <w:tc>
          <w:tcPr>
            <w:tcW w:w="7200" w:type="dxa"/>
            <w:shd w:fill="FFFFFF"/>
          </w:tcPr>
          <w:p>
            <w:pPr>
              <w:pStyle w:val="TableText"/>
              <w:spacing w:after="60" w:line="260" w:lineRule="auto"/>
            </w:pPr>
            <w:r>
              <w:t xml:space="preserve">mvn spring-boot:run，健康检查 http://localhost:8080/api/health</w:t>
            </w:r>
          </w:p>
        </w:tc>
      </w:tr>
      <w:tr>
        <w:tc>
          <w:tcPr>
            <w:tcW w:w="1800" w:type="dxa"/>
            <w:shd w:fill="FFFFFF"/>
          </w:tcPr>
          <w:p>
            <w:pPr>
              <w:pStyle w:val="TableText"/>
              <w:spacing w:after="60" w:line="260" w:lineRule="auto"/>
            </w:pPr>
            <w:r>
              <w:t xml:space="preserve">数据库</w:t>
            </w:r>
          </w:p>
        </w:tc>
        <w:tc>
          <w:tcPr>
            <w:tcW w:w="7200" w:type="dxa"/>
            <w:shd w:fill="FFFFFF"/>
          </w:tcPr>
          <w:p>
            <w:pPr>
              <w:pStyle w:val="TableText"/>
              <w:spacing w:after="60" w:line="260" w:lineRule="auto"/>
            </w:pPr>
            <w:r>
              <w:t xml:space="preserve">MySQL 已初始化 database/schema.sql，密码通过 CHEMTRACK_DB_PASSWORD 提供</w:t>
            </w:r>
          </w:p>
        </w:tc>
      </w:tr>
      <w:tr>
        <w:tc>
          <w:tcPr>
            <w:tcW w:w="1800" w:type="dxa"/>
            <w:shd w:fill="FFFFFF"/>
          </w:tcPr>
          <w:p>
            <w:pPr>
              <w:pStyle w:val="TableText"/>
              <w:spacing w:after="60" w:line="260" w:lineRule="auto"/>
            </w:pPr>
            <w:r>
              <w:t xml:space="preserve">演示顺序</w:t>
            </w:r>
          </w:p>
        </w:tc>
        <w:tc>
          <w:tcPr>
            <w:tcW w:w="7200" w:type="dxa"/>
            <w:shd w:fill="FFFFFF"/>
          </w:tcPr>
          <w:p>
            <w:pPr>
              <w:pStyle w:val="TableText"/>
              <w:spacing w:after="60" w:line="260" w:lineRule="auto"/>
            </w:pPr>
            <w:r>
              <w:t xml:space="preserve">采购入库 → 新建申请 → 教师审批 → 管理员复核 → 发放 → 使用记录 → 风险中心 → 审计</w:t>
            </w:r>
          </w:p>
        </w:tc>
      </w:tr>
      <w:tr>
        <w:tc>
          <w:tcPr>
            <w:tcW w:w="1800" w:type="dxa"/>
            <w:shd w:fill="FFFFFF"/>
          </w:tcPr>
          <w:p>
            <w:pPr>
              <w:pStyle w:val="TableText"/>
              <w:spacing w:after="60" w:line="260" w:lineRule="auto"/>
            </w:pPr>
            <w:r>
              <w:t xml:space="preserve">兜底方案</w:t>
            </w:r>
          </w:p>
        </w:tc>
        <w:tc>
          <w:tcPr>
            <w:tcW w:w="7200" w:type="dxa"/>
            <w:shd w:fill="FFFFFF"/>
          </w:tcPr>
          <w:p>
            <w:pPr>
              <w:pStyle w:val="TableText"/>
              <w:spacing w:after="60" w:line="260" w:lineRule="auto"/>
            </w:pPr>
            <w:r>
              <w:t xml:space="preserve">后端未启动时使用前端演示数据模式；不要把演示数据称为真实台账</w:t>
            </w:r>
          </w:p>
        </w:tc>
      </w:tr>
    </w:tbl>
    <w:p>
      <w:pPr>
        <w:pStyle w:val="Quote"/>
        <w:spacing w:before="260" w:after="0" w:line="340" w:lineRule="auto"/>
      </w:pPr>
      <w:r>
        <w:t xml:space="preserve">答辩时可以反复回到这句话：每一个需求是否都有角色、状态、数据、接口和验收证据？</w:t>
      </w:r>
    </w:p>
    <w:sectPr>
      <w:pgSz w:w="11906" w:h="16838"/>
      <w:pgMar w:top="1200" w:right="1200" w:bottom="1200" w:left="1200" w:header="600" w:footer="600" w:gutter="0"/>
      <w:footerReference w:type="default" r:id="rIdFooter"/>
      <w:cols w:space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B918B"/>
        <w:sz w:val="17"/>
      </w:rPr>
      <w:t>ChemTrack 演讲稿  ·  </w:t>
    </w:r>
    <w:r>
      <w:fldChar w:fldCharType="begin"/>
    </w:r>
    <w:r>
      <w:instrText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/>
        <w:sz w:val="22"/>
        <w:szCs w:val="22"/>
        <w:color w:val="183A36"/>
      </w:rPr>
    </w:rPrDefault>
  </w:docDefaults>
  <w:style w:type="paragraph" w:default="1" w:styleId="Normal">
    <w:name w:val="Normal"/>
    <w:pPr>
      <w:widowControl/>
    </w:pPr>
    <w:rPr>
      <w:rFonts w:ascii="Aptos" w:hAnsi="Aptos" w:eastAsia="Microsoft YaHei"/>
      <w:sz w:val="22"/>
      <w:szCs w:val="22"/>
    </w:rPr>
  </w:style>
  <w:style w:type="paragraph" w:styleId="Title">
    <w:name w:val="Title"/>
    <w:basedOn w:val="Normal"/>
    <w:qFormat/>
    <w:pPr>
      <w:spacing w:after="220"/>
      <w:jc w:val="center"/>
    </w:pPr>
    <w:rPr>
      <w:rFonts w:ascii="Aptos Display" w:hAnsi="Aptos Display" w:eastAsia="Microsoft YaHei"/>
      <w:b/>
      <w:sz w:val="40"/>
      <w:szCs w:val="40"/>
      <w:color w:val="123A35"/>
    </w:rPr>
  </w:style>
  <w:style w:type="paragraph" w:styleId="Subtitle">
    <w:name w:val="Subtitle"/>
    <w:basedOn w:val="Normal"/>
    <w:pPr>
      <w:spacing w:after="160"/>
      <w:jc w:val="center"/>
    </w:pPr>
    <w:rPr>
      <w:sz w:val="24"/>
      <w:szCs w:val="24"/>
      <w:color w:val="5B7770"/>
    </w:rPr>
  </w:style>
  <w:style w:type="paragraph" w:styleId="Heading1">
    <w:name w:val="heading 1"/>
    <w:basedOn w:val="Normal"/>
    <w:next w:val="Normal"/>
    <w:qFormat/>
    <w:pPr>
      <w:keepNext/>
      <w:spacing w:before="80" w:after="180"/>
    </w:pPr>
    <w:rPr>
      <w:rFonts w:ascii="Aptos Display" w:hAnsi="Aptos Display" w:eastAsia="Microsoft YaHei"/>
      <w:b/>
      <w:sz w:val="30"/>
      <w:szCs w:val="30"/>
      <w:color w:val="123A35"/>
    </w:rPr>
  </w:style>
  <w:style w:type="paragraph" w:styleId="Heading2">
    <w:name w:val="heading 2"/>
    <w:basedOn w:val="Normal"/>
    <w:next w:val="Normal"/>
    <w:qFormat/>
    <w:pPr>
      <w:keepNext/>
      <w:spacing w:before="180" w:after="90"/>
    </w:pPr>
    <w:rPr>
      <w:b/>
      <w:sz w:val="24"/>
      <w:szCs w:val="24"/>
      <w:color w:val="2C7566"/>
    </w:rPr>
  </w:style>
  <w:style w:type="paragraph" w:styleId="Quote">
    <w:name w:val="Quote"/>
    <w:basedOn w:val="Normal"/>
    <w:pPr>
      <w:ind w:left="480" w:right="480"/>
      <w:spacing w:before="100" w:after="180"/>
    </w:pPr>
    <w:rPr>
      <w:i/>
      <w:color w:val="2C7566"/>
    </w:rPr>
  </w:style>
  <w:style w:type="paragraph" w:styleId="TableText">
    <w:name w:val="Table Text"/>
    <w:basedOn w:val="Normal"/>
    <w:rPr>
      <w:sz w:val="19"/>
      <w:szCs w:val="19"/>
    </w:rPr>
  </w:style>
  <w:style w:type="paragraph" w:styleId="Caption">
    <w:name w:val="Caption"/>
    <w:basedOn w:val="Normal"/>
    <w:rPr>
      <w:sz w:val="19"/>
      <w:szCs w:val="19"/>
      <w:color w:val="5B7770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Footer" Type="http://schemas.openxmlformats.org/officeDocument/2006/relationships/footer" Target="footer1.xml"/>
</Relationships>
</file>