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D62C" w14:textId="5EDC2EC2" w:rsidR="00643148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1CF98A8E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9742D8" w:rsidRPr="009742D8">
        <w:rPr>
          <w:u w:val="single"/>
          <w:lang w:val="es-ES"/>
        </w:rPr>
        <w:t>29/09/2024</w:t>
      </w:r>
    </w:p>
    <w:p w14:paraId="7B805663" w14:textId="48FFE234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6B1B91" w:rsidRPr="006B1B91">
        <w:rPr>
          <w:u w:val="single"/>
          <w:lang w:val="es-ES"/>
        </w:rPr>
        <w:t>A-JEC-2-2024</w:t>
      </w:r>
    </w:p>
    <w:p w14:paraId="757D5D70" w14:textId="6C83AD7E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="006B1B91" w:rsidRPr="006B1B91">
        <w:rPr>
          <w:rFonts w:cstheme="minorHAnsi"/>
          <w:u w:val="single"/>
        </w:rPr>
        <w:t>ERIKA DOROTEO ORTIZ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707FE6E5" w:rsidR="008227B8" w:rsidRDefault="004914D3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6B1B91" w:rsidRPr="006B1B91">
        <w:rPr>
          <w:u w:val="single"/>
          <w:lang w:val="es-ES"/>
        </w:rPr>
        <w:t>3</w:t>
      </w:r>
      <w:r>
        <w:rPr>
          <w:lang w:val="es-ES"/>
        </w:rPr>
        <w:t xml:space="preserve">, en mi carácter de </w:t>
      </w:r>
      <w:r w:rsidRPr="009A7E35">
        <w:rPr>
          <w:u w:val="single"/>
          <w:lang w:val="es-ES"/>
        </w:rPr>
        <w:t xml:space="preserve">INSPECTOR </w:t>
      </w:r>
      <w:r>
        <w:rPr>
          <w:lang w:val="es-ES"/>
        </w:rPr>
        <w:t xml:space="preserve">  realizo la siguiente Detección de Riesgos a la Imparcialidad, comprometiéndome a que la misma sea efectuada de manera objetiva y anteponiendo a toda la imparcialidad en mis actividades de inspección</w:t>
      </w:r>
      <w:r w:rsidR="008227B8">
        <w:rPr>
          <w:lang w:val="es-ES"/>
        </w:rPr>
        <w:t>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C4890" w14:paraId="473E2116" w14:textId="0CEF1573" w:rsidTr="00B11330">
        <w:tc>
          <w:tcPr>
            <w:tcW w:w="7089" w:type="dxa"/>
          </w:tcPr>
          <w:p w14:paraId="7D94182B" w14:textId="75755384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 xml:space="preserve">Derivado de </w:t>
            </w:r>
            <w:r w:rsidR="008227B8">
              <w:rPr>
                <w:lang w:val="es-ES"/>
              </w:rPr>
              <w:t>Fuentes de Ingreso</w:t>
            </w:r>
          </w:p>
        </w:tc>
        <w:tc>
          <w:tcPr>
            <w:tcW w:w="425" w:type="dxa"/>
          </w:tcPr>
          <w:p w14:paraId="357016DE" w14:textId="7B046466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371360D7" w14:textId="3AF9872D" w:rsidTr="00B11330">
        <w:tc>
          <w:tcPr>
            <w:tcW w:w="7089" w:type="dxa"/>
          </w:tcPr>
          <w:p w14:paraId="358810B3" w14:textId="08F3951C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728CA5F2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27CF9CC4" w14:textId="16B4B881" w:rsidTr="00B11330">
        <w:tc>
          <w:tcPr>
            <w:tcW w:w="7089" w:type="dxa"/>
          </w:tcPr>
          <w:p w14:paraId="7D76D9AA" w14:textId="70287AE3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8C72FB9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134F7E84" w14:textId="3FFF4BE3" w:rsidTr="00B11330">
        <w:tc>
          <w:tcPr>
            <w:tcW w:w="7089" w:type="dxa"/>
          </w:tcPr>
          <w:p w14:paraId="6C114F7C" w14:textId="5219BAE5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2C7E9AF5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541B5DA7" w14:textId="77777777" w:rsidTr="00B11330">
        <w:tc>
          <w:tcPr>
            <w:tcW w:w="7089" w:type="dxa"/>
          </w:tcPr>
          <w:p w14:paraId="003A337A" w14:textId="55AE0ECD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00B7F2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18F53E98" w14:textId="77777777" w:rsidTr="00B11330">
        <w:tc>
          <w:tcPr>
            <w:tcW w:w="7089" w:type="dxa"/>
          </w:tcPr>
          <w:p w14:paraId="38E4ADB4" w14:textId="05D98A64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37E8AAA8" w14:textId="241A907B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568BF007" w14:textId="77777777" w:rsidTr="00B11330">
        <w:tc>
          <w:tcPr>
            <w:tcW w:w="7089" w:type="dxa"/>
          </w:tcPr>
          <w:p w14:paraId="136F06C4" w14:textId="710EF4A6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256353DD" w14:textId="29C7C05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42B194AD" w14:textId="77777777" w:rsidTr="00B11330">
        <w:tc>
          <w:tcPr>
            <w:tcW w:w="7089" w:type="dxa"/>
          </w:tcPr>
          <w:p w14:paraId="1873C2BF" w14:textId="221D34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1D95CFF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58972B1" w14:textId="77777777" w:rsidTr="00B11330">
        <w:tc>
          <w:tcPr>
            <w:tcW w:w="7089" w:type="dxa"/>
          </w:tcPr>
          <w:p w14:paraId="31A17ACE" w14:textId="55632FF0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22874784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16943F7" w14:textId="77777777" w:rsidTr="00B11330">
        <w:tc>
          <w:tcPr>
            <w:tcW w:w="7089" w:type="dxa"/>
          </w:tcPr>
          <w:p w14:paraId="2501AA39" w14:textId="13B2AC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1757E8B6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04979A51" w14:textId="77777777" w:rsidTr="00B11330">
        <w:tc>
          <w:tcPr>
            <w:tcW w:w="7089" w:type="dxa"/>
          </w:tcPr>
          <w:p w14:paraId="5E611D31" w14:textId="422881FA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ACF4BA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7C4890" w:rsidRDefault="007C4890" w:rsidP="008227B8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2D879018" w14:textId="77777777" w:rsidR="00B11330" w:rsidRDefault="00B11330" w:rsidP="00643148">
      <w:pPr>
        <w:rPr>
          <w:lang w:val="es-ES"/>
        </w:rPr>
      </w:pPr>
    </w:p>
    <w:p w14:paraId="117E9C02" w14:textId="2DB2F053" w:rsidR="00F20B07" w:rsidRDefault="007C4890" w:rsidP="004914D3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1FAF5B4A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52990DBD" w14:textId="5807B457" w:rsidR="00C944AD" w:rsidRPr="006B1B91" w:rsidRDefault="006B1B91" w:rsidP="006B1B91">
      <w:pPr>
        <w:jc w:val="center"/>
        <w:rPr>
          <w:u w:val="single"/>
          <w:lang w:val="es-ES"/>
        </w:rPr>
      </w:pPr>
      <w:r w:rsidRPr="006B1B91">
        <w:rPr>
          <w:lang w:val="es-ES"/>
        </w:rPr>
        <w:t>3</w:t>
      </w:r>
    </w:p>
    <w:sectPr w:rsidR="00C944AD" w:rsidRPr="006B1B91" w:rsidSect="003A7ECB">
      <w:headerReference w:type="default" r:id="rId8"/>
      <w:footerReference w:type="even" r:id="rId9"/>
      <w:footerReference w:type="default" r:id="rId10"/>
      <w:pgSz w:w="12240" w:h="15840" w:code="1"/>
      <w:pgMar w:top="1417" w:right="1701" w:bottom="1843" w:left="1701" w:header="708" w:footer="7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CC69" w14:textId="77777777" w:rsidR="001278CD" w:rsidRDefault="001278CD" w:rsidP="008227B8">
      <w:r>
        <w:separator/>
      </w:r>
    </w:p>
  </w:endnote>
  <w:endnote w:type="continuationSeparator" w:id="0">
    <w:p w14:paraId="2C1F1D31" w14:textId="77777777" w:rsidR="001278CD" w:rsidRDefault="001278CD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645D" w14:textId="77777777" w:rsidR="001278CD" w:rsidRDefault="001278CD" w:rsidP="008227B8">
      <w:r>
        <w:separator/>
      </w:r>
    </w:p>
  </w:footnote>
  <w:footnote w:type="continuationSeparator" w:id="0">
    <w:p w14:paraId="5077FFBB" w14:textId="77777777" w:rsidR="001278CD" w:rsidRDefault="001278CD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2E41D594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1C36F9B3" w:rsidR="00F20B07" w:rsidRPr="00E1565B" w:rsidRDefault="00E17725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3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600BF03B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A7982"/>
    <w:rsid w:val="0012176B"/>
    <w:rsid w:val="001223B0"/>
    <w:rsid w:val="001278CD"/>
    <w:rsid w:val="00152688"/>
    <w:rsid w:val="00160264"/>
    <w:rsid w:val="00177FA5"/>
    <w:rsid w:val="00204593"/>
    <w:rsid w:val="0023751F"/>
    <w:rsid w:val="00305C04"/>
    <w:rsid w:val="003456A3"/>
    <w:rsid w:val="0038446A"/>
    <w:rsid w:val="003A7ECB"/>
    <w:rsid w:val="004519F2"/>
    <w:rsid w:val="004914D3"/>
    <w:rsid w:val="004A0D7D"/>
    <w:rsid w:val="004C71B9"/>
    <w:rsid w:val="004D5E3C"/>
    <w:rsid w:val="00524D50"/>
    <w:rsid w:val="00543B44"/>
    <w:rsid w:val="005645B9"/>
    <w:rsid w:val="00565F53"/>
    <w:rsid w:val="0061133A"/>
    <w:rsid w:val="00616C5B"/>
    <w:rsid w:val="00643148"/>
    <w:rsid w:val="00672662"/>
    <w:rsid w:val="006B1B91"/>
    <w:rsid w:val="006C1B0C"/>
    <w:rsid w:val="006F21B8"/>
    <w:rsid w:val="00705F3D"/>
    <w:rsid w:val="00726320"/>
    <w:rsid w:val="00740C56"/>
    <w:rsid w:val="0075615D"/>
    <w:rsid w:val="007B3153"/>
    <w:rsid w:val="007C4890"/>
    <w:rsid w:val="008022EE"/>
    <w:rsid w:val="008227B8"/>
    <w:rsid w:val="00837333"/>
    <w:rsid w:val="00844A95"/>
    <w:rsid w:val="008526DA"/>
    <w:rsid w:val="008A06BB"/>
    <w:rsid w:val="008E041E"/>
    <w:rsid w:val="009103E5"/>
    <w:rsid w:val="00912B83"/>
    <w:rsid w:val="00952C9C"/>
    <w:rsid w:val="009742D8"/>
    <w:rsid w:val="00992E03"/>
    <w:rsid w:val="009A7E35"/>
    <w:rsid w:val="009B2E01"/>
    <w:rsid w:val="009D4DF4"/>
    <w:rsid w:val="00A41B3D"/>
    <w:rsid w:val="00AA7334"/>
    <w:rsid w:val="00B11330"/>
    <w:rsid w:val="00B40CB6"/>
    <w:rsid w:val="00B66570"/>
    <w:rsid w:val="00B83D0F"/>
    <w:rsid w:val="00C64EA0"/>
    <w:rsid w:val="00C944AD"/>
    <w:rsid w:val="00CA4928"/>
    <w:rsid w:val="00D63F62"/>
    <w:rsid w:val="00D941DF"/>
    <w:rsid w:val="00DC5B0A"/>
    <w:rsid w:val="00DE600A"/>
    <w:rsid w:val="00E17725"/>
    <w:rsid w:val="00EC4FE4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A39-D595-435A-97C8-4A484AF9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14</cp:revision>
  <cp:lastPrinted>2022-12-05T18:56:00Z</cp:lastPrinted>
  <dcterms:created xsi:type="dcterms:W3CDTF">2022-11-24T00:39:00Z</dcterms:created>
  <dcterms:modified xsi:type="dcterms:W3CDTF">2024-06-15T17:02:00Z</dcterms:modified>
</cp:coreProperties>
</file>