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2" w:sz="4"/>
              <w:left w:val="single" w:color="C5D0E2" w:sz="4"/>
              <w:bottom w:val="single" w:color="C5D0E2" w:sz="4"/>
              <w:right w:val="single" w:color="C5D0E2" w:sz="4"/>
            </w:tcBorders>
            <w:shd w:fill="181C1D" w:color="auto" w:val="clear"/>
            <w:tcMar>
              <w:top w:type="dxa" w:w="90"/>
              <w:left w:type="dxa" w:w="130"/>
              <w:bottom w:type="dxa" w:w="90"/>
              <w:right w:type="dxa" w:w="130"/>
            </w:tcMar>
            <w:vAlign w:val="center"/>
          </w:tcPr>
          <w:p>
            <w:pPr>
              <w:spacing w:after="60" w:before="120"/>
              <w:jc w:val="center"/>
            </w:pPr>
            <w:r>
              <w:drawing>
                <wp:inline distT="0" distB="0" distL="0" distR="0">
                  <wp:extent cx="1238250" cy="1028700"/>
                  <wp:effectExtent t="0" r="0" b="0" l="0"/>
                  <wp:docPr id="1" name="fora-logo" descr="fora-logo" title="for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028700"/>
                          </a:xfrm>
                          <a:prstGeom prst="rect">
                            <a:avLst/>
                          </a:prstGeom>
                        </pic:spPr>
                      </pic:pic>
                    </a:graphicData>
                  </a:graphic>
                </wp:inline>
              </w:drawing>
            </w:r>
          </w:p>
          <w:p>
            <w:pPr>
              <w:spacing w:after="40"/>
              <w:jc w:val="center"/>
            </w:pPr>
            <w:r>
              <w:rPr>
                <w:rFonts w:ascii="Arial" w:cs="Arial" w:eastAsia="Arial" w:hAnsi="Arial"/>
                <w:b/>
                <w:bCs/>
                <w:color w:val="D6A82B"/>
                <w:sz w:val="22"/>
                <w:szCs w:val="22"/>
              </w:rPr>
              <w:t xml:space="preserve">ANEXO</w:t>
            </w:r>
          </w:p>
          <w:p>
            <w:pPr>
              <w:spacing w:after="40"/>
              <w:jc w:val="center"/>
            </w:pPr>
            <w:r>
              <w:rPr>
                <w:rFonts w:ascii="Arial" w:cs="Arial" w:eastAsia="Arial" w:hAnsi="Arial"/>
                <w:b/>
                <w:bCs/>
                <w:color w:val="FFFFFF"/>
                <w:sz w:val="34"/>
                <w:szCs w:val="34"/>
              </w:rPr>
              <w:t xml:space="preserve">Encuestas, resultados y escala de Likert</w:t>
            </w:r>
          </w:p>
          <w:p>
            <w:pPr>
              <w:spacing w:after="120"/>
              <w:jc w:val="center"/>
            </w:pPr>
            <w:r>
              <w:rPr>
                <w:rFonts w:ascii="Arial" w:cs="Arial" w:eastAsia="Arial" w:hAnsi="Arial"/>
                <w:color w:val="F3D9A4"/>
                <w:sz w:val="21"/>
                <w:szCs w:val="21"/>
              </w:rPr>
              <w:t xml:space="preserve">Proyecto Fora de Lugar · Universidad Autónoma de Campeche</w:t>
            </w:r>
          </w:p>
        </w:tc>
      </w:tr>
    </w:tbl>
    <w:p>
      <w:pPr>
        <w:spacing w:after="120"/>
      </w:pPr>
    </w:p>
    <w:p>
      <w:pPr>
        <w:pStyle w:val="Heading1"/>
      </w:pPr>
      <w:r>
        <w:t xml:space="preserve">1. Propósito</w:t>
      </w:r>
    </w:p>
    <w:p>
      <w:pPr>
        <w:spacing w:after="140" w:line="300"/>
      </w:pPr>
      <w:r>
        <w:rPr>
          <w:rFonts w:ascii="Arial" w:cs="Arial" w:eastAsia="Arial" w:hAnsi="Arial"/>
          <w:color w:val="14213A"/>
          <w:sz w:val="22"/>
          <w:szCs w:val="22"/>
        </w:rPr>
        <w:t xml:space="preserve">Este anexo presenta las encuestas que se aplicaron en Fora de Lugar, el método con el que se midieron (la escala de Likert) y los resultados. Responde a la pregunta de investigación del proyecto: ¿en qué medida una experiencia interactiva como Fora de Lugar puede contribuir a generar conciencia y empatía sobre las dificultades que enfrentan los estudiantes foráneos?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2" w:sz="4"/>
              <w:left w:val="single" w:color="D6A82B" w:sz="36"/>
              <w:bottom w:val="single" w:color="C5D0E2" w:sz="4"/>
              <w:right w:val="single" w:color="C5D0E2" w:sz="4"/>
            </w:tcBorders>
            <w:shd w:fill="F3E2A9" w:color="auto" w:val="clear"/>
            <w:tcMar>
              <w:top w:type="dxa" w:w="90"/>
              <w:left w:type="dxa" w:w="130"/>
              <w:bottom w:type="dxa" w:w="90"/>
              <w:right w:type="dxa" w:w="130"/>
            </w:tcMar>
            <w:vAlign w:val="center"/>
          </w:tcPr>
          <w:p>
            <w:pPr>
              <w:keepNext/>
              <w:spacing w:after="40"/>
            </w:pPr>
            <w:r>
              <w:rPr>
                <w:rFonts w:ascii="Arial" w:cs="Arial" w:eastAsia="Arial" w:hAnsi="Arial"/>
                <w:b/>
                <w:bCs/>
                <w:color w:val="7D3114"/>
                <w:sz w:val="21"/>
                <w:szCs w:val="21"/>
              </w:rPr>
              <w:t xml:space="preserve">Hipótesis del proyecto</w:t>
            </w:r>
          </w:p>
          <w:p>
            <w:pPr>
              <w:keepNext/>
              <w:spacing w:after="40"/>
            </w:pPr>
            <w:r>
              <w:rPr>
                <w:rFonts w:ascii="Arial" w:cs="Arial" w:eastAsia="Arial" w:hAnsi="Arial"/>
                <w:color w:val="14213A"/>
                <w:sz w:val="21"/>
                <w:szCs w:val="21"/>
              </w:rPr>
              <w:t xml:space="preserve">Interactuar con Fora de Lugar aumentará el nivel de concientización de los estudiantes no foráneos sobre las dificultades económicas, emocionales, académicas y sociales de los foráneos, comparando sus respuestas antes y después de jugar.</w:t>
            </w:r>
          </w:p>
        </w:tc>
      </w:tr>
    </w:tbl>
    <w:p>
      <w:pPr>
        <w:spacing w:after="120"/>
      </w:pPr>
    </w:p>
    <w:p>
      <w:pPr>
        <w:pStyle w:val="Heading1"/>
      </w:pPr>
      <w:r>
        <w:t xml:space="preserve">2. Encuestas aplicadas</w:t>
      </w:r>
    </w:p>
    <w:p>
      <w:pPr>
        <w:keepNext/>
        <w:spacing w:after="140" w:line="300"/>
      </w:pPr>
      <w:r>
        <w:rPr>
          <w:rFonts w:ascii="Arial" w:cs="Arial" w:eastAsia="Arial" w:hAnsi="Arial"/>
          <w:color w:val="14213A"/>
          <w:sz w:val="22"/>
          <w:szCs w:val="22"/>
        </w:rPr>
        <w:t xml:space="preserve">Se aplicaron tres encuestas. En todos los casos se cuentan todas las respuestas recibidas.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Encuesta</w:t>
            </w:r>
          </w:p>
        </w:tc>
        <w:tc>
          <w:tcPr>
            <w:tcW w:type="dxa" w:w="22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Respuestas</w:t>
            </w:r>
          </w:p>
        </w:tc>
        <w:tc>
          <w:tcPr>
            <w:tcW w:type="dxa" w:w="48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Qué mide</w:t>
            </w:r>
          </w:p>
        </w:tc>
      </w:tr>
      <w:tr>
        <w:trPr>
          <w:cantSplit/>
        </w:trPr>
        <w:tc>
          <w:tcPr>
            <w:tcW w:type="dxa" w:w="23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Pre-test de concientización</w:t>
            </w:r>
          </w:p>
        </w:tc>
        <w:tc>
          <w:tcPr>
            <w:tcW w:type="dxa" w:w="2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85 estudiantes</w:t>
            </w:r>
          </w:p>
        </w:tc>
        <w:tc>
          <w:tcPr>
            <w:tcW w:type="dxa" w:w="48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Concientización sobre las dificultades de los foráneos, antes de jugar. 10 ítems de Likert</w:t>
            </w:r>
          </w:p>
        </w:tc>
      </w:tr>
      <w:tr>
        <w:trPr>
          <w:cantSplit/>
        </w:trPr>
        <w:tc>
          <w:tcPr>
            <w:tcW w:type="dxa" w:w="23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Post-test de concientización</w:t>
            </w:r>
          </w:p>
        </w:tc>
        <w:tc>
          <w:tcPr>
            <w:tcW w:type="dxa" w:w="2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63 estudiantes</w:t>
            </w:r>
          </w:p>
        </w:tc>
        <w:tc>
          <w:tcPr>
            <w:tcW w:type="dxa" w:w="48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Los mismos 10 ítems después de jugar, más una pregunta abierta</w:t>
            </w:r>
          </w:p>
        </w:tc>
      </w:tr>
      <w:tr>
        <w:trPr>
          <w:cantSplit/>
        </w:trPr>
        <w:tc>
          <w:tcPr>
            <w:tcW w:type="dxa" w:w="23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Encuesta para foráneos</w:t>
            </w:r>
          </w:p>
        </w:tc>
        <w:tc>
          <w:tcPr>
            <w:tcW w:type="dxa" w:w="2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50 estudiantes</w:t>
            </w:r>
          </w:p>
        </w:tc>
        <w:tc>
          <w:tcPr>
            <w:tcW w:type="dxa" w:w="48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Perfil, retos reales y 7 ítems sobre qué tan fiel les parece el juego</w:t>
            </w:r>
          </w:p>
        </w:tc>
      </w:tr>
    </w:tbl>
    <w:p>
      <w:pPr>
        <w:spacing w:after="120"/>
      </w:pPr>
    </w:p>
    <w:p>
      <w:pPr>
        <w:pStyle w:val="Heading2"/>
      </w:pPr>
      <w:r>
        <w:t xml:space="preserve">2.1 Quiénes respondieron</w:t>
      </w:r>
    </w:p>
    <w:p>
      <w:pPr>
        <w:pStyle w:val="ListParagraph"/>
        <w:numPr>
          <w:ilvl w:val="0"/>
          <w:numId w:val="2"/>
        </w:numPr>
        <w:spacing w:after="80" w:line="290"/>
      </w:pPr>
      <w:r>
        <w:rPr>
          <w:rFonts w:ascii="Arial" w:cs="Arial" w:eastAsia="Arial" w:hAnsi="Arial"/>
          <w:color w:val="14213A"/>
          <w:sz w:val="22"/>
          <w:szCs w:val="22"/>
        </w:rPr>
        <w:t xml:space="preserve">Pre-test (85): Humanidades (44), Odontología (40) e Ingeniería (1).</w:t>
      </w:r>
    </w:p>
    <w:p>
      <w:pPr>
        <w:pStyle w:val="ListParagraph"/>
        <w:numPr>
          <w:ilvl w:val="0"/>
          <w:numId w:val="2"/>
        </w:numPr>
        <w:spacing w:after="80" w:line="290"/>
      </w:pPr>
      <w:r>
        <w:rPr>
          <w:rFonts w:ascii="Arial" w:cs="Arial" w:eastAsia="Arial" w:hAnsi="Arial"/>
          <w:color w:val="14213A"/>
          <w:sz w:val="22"/>
          <w:szCs w:val="22"/>
        </w:rPr>
        <w:t xml:space="preserve">Post-test (63): no preguntó la facultad.</w:t>
      </w:r>
    </w:p>
    <w:p>
      <w:pPr>
        <w:pStyle w:val="ListParagraph"/>
        <w:numPr>
          <w:ilvl w:val="0"/>
          <w:numId w:val="2"/>
        </w:numPr>
        <w:spacing w:after="80" w:line="290"/>
      </w:pPr>
      <w:r>
        <w:rPr>
          <w:rFonts w:ascii="Arial" w:cs="Arial" w:eastAsia="Arial" w:hAnsi="Arial"/>
          <w:color w:val="14213A"/>
          <w:sz w:val="22"/>
          <w:szCs w:val="22"/>
        </w:rPr>
        <w:t xml:space="preserve">Encuesta para foráneos (50): Odontología (39), Humanidades (9) e Ingeniería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2" w:sz="4"/>
              <w:left w:val="single" w:color="D6A82B" w:sz="36"/>
              <w:bottom w:val="single" w:color="C5D0E2" w:sz="4"/>
              <w:right w:val="single" w:color="C5D0E2" w:sz="4"/>
            </w:tcBorders>
            <w:shd w:fill="F3E2A9" w:color="auto" w:val="clear"/>
            <w:tcMar>
              <w:top w:type="dxa" w:w="90"/>
              <w:left w:type="dxa" w:w="130"/>
              <w:bottom w:type="dxa" w:w="90"/>
              <w:right w:type="dxa" w:w="130"/>
            </w:tcMar>
            <w:vAlign w:val="center"/>
          </w:tcPr>
          <w:p>
            <w:pPr>
              <w:keepNext/>
              <w:spacing w:after="40"/>
            </w:pPr>
            <w:r>
              <w:rPr>
                <w:rFonts w:ascii="Arial" w:cs="Arial" w:eastAsia="Arial" w:hAnsi="Arial"/>
                <w:b/>
                <w:bCs/>
                <w:color w:val="7D3114"/>
                <w:sz w:val="21"/>
                <w:szCs w:val="21"/>
              </w:rPr>
              <w:t xml:space="preserve">Sobre la identificación</w:t>
            </w:r>
          </w:p>
          <w:p>
            <w:pPr>
              <w:keepNext/>
              <w:spacing w:after="40"/>
            </w:pPr>
            <w:r>
              <w:rPr>
                <w:rFonts w:ascii="Arial" w:cs="Arial" w:eastAsia="Arial" w:hAnsi="Arial"/>
                <w:color w:val="14213A"/>
                <w:sz w:val="21"/>
                <w:szCs w:val="21"/>
              </w:rPr>
              <w:t xml:space="preserve">Cada persona se identificó de forma distinta: con matrícula completa, con una parte de ella o con su correo. Por eso no se descartó ni se unió ninguna respuesta por su identificador: los resultados usan todas las respuestas de cada encuesta. Las matrículas y los correos no aparecen en este anexo.</w:t>
            </w:r>
          </w:p>
        </w:tc>
      </w:tr>
    </w:tbl>
    <w:p>
      <w:pPr>
        <w:spacing w:after="120"/>
      </w:pPr>
    </w:p>
    <w:p>
      <w:pPr>
        <w:pStyle w:val="Heading1"/>
      </w:pPr>
      <w:r>
        <w:t xml:space="preserve">3. La escala de Likert</w:t>
      </w:r>
    </w:p>
    <w:p>
      <w:pPr>
        <w:pStyle w:val="Heading2"/>
      </w:pPr>
      <w:r>
        <w:t xml:space="preserve">3.1 Qué es</w:t>
      </w:r>
    </w:p>
    <w:p>
      <w:pPr>
        <w:spacing w:after="140" w:line="300"/>
      </w:pPr>
      <w:r>
        <w:rPr>
          <w:rFonts w:ascii="Arial" w:cs="Arial" w:eastAsia="Arial" w:hAnsi="Arial"/>
          <w:color w:val="14213A"/>
          <w:sz w:val="22"/>
          <w:szCs w:val="22"/>
        </w:rPr>
        <w:t xml:space="preserve">La escala de Likert es un método para medir qué tan de acuerdo está una persona con una afirmación. Rensis Likert la propuso en 1932. La persona elige una opción dentro de un conjunto ordenado, y cada opción tiene un número. Al reunir las respuestas de muchas personas se obtiene una medida de su opinión sobre el tema.</w:t>
      </w:r>
    </w:p>
    <w:p>
      <w:pPr>
        <w:pStyle w:val="Heading2"/>
      </w:pPr>
      <w:r>
        <w:t xml:space="preserve">3.2 Cómo se usó en Fora de Lugar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Elemento</w:t>
            </w:r>
          </w:p>
        </w:tc>
        <w:tc>
          <w:tcPr>
            <w:tcW w:type="dxa" w:w="63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Descripción</w:t>
            </w:r>
          </w:p>
        </w:tc>
      </w:tr>
      <w:tr>
        <w:trPr>
          <w:cantSplit/>
        </w:trPr>
        <w:tc>
          <w:tcPr>
            <w:tcW w:type="dxa" w:w="3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Formato</w:t>
            </w:r>
          </w:p>
        </w:tc>
        <w:tc>
          <w:tcPr>
            <w:tcW w:type="dxa" w:w="63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Escala de 5 puntos, del 1 al 5</w:t>
            </w:r>
          </w:p>
        </w:tc>
      </w:tr>
      <w:tr>
        <w:trPr>
          <w:cantSplit/>
        </w:trPr>
        <w:tc>
          <w:tcPr>
            <w:tcW w:type="dxa" w:w="3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Pre-test y post-test</w:t>
            </w:r>
          </w:p>
        </w:tc>
        <w:tc>
          <w:tcPr>
            <w:tcW w:type="dxa" w:w="63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10 afirmaciones sobre las dificultades de los foráneos. A mayor valor, mayor acuerdo y mayor concientización</w:t>
            </w:r>
          </w:p>
        </w:tc>
      </w:tr>
      <w:tr>
        <w:trPr>
          <w:cantSplit/>
        </w:trPr>
        <w:tc>
          <w:tcPr>
            <w:tcW w:type="dxa" w:w="3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Encuesta para foráneos</w:t>
            </w:r>
          </w:p>
        </w:tc>
        <w:tc>
          <w:tcPr>
            <w:tcW w:type="dxa" w:w="63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7 ítems en escala de 1 a 5: dos sobre su experiencia real (P4 y P5) y cinco sobre el juego (P6 a P10)</w:t>
            </w:r>
          </w:p>
        </w:tc>
      </w:tr>
      <w:tr>
        <w:trPr>
          <w:cantSplit/>
        </w:trPr>
        <w:tc>
          <w:tcPr>
            <w:tcW w:type="dxa" w:w="3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Pregunta abierta</w:t>
            </w:r>
          </w:p>
        </w:tc>
        <w:tc>
          <w:tcPr>
            <w:tcW w:type="dxa" w:w="63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Una pregunta al final del post-test, resumida por temas</w:t>
            </w:r>
          </w:p>
        </w:tc>
      </w:tr>
    </w:tbl>
    <w:p>
      <w:pPr>
        <w:spacing w:after="120"/>
      </w:pPr>
    </w:p>
    <w:p>
      <w:pPr>
        <w:pStyle w:val="Heading2"/>
      </w:pPr>
      <w:r>
        <w:t xml:space="preserve">3.3 Cómo se leen los resultados</w:t>
      </w:r>
    </w:p>
    <w:p>
      <w:pPr>
        <w:keepNext/>
        <w:spacing w:after="140" w:line="300"/>
      </w:pPr>
      <w:r>
        <w:rPr>
          <w:rFonts w:ascii="Arial" w:cs="Arial" w:eastAsia="Arial" w:hAnsi="Arial"/>
          <w:color w:val="14213A"/>
          <w:sz w:val="22"/>
          <w:szCs w:val="22"/>
        </w:rPr>
        <w:t xml:space="preserve">Con las respuestas de cada ítem se calcularon tres datos:</w:t>
      </w:r>
    </w:p>
    <w:p>
      <w:pPr>
        <w:pStyle w:val="ListParagraph"/>
        <w:numPr>
          <w:ilvl w:val="0"/>
          <w:numId w:val="2"/>
        </w:numPr>
        <w:spacing w:after="80" w:line="290"/>
      </w:pPr>
      <w:r>
        <w:rPr>
          <w:rFonts w:ascii="Arial" w:cs="Arial" w:eastAsia="Arial" w:hAnsi="Arial"/>
          <w:b/>
          <w:bCs/>
          <w:color w:val="10305F"/>
          <w:sz w:val="22"/>
          <w:szCs w:val="22"/>
        </w:rPr>
        <w:t xml:space="preserve">Media: </w:t>
      </w:r>
      <w:r>
        <w:rPr>
          <w:rFonts w:ascii="Arial" w:cs="Arial" w:eastAsia="Arial" w:hAnsi="Arial"/>
          <w:color w:val="14213A"/>
          <w:sz w:val="22"/>
          <w:szCs w:val="22"/>
        </w:rPr>
        <w:t xml:space="preserve">el promedio de las respuestas, entre 1 y 5.</w:t>
      </w:r>
    </w:p>
    <w:p>
      <w:pPr>
        <w:pStyle w:val="ListParagraph"/>
        <w:numPr>
          <w:ilvl w:val="0"/>
          <w:numId w:val="2"/>
        </w:numPr>
        <w:spacing w:after="80" w:line="290"/>
      </w:pPr>
      <w:r>
        <w:rPr>
          <w:rFonts w:ascii="Arial" w:cs="Arial" w:eastAsia="Arial" w:hAnsi="Arial"/>
          <w:b/>
          <w:bCs/>
          <w:color w:val="10305F"/>
          <w:sz w:val="22"/>
          <w:szCs w:val="22"/>
        </w:rPr>
        <w:t xml:space="preserve">Porcentaje de acuerdo: </w:t>
      </w:r>
      <w:r>
        <w:rPr>
          <w:rFonts w:ascii="Arial" w:cs="Arial" w:eastAsia="Arial" w:hAnsi="Arial"/>
          <w:color w:val="14213A"/>
          <w:sz w:val="22"/>
          <w:szCs w:val="22"/>
        </w:rPr>
        <w:t xml:space="preserve">quienes respondieron 4 o 5.</w:t>
      </w:r>
    </w:p>
    <w:p>
      <w:pPr>
        <w:pStyle w:val="ListParagraph"/>
        <w:numPr>
          <w:ilvl w:val="0"/>
          <w:numId w:val="2"/>
        </w:numPr>
        <w:spacing w:after="80" w:line="290"/>
      </w:pPr>
      <w:r>
        <w:rPr>
          <w:rFonts w:ascii="Arial" w:cs="Arial" w:eastAsia="Arial" w:hAnsi="Arial"/>
          <w:b/>
          <w:bCs/>
          <w:color w:val="10305F"/>
          <w:sz w:val="22"/>
          <w:szCs w:val="22"/>
        </w:rPr>
        <w:t xml:space="preserve">Distribución: </w:t>
      </w:r>
      <w:r>
        <w:rPr>
          <w:rFonts w:ascii="Arial" w:cs="Arial" w:eastAsia="Arial" w:hAnsi="Arial"/>
          <w:color w:val="14213A"/>
          <w:sz w:val="22"/>
          <w:szCs w:val="22"/>
        </w:rPr>
        <w:t xml:space="preserve">cuántas personas eligieron cada valor, del 1 al 5.</w:t>
      </w:r>
    </w:p>
    <w:p>
      <w:pPr>
        <w:keepNext/>
        <w:spacing w:after="140" w:line="300"/>
      </w:pPr>
      <w:r>
        <w:rPr>
          <w:rFonts w:ascii="Arial" w:cs="Arial" w:eastAsia="Arial" w:hAnsi="Arial"/>
          <w:color w:val="14213A"/>
          <w:sz w:val="22"/>
          <w:szCs w:val="22"/>
        </w:rPr>
        <w:t xml:space="preserve">Para interpretar la media se usa esta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Media</w:t>
            </w:r>
          </w:p>
        </w:tc>
        <w:tc>
          <w:tcPr>
            <w:tcW w:type="dxa" w:w="22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Valor de la escala</w:t>
            </w:r>
          </w:p>
        </w:tc>
        <w:tc>
          <w:tcPr>
            <w:tcW w:type="dxa" w:w="49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Interpretación</w:t>
            </w:r>
          </w:p>
        </w:tc>
      </w:tr>
      <w:tr>
        <w:trPr>
          <w:cantSplit/>
        </w:trPr>
        <w:tc>
          <w:tcPr>
            <w:tcW w:type="dxa" w:w="2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1,00 a 1,80</w:t>
            </w:r>
          </w:p>
        </w:tc>
        <w:tc>
          <w:tcPr>
            <w:tcW w:type="dxa" w:w="2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1</w:t>
            </w:r>
          </w:p>
        </w:tc>
        <w:tc>
          <w:tcPr>
            <w:tcW w:type="dxa" w:w="49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Muy bajo acuerdo</w:t>
            </w:r>
          </w:p>
        </w:tc>
      </w:tr>
      <w:tr>
        <w:trPr>
          <w:cantSplit/>
        </w:trPr>
        <w:tc>
          <w:tcPr>
            <w:tcW w:type="dxa" w:w="2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1,81 a 2,60</w:t>
            </w:r>
          </w:p>
        </w:tc>
        <w:tc>
          <w:tcPr>
            <w:tcW w:type="dxa" w:w="2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2</w:t>
            </w:r>
          </w:p>
        </w:tc>
        <w:tc>
          <w:tcPr>
            <w:tcW w:type="dxa" w:w="49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Bajo acuerdo</w:t>
            </w:r>
          </w:p>
        </w:tc>
      </w:tr>
      <w:tr>
        <w:trPr>
          <w:cantSplit/>
        </w:trPr>
        <w:tc>
          <w:tcPr>
            <w:tcW w:type="dxa" w:w="2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2,61 a 3,40</w:t>
            </w:r>
          </w:p>
        </w:tc>
        <w:tc>
          <w:tcPr>
            <w:tcW w:type="dxa" w:w="2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3</w:t>
            </w:r>
          </w:p>
        </w:tc>
        <w:tc>
          <w:tcPr>
            <w:tcW w:type="dxa" w:w="49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Acuerdo medio o neutral</w:t>
            </w:r>
          </w:p>
        </w:tc>
      </w:tr>
      <w:tr>
        <w:trPr>
          <w:cantSplit/>
        </w:trPr>
        <w:tc>
          <w:tcPr>
            <w:tcW w:type="dxa" w:w="2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3,41 a 4,20</w:t>
            </w:r>
          </w:p>
        </w:tc>
        <w:tc>
          <w:tcPr>
            <w:tcW w:type="dxa" w:w="2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w:t>
            </w:r>
          </w:p>
        </w:tc>
        <w:tc>
          <w:tcPr>
            <w:tcW w:type="dxa" w:w="49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Alto acuerdo</w:t>
            </w:r>
          </w:p>
        </w:tc>
      </w:tr>
      <w:tr>
        <w:trPr>
          <w:cantSplit/>
        </w:trPr>
        <w:tc>
          <w:tcPr>
            <w:tcW w:type="dxa" w:w="2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4,21 a 5,00</w:t>
            </w:r>
          </w:p>
        </w:tc>
        <w:tc>
          <w:tcPr>
            <w:tcW w:type="dxa" w:w="2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5</w:t>
            </w:r>
          </w:p>
        </w:tc>
        <w:tc>
          <w:tcPr>
            <w:tcW w:type="dxa" w:w="49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Muy alto acuerdo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2" w:sz="4"/>
              <w:left w:val="single" w:color="D6A82B" w:sz="36"/>
              <w:bottom w:val="single" w:color="C5D0E2" w:sz="4"/>
              <w:right w:val="single" w:color="C5D0E2" w:sz="4"/>
            </w:tcBorders>
            <w:shd w:fill="F3E2A9" w:color="auto" w:val="clear"/>
            <w:tcMar>
              <w:top w:type="dxa" w:w="90"/>
              <w:left w:type="dxa" w:w="130"/>
              <w:bottom w:type="dxa" w:w="90"/>
              <w:right w:type="dxa" w:w="130"/>
            </w:tcMar>
            <w:vAlign w:val="center"/>
          </w:tcPr>
          <w:p>
            <w:pPr>
              <w:keepNext/>
              <w:spacing w:after="40"/>
            </w:pPr>
            <w:r>
              <w:rPr>
                <w:rFonts w:ascii="Arial" w:cs="Arial" w:eastAsia="Arial" w:hAnsi="Arial"/>
                <w:b/>
                <w:bCs/>
                <w:color w:val="7D3114"/>
                <w:sz w:val="21"/>
                <w:szCs w:val="21"/>
              </w:rPr>
              <w:t xml:space="preserve">Por confirmar</w:t>
            </w:r>
          </w:p>
          <w:p>
            <w:pPr>
              <w:keepNext/>
              <w:spacing w:after="40"/>
            </w:pPr>
            <w:r>
              <w:rPr>
                <w:rFonts w:ascii="Arial" w:cs="Arial" w:eastAsia="Arial" w:hAnsi="Arial"/>
                <w:color w:val="14213A"/>
                <w:sz w:val="21"/>
                <w:szCs w:val="21"/>
              </w:rPr>
              <w:t xml:space="preserve">Las bases solo traen números del 1 al 5. Se interpreta 5 como el mayor acuerdo. Conviene copiar aquí las etiquetas exactas del formulario (por ejemplo, 1 = totalmente en desacuerdo y 5 = totalmente de acuerdo).</w:t>
            </w:r>
          </w:p>
        </w:tc>
      </w:tr>
    </w:tbl>
    <w:p>
      <w:pPr>
        <w:spacing w:after="120"/>
      </w:pPr>
    </w:p>
    <w:p>
      <w:pPr>
        <w:pStyle w:val="Heading1"/>
      </w:pPr>
      <w:r>
        <w:t xml:space="preserve">4. Instrumentos aplicados</w:t>
      </w:r>
    </w:p>
    <w:p>
      <w:pPr>
        <w:pStyle w:val="Heading2"/>
      </w:pPr>
      <w:r>
        <w:t xml:space="preserve">4.1 Pre-test y post-test de concientización</w:t>
      </w:r>
    </w:p>
    <w:p>
      <w:pPr>
        <w:keepNext/>
        <w:spacing w:after="140" w:line="300"/>
      </w:pPr>
      <w:r>
        <w:rPr>
          <w:rFonts w:ascii="Arial" w:cs="Arial" w:eastAsia="Arial" w:hAnsi="Arial"/>
          <w:color w:val="14213A"/>
          <w:sz w:val="22"/>
          <w:szCs w:val="22"/>
        </w:rPr>
        <w:t xml:space="preserve">Los dos cuestionarios usan los mismos 10 ítems, con escala de 1 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N.º</w:t>
            </w:r>
          </w:p>
        </w:tc>
        <w:tc>
          <w:tcPr>
            <w:tcW w:type="dxa" w:w="86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Afirmación</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P1</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Comprendo las dificultades económicas que puede enfrentar un estudiante foráneo al vivir lejos de su familia.</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P2</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Considero que pagar renta, alimentación, transporte y otros gastos puede representar una carga importante para un estudiante foráneo.</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P3</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Comprendo que vivir lejos de la familia puede generar sentimientos de soledad, estrés o nostalgia.</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P4</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Considero que adaptarse a una nueva ciudad y a una forma de vida independiente puede ser difícil para un estudiante foráneo.</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P5</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Comprendo que un estudiante foráneo puede tener dificultades para equilibrar sus estudios con el trabajo y las responsabilidades del hogar.</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P6</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Considero que situaciones como cocinar, lavar, limpiar y organizar el tiempo pueden afectar la experiencia académica de un estudiante foráneo.</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P7</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Comprendo que las dificultades de transporte y movilidad pueden afectar la vida cotidiana de un estudiante que vive lejos de su lugar de origen.</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P8</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Considero que vivir lejos del hogar puede influir en el rendimiento académico y en el bienestar emocional de un estudiante.</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P9</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Me siento capaz de comprender y ponerme en el lugar de un estudiante que debe vivir lejos de su familia para estudiar.</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P10</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Considero que la experiencia de ser estudiante foráneo implica dificultades que pueden ser difíciles de percibir para quienes nunca han vivido esta situación.</w:t>
            </w:r>
          </w:p>
        </w:tc>
      </w:tr>
    </w:tbl>
    <w:p>
      <w:pPr>
        <w:spacing w:after="120"/>
      </w:pPr>
    </w:p>
    <w:p>
      <w:pPr>
        <w:spacing w:after="140" w:line="300"/>
      </w:pPr>
      <w:r>
        <w:rPr>
          <w:rFonts w:ascii="Arial" w:cs="Arial" w:eastAsia="Arial" w:hAnsi="Arial"/>
          <w:b/>
          <w:bCs/>
          <w:color w:val="10305F"/>
          <w:sz w:val="22"/>
          <w:szCs w:val="22"/>
        </w:rPr>
        <w:t xml:space="preserve">Pregunta abierta del post-test: </w:t>
      </w:r>
      <w:r>
        <w:rPr>
          <w:rFonts w:ascii="Arial" w:cs="Arial" w:eastAsia="Arial" w:hAnsi="Arial"/>
          <w:color w:val="14213A"/>
          <w:sz w:val="22"/>
          <w:szCs w:val="22"/>
        </w:rPr>
        <w:t xml:space="preserve">después de jugar Fora de Lugar, ¿hubo alguna situación relacionada con la experiencia de ser estudiante foráneo que ahora comprendas de una manera diferente?</w:t>
      </w:r>
    </w:p>
    <w:p>
      <w:pPr>
        <w:pStyle w:val="Heading2"/>
      </w:pPr>
      <w:r>
        <w:t xml:space="preserve">4.2 Encuesta para estudiantes foráneos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N.º</w:t>
            </w:r>
          </w:p>
        </w:tc>
        <w:tc>
          <w:tcPr>
            <w:tcW w:type="dxa" w:w="86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Pregunta</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1</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¿Cuánto tiempo llevas estudiando como foráneo/a fuera de tu ciudad de origen?</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2</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¿Tienes o has tenido que trabajar para financiar tus estudios y estancia?</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3</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¿Cuáles han sido tus mayores retos en tu día a día como estudiante foráneo/a? (opción múltiple)</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4</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¿Qué tan difícil ha sido para ti el proceso de adaptación a vivir de forma independiente lejos de tu familia? (1 a 5)</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5</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En tu experiencia real, ¿qué tan abrumadora ha sido la carga de tener que valerte por ti mismo/a? (1 a 5)</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6</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Al jugar Fora de Lugar, ¿qué tan identificado/a te sentiste con las situaciones y retos que enfrenta el personaje? (1 a 5)</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7</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El juego retrata de manera fiel y realista la carga diaria que vive una parte de la población de estudiantes foráneos. (1 a 5)</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8</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Las acciones del juego (como tener que mesear y administrar dinero limitado) reflejan acertadamente los esfuerzos que realizamos en la vida real. (1 a 5)</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9</w:t>
            </w:r>
          </w:p>
        </w:tc>
        <w:tc>
          <w:tcPr>
            <w:tcW w:type="dxa" w:w="86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Sentí que la experiencia de vivir solo/a y la independencia obligada se vieron representadas adecuadamente en el videojuego. (1 a 5)</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10</w:t>
            </w:r>
          </w:p>
        </w:tc>
        <w:tc>
          <w:tcPr>
            <w:tcW w:type="dxa" w:w="86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Considero que este videojuego es una herramienta efectiva para que un estudiante local entienda lo que vivimos día a día. (1 a 5)</w:t>
            </w:r>
          </w:p>
        </w:tc>
      </w:tr>
    </w:tbl>
    <w:p>
      <w:pPr>
        <w:spacing w:after="120"/>
      </w:pPr>
    </w:p>
    <w:p>
      <w:pPr>
        <w:pStyle w:val="Heading1"/>
      </w:pPr>
      <w:r>
        <w:t xml:space="preserve">5. Resultados</w:t>
      </w:r>
    </w:p>
    <w:p>
      <w:pPr>
        <w:pStyle w:val="Heading2"/>
      </w:pPr>
      <w:r>
        <w:t xml:space="preserve">5.1 Pre-test y post-test</w:t>
      </w:r>
    </w:p>
    <w:p>
      <w:pPr>
        <w:spacing w:after="140" w:line="300"/>
      </w:pPr>
      <w:r>
        <w:rPr>
          <w:rFonts w:ascii="Arial" w:cs="Arial" w:eastAsia="Arial" w:hAnsi="Arial"/>
          <w:color w:val="14213A"/>
          <w:sz w:val="22"/>
          <w:szCs w:val="22"/>
        </w:rPr>
        <w:t xml:space="preserve">Resultados de los 10 ítems con todas las respuestas: 85 en el pre-test y 63 en el post-test.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tblHeader/>
        </w:trPr>
        <w:tc>
          <w:tcPr>
            <w:tcW w:type="dxa" w:w="34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Indicador general</w:t>
            </w:r>
          </w:p>
        </w:tc>
        <w:tc>
          <w:tcPr>
            <w:tcW w:type="dxa" w:w="19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Pre-test</w:t>
            </w:r>
          </w:p>
        </w:tc>
        <w:tc>
          <w:tcPr>
            <w:tcW w:type="dxa" w:w="19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Post-test</w:t>
            </w:r>
          </w:p>
        </w:tc>
        <w:tc>
          <w:tcPr>
            <w:tcW w:type="dxa" w:w="21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Cambio</w:t>
            </w:r>
          </w:p>
        </w:tc>
      </w:tr>
      <w:tr>
        <w:trPr>
          <w:cantSplit/>
        </w:trPr>
        <w:tc>
          <w:tcPr>
            <w:tcW w:type="dxa" w:w="34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Respuestas</w:t>
            </w:r>
          </w:p>
        </w:tc>
        <w:tc>
          <w:tcPr>
            <w:tcW w:type="dxa" w:w="19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85</w:t>
            </w:r>
          </w:p>
        </w:tc>
        <w:tc>
          <w:tcPr>
            <w:tcW w:type="dxa" w:w="19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63</w:t>
            </w:r>
          </w:p>
        </w:tc>
        <w:tc>
          <w:tcPr>
            <w:tcW w:type="dxa" w:w="21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w:t>
            </w:r>
          </w:p>
        </w:tc>
      </w:tr>
      <w:tr>
        <w:trPr>
          <w:cantSplit/>
        </w:trPr>
        <w:tc>
          <w:tcPr>
            <w:tcW w:type="dxa" w:w="34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Media de los 10 ítems</w:t>
            </w:r>
          </w:p>
        </w:tc>
        <w:tc>
          <w:tcPr>
            <w:tcW w:type="dxa" w:w="19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4,64</w:t>
            </w:r>
          </w:p>
        </w:tc>
        <w:tc>
          <w:tcPr>
            <w:tcW w:type="dxa" w:w="19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4,86</w:t>
            </w:r>
          </w:p>
        </w:tc>
        <w:tc>
          <w:tcPr>
            <w:tcW w:type="dxa" w:w="21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+0,21</w:t>
            </w:r>
          </w:p>
        </w:tc>
      </w:tr>
      <w:tr>
        <w:trPr>
          <w:cantSplit/>
        </w:trPr>
        <w:tc>
          <w:tcPr>
            <w:tcW w:type="dxa" w:w="34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Acuerdo (4 y 5)</w:t>
            </w:r>
          </w:p>
        </w:tc>
        <w:tc>
          <w:tcPr>
            <w:tcW w:type="dxa" w:w="19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90%</w:t>
            </w:r>
          </w:p>
        </w:tc>
        <w:tc>
          <w:tcPr>
            <w:tcW w:type="dxa" w:w="19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95%</w:t>
            </w:r>
          </w:p>
        </w:tc>
        <w:tc>
          <w:tcPr>
            <w:tcW w:type="dxa" w:w="21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 puntos</w:t>
            </w:r>
          </w:p>
        </w:tc>
      </w:tr>
      <w:tr>
        <w:trPr>
          <w:cantSplit/>
        </w:trPr>
        <w:tc>
          <w:tcPr>
            <w:tcW w:type="dxa" w:w="34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Respondió 5</w:t>
            </w:r>
          </w:p>
        </w:tc>
        <w:tc>
          <w:tcPr>
            <w:tcW w:type="dxa" w:w="19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76%</w:t>
            </w:r>
          </w:p>
        </w:tc>
        <w:tc>
          <w:tcPr>
            <w:tcW w:type="dxa" w:w="19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92%</w:t>
            </w:r>
          </w:p>
        </w:tc>
        <w:tc>
          <w:tcPr>
            <w:tcW w:type="dxa" w:w="21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+16 puntos</w:t>
            </w:r>
          </w:p>
        </w:tc>
      </w:tr>
    </w:tbl>
    <w:p>
      <w:pPr>
        <w:spacing w:after="120"/>
      </w:pPr>
    </w:p>
    <w:p>
      <w:pPr>
        <w:spacing w:after="140" w:line="300"/>
      </w:pPr>
      <w:r>
        <w:rPr>
          <w:rFonts w:ascii="Arial" w:cs="Arial" w:eastAsia="Arial" w:hAnsi="Arial"/>
          <w:color w:val="14213A"/>
          <w:sz w:val="22"/>
          <w:szCs w:val="22"/>
        </w:rPr>
        <w:t xml:space="preserve">Antes de jugar, el 90% de las respuestas ya estaba en acuerdo (4 o 5). Después de jugar subió al 95%. El cambio más claro está en las respuestas 5: del 76% al 92%. La media subió en los 10 ítems.</w:t>
      </w:r>
    </w:p>
    <w:p>
      <w:pPr>
        <w:keepNext/>
        <w:spacing w:after="60" w:before="120"/>
        <w:jc w:val="center"/>
      </w:pPr>
      <w:r>
        <w:drawing>
          <wp:inline distT="0" distB="0" distL="0" distR="0">
            <wp:extent cx="4476750" cy="2943225"/>
            <wp:effectExtent t="0" r="0" b="0" l="0"/>
            <wp:docPr id="2" name="g1" descr="g1" title="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43225"/>
                    </a:xfrm>
                    <a:prstGeom prst="rect">
                      <a:avLst/>
                    </a:prstGeom>
                  </pic:spPr>
                </pic:pic>
              </a:graphicData>
            </a:graphic>
          </wp:inline>
        </w:drawing>
      </w:r>
    </w:p>
    <w:p>
      <w:pPr>
        <w:spacing w:after="200"/>
        <w:jc w:val="center"/>
      </w:pPr>
      <w:r>
        <w:rPr>
          <w:rFonts w:ascii="Arial" w:cs="Arial" w:eastAsia="Arial" w:hAnsi="Arial"/>
          <w:i/>
          <w:iCs/>
          <w:color w:val="1D4D8F"/>
          <w:sz w:val="18"/>
          <w:szCs w:val="18"/>
        </w:rPr>
        <w:t xml:space="preserve">Figura 1. Media por ítem, pre-test y post-test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1200"/>
        <w:gridCol w:w="1200"/>
        <w:gridCol w:w="1500"/>
        <w:gridCol w:w="1700"/>
      </w:tblGrid>
      <w:tr>
        <w:trPr>
          <w:tblHeader/>
        </w:trPr>
        <w:tc>
          <w:tcPr>
            <w:tcW w:type="dxa" w:w="7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N.º</w:t>
            </w:r>
          </w:p>
        </w:tc>
        <w:tc>
          <w:tcPr>
            <w:tcW w:type="dxa" w:w="30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Tema</w:t>
            </w:r>
          </w:p>
        </w:tc>
        <w:tc>
          <w:tcPr>
            <w:tcW w:type="dxa" w:w="12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Media pre</w:t>
            </w:r>
          </w:p>
        </w:tc>
        <w:tc>
          <w:tcPr>
            <w:tcW w:type="dxa" w:w="12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Media post</w:t>
            </w:r>
          </w:p>
        </w:tc>
        <w:tc>
          <w:tcPr>
            <w:tcW w:type="dxa" w:w="15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Acuerdo pre</w:t>
            </w:r>
          </w:p>
        </w:tc>
        <w:tc>
          <w:tcPr>
            <w:tcW w:type="dxa" w:w="17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Acuerdo post</w:t>
            </w:r>
          </w:p>
        </w:tc>
      </w:tr>
      <w:tr>
        <w:trPr>
          <w:cantSplit/>
        </w:trPr>
        <w:tc>
          <w:tcPr>
            <w:tcW w:type="dxa" w:w="7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P1</w:t>
            </w:r>
          </w:p>
        </w:tc>
        <w:tc>
          <w:tcPr>
            <w:tcW w:type="dxa" w:w="3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Económicas</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4,65</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4,83</w:t>
            </w:r>
          </w:p>
        </w:tc>
        <w:tc>
          <w:tcPr>
            <w:tcW w:type="dxa" w:w="15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89%</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94%</w:t>
            </w:r>
          </w:p>
        </w:tc>
      </w:tr>
      <w:tr>
        <w:trPr>
          <w:cantSplit/>
        </w:trPr>
        <w:tc>
          <w:tcPr>
            <w:tcW w:type="dxa" w:w="7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P2</w:t>
            </w:r>
          </w:p>
        </w:tc>
        <w:tc>
          <w:tcPr>
            <w:tcW w:type="dxa" w:w="3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Gastos</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4,86</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4,90</w:t>
            </w:r>
          </w:p>
        </w:tc>
        <w:tc>
          <w:tcPr>
            <w:tcW w:type="dxa" w:w="15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98%</w:t>
            </w:r>
          </w:p>
        </w:tc>
        <w:tc>
          <w:tcPr>
            <w:tcW w:type="dxa" w:w="1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97%</w:t>
            </w:r>
          </w:p>
        </w:tc>
      </w:tr>
      <w:tr>
        <w:trPr>
          <w:cantSplit/>
        </w:trPr>
        <w:tc>
          <w:tcPr>
            <w:tcW w:type="dxa" w:w="7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P3</w:t>
            </w:r>
          </w:p>
        </w:tc>
        <w:tc>
          <w:tcPr>
            <w:tcW w:type="dxa" w:w="3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Soledad y estrés</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4,75</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4,87</w:t>
            </w:r>
          </w:p>
        </w:tc>
        <w:tc>
          <w:tcPr>
            <w:tcW w:type="dxa" w:w="15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95%</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95%</w:t>
            </w:r>
          </w:p>
        </w:tc>
      </w:tr>
      <w:tr>
        <w:trPr>
          <w:cantSplit/>
        </w:trPr>
        <w:tc>
          <w:tcPr>
            <w:tcW w:type="dxa" w:w="7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P4</w:t>
            </w:r>
          </w:p>
        </w:tc>
        <w:tc>
          <w:tcPr>
            <w:tcW w:type="dxa" w:w="3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Adaptación</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4,71</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4,92</w:t>
            </w:r>
          </w:p>
        </w:tc>
        <w:tc>
          <w:tcPr>
            <w:tcW w:type="dxa" w:w="15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94%</w:t>
            </w:r>
          </w:p>
        </w:tc>
        <w:tc>
          <w:tcPr>
            <w:tcW w:type="dxa" w:w="1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97%</w:t>
            </w:r>
          </w:p>
        </w:tc>
      </w:tr>
      <w:tr>
        <w:trPr>
          <w:cantSplit/>
        </w:trPr>
        <w:tc>
          <w:tcPr>
            <w:tcW w:type="dxa" w:w="7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P5</w:t>
            </w:r>
          </w:p>
        </w:tc>
        <w:tc>
          <w:tcPr>
            <w:tcW w:type="dxa" w:w="3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Estudio y trabajo</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4,66</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4,87</w:t>
            </w:r>
          </w:p>
        </w:tc>
        <w:tc>
          <w:tcPr>
            <w:tcW w:type="dxa" w:w="15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89%</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95%</w:t>
            </w:r>
          </w:p>
        </w:tc>
      </w:tr>
      <w:tr>
        <w:trPr>
          <w:cantSplit/>
        </w:trPr>
        <w:tc>
          <w:tcPr>
            <w:tcW w:type="dxa" w:w="7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P6</w:t>
            </w:r>
          </w:p>
        </w:tc>
        <w:tc>
          <w:tcPr>
            <w:tcW w:type="dxa" w:w="3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Tareas del hogar</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4,56</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4,81</w:t>
            </w:r>
          </w:p>
        </w:tc>
        <w:tc>
          <w:tcPr>
            <w:tcW w:type="dxa" w:w="15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86%</w:t>
            </w:r>
          </w:p>
        </w:tc>
        <w:tc>
          <w:tcPr>
            <w:tcW w:type="dxa" w:w="1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94%</w:t>
            </w:r>
          </w:p>
        </w:tc>
      </w:tr>
      <w:tr>
        <w:trPr>
          <w:cantSplit/>
        </w:trPr>
        <w:tc>
          <w:tcPr>
            <w:tcW w:type="dxa" w:w="7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P7</w:t>
            </w:r>
          </w:p>
        </w:tc>
        <w:tc>
          <w:tcPr>
            <w:tcW w:type="dxa" w:w="3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Transporte</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4,65</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4,86</w:t>
            </w:r>
          </w:p>
        </w:tc>
        <w:tc>
          <w:tcPr>
            <w:tcW w:type="dxa" w:w="15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93%</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94%</w:t>
            </w:r>
          </w:p>
        </w:tc>
      </w:tr>
      <w:tr>
        <w:trPr>
          <w:cantSplit/>
        </w:trPr>
        <w:tc>
          <w:tcPr>
            <w:tcW w:type="dxa" w:w="7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P8</w:t>
            </w:r>
          </w:p>
        </w:tc>
        <w:tc>
          <w:tcPr>
            <w:tcW w:type="dxa" w:w="3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Rendimiento y bienestar</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4,56</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4,84</w:t>
            </w:r>
          </w:p>
        </w:tc>
        <w:tc>
          <w:tcPr>
            <w:tcW w:type="dxa" w:w="15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87%</w:t>
            </w:r>
          </w:p>
        </w:tc>
        <w:tc>
          <w:tcPr>
            <w:tcW w:type="dxa" w:w="1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94%</w:t>
            </w:r>
          </w:p>
        </w:tc>
      </w:tr>
      <w:tr>
        <w:trPr>
          <w:cantSplit/>
        </w:trPr>
        <w:tc>
          <w:tcPr>
            <w:tcW w:type="dxa" w:w="7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P9</w:t>
            </w:r>
          </w:p>
        </w:tc>
        <w:tc>
          <w:tcPr>
            <w:tcW w:type="dxa" w:w="3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Ponerse en su lugar</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4,47</w:t>
            </w:r>
          </w:p>
        </w:tc>
        <w:tc>
          <w:tcPr>
            <w:tcW w:type="dxa" w:w="1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4,84</w:t>
            </w:r>
          </w:p>
        </w:tc>
        <w:tc>
          <w:tcPr>
            <w:tcW w:type="dxa" w:w="15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85%</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94%</w:t>
            </w:r>
          </w:p>
        </w:tc>
      </w:tr>
      <w:tr>
        <w:trPr>
          <w:cantSplit/>
        </w:trPr>
        <w:tc>
          <w:tcPr>
            <w:tcW w:type="dxa" w:w="7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P10</w:t>
            </w:r>
          </w:p>
        </w:tc>
        <w:tc>
          <w:tcPr>
            <w:tcW w:type="dxa" w:w="3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Difícil de percibir</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4,56</w:t>
            </w:r>
          </w:p>
        </w:tc>
        <w:tc>
          <w:tcPr>
            <w:tcW w:type="dxa" w:w="1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4,83</w:t>
            </w:r>
          </w:p>
        </w:tc>
        <w:tc>
          <w:tcPr>
            <w:tcW w:type="dxa" w:w="15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88%</w:t>
            </w:r>
          </w:p>
        </w:tc>
        <w:tc>
          <w:tcPr>
            <w:tcW w:type="dxa" w:w="1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94%</w:t>
            </w:r>
          </w:p>
        </w:tc>
      </w:tr>
    </w:tbl>
    <w:p>
      <w:pPr>
        <w:spacing w:after="120"/>
      </w:pPr>
    </w:p>
    <w:p>
      <w:pPr>
        <w:spacing w:after="140" w:line="300"/>
      </w:pPr>
      <w:r>
        <w:rPr>
          <w:rFonts w:ascii="Arial" w:cs="Arial" w:eastAsia="Arial" w:hAnsi="Arial"/>
          <w:color w:val="14213A"/>
          <w:sz w:val="22"/>
          <w:szCs w:val="22"/>
        </w:rPr>
        <w:t xml:space="preserve">Los ítems que más subieron fueron P9 «ponerse en su lugar» (de 4,47 a 4,84), P6 «tareas del hogar» (de 4,56 a 4,81) y P8 «rendimiento y bienestar» (de 4,56 a 4,84). P2 (gastos) casi no cambió porque ya partía de 4,86.</w:t>
      </w:r>
    </w:p>
    <w:p>
      <w:pPr>
        <w:pStyle w:val="Heading2"/>
      </w:pPr>
      <w:r>
        <w:t xml:space="preserve">5.2 Respuestas abiertas del post-test</w:t>
      </w:r>
    </w:p>
    <w:p>
      <w:pPr>
        <w:spacing w:after="140" w:line="300"/>
      </w:pPr>
      <w:r>
        <w:rPr>
          <w:rFonts w:ascii="Arial" w:cs="Arial" w:eastAsia="Arial" w:hAnsi="Arial"/>
          <w:color w:val="14213A"/>
          <w:sz w:val="22"/>
          <w:szCs w:val="22"/>
        </w:rPr>
        <w:t xml:space="preserve">Hubo 60 respuestas a la pregunta abierta; dos personas dijeron que no habían jugado. Temas más mencionados (conteo aproximado por palabras clave; una respuesta puede tocar varios temas):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rPr>
          <w:tblHeader/>
        </w:trPr>
        <w:tc>
          <w:tcPr>
            <w:tcW w:type="dxa" w:w="52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Tema</w:t>
            </w:r>
          </w:p>
        </w:tc>
        <w:tc>
          <w:tcPr>
            <w:tcW w:type="dxa" w:w="20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Menciones</w:t>
            </w:r>
          </w:p>
        </w:tc>
        <w:tc>
          <w:tcPr>
            <w:tcW w:type="dxa" w:w="21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 de 60</w:t>
            </w:r>
          </w:p>
        </w:tc>
      </w:tr>
      <w:tr>
        <w:trPr>
          <w:cantSplit/>
        </w:trPr>
        <w:tc>
          <w:tcPr>
            <w:tcW w:type="dxa" w:w="5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Soledad, emociones y familia</w:t>
            </w:r>
          </w:p>
        </w:tc>
        <w:tc>
          <w:tcPr>
            <w:tcW w:type="dxa" w:w="2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18</w:t>
            </w:r>
          </w:p>
        </w:tc>
        <w:tc>
          <w:tcPr>
            <w:tcW w:type="dxa" w:w="21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30%</w:t>
            </w:r>
          </w:p>
        </w:tc>
      </w:tr>
      <w:tr>
        <w:trPr>
          <w:cantSplit/>
        </w:trPr>
        <w:tc>
          <w:tcPr>
            <w:tcW w:type="dxa" w:w="5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Dinero y presupuesto</w:t>
            </w:r>
          </w:p>
        </w:tc>
        <w:tc>
          <w:tcPr>
            <w:tcW w:type="dxa" w:w="2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8</w:t>
            </w:r>
          </w:p>
        </w:tc>
        <w:tc>
          <w:tcPr>
            <w:tcW w:type="dxa" w:w="21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13%</w:t>
            </w:r>
          </w:p>
        </w:tc>
      </w:tr>
      <w:tr>
        <w:trPr>
          <w:cantSplit/>
        </w:trPr>
        <w:tc>
          <w:tcPr>
            <w:tcW w:type="dxa" w:w="52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Trabajo y estudio a la vez</w:t>
            </w:r>
          </w:p>
        </w:tc>
        <w:tc>
          <w:tcPr>
            <w:tcW w:type="dxa" w:w="2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7</w:t>
            </w:r>
          </w:p>
        </w:tc>
        <w:tc>
          <w:tcPr>
            <w:tcW w:type="dxa" w:w="21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12%</w:t>
            </w:r>
          </w:p>
        </w:tc>
      </w:tr>
      <w:tr>
        <w:trPr>
          <w:cantSplit/>
        </w:trPr>
        <w:tc>
          <w:tcPr>
            <w:tcW w:type="dxa" w:w="52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Tareas del hogar (limpiar, cocinar, súper)</w:t>
            </w:r>
          </w:p>
        </w:tc>
        <w:tc>
          <w:tcPr>
            <w:tcW w:type="dxa" w:w="2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6</w:t>
            </w:r>
          </w:p>
        </w:tc>
        <w:tc>
          <w:tcPr>
            <w:tcW w:type="dxa" w:w="21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10%</w:t>
            </w:r>
          </w:p>
        </w:tc>
      </w:tr>
    </w:tbl>
    <w:p>
      <w:pPr>
        <w:spacing w:after="120"/>
      </w:pPr>
    </w:p>
    <w:p>
      <w:pPr>
        <w:keepNext/>
        <w:spacing w:after="140" w:line="300"/>
      </w:pPr>
      <w:r>
        <w:rPr>
          <w:rFonts w:ascii="Arial" w:cs="Arial" w:eastAsia="Arial" w:hAnsi="Arial"/>
          <w:color w:val="14213A"/>
          <w:sz w:val="22"/>
          <w:szCs w:val="22"/>
        </w:rPr>
        <w:t xml:space="preserve">Algunas respuestas, sin datos personales:</w:t>
      </w:r>
    </w:p>
    <w:p>
      <w:pPr>
        <w:pBdr>
          <w:left w:val="single" w:color="D6A82B" w:sz="24" w:space="8"/>
        </w:pBdr>
        <w:spacing w:after="100"/>
        <w:ind w:left="360"/>
      </w:pPr>
      <w:r>
        <w:rPr>
          <w:rFonts w:ascii="Arial" w:cs="Arial" w:eastAsia="Arial" w:hAnsi="Arial"/>
          <w:i/>
          <w:iCs/>
          <w:color w:val="7D3114"/>
          <w:sz w:val="21"/>
          <w:szCs w:val="21"/>
        </w:rPr>
        <w:t xml:space="preserve">«Comprendo mejor el aspecto emocional de los estudiantes foráneos y cómo influye en su rendimiento y autoestima.»</w:t>
      </w:r>
    </w:p>
    <w:p>
      <w:pPr>
        <w:pBdr>
          <w:left w:val="single" w:color="D6A82B" w:sz="24" w:space="8"/>
        </w:pBdr>
        <w:spacing w:after="100"/>
        <w:ind w:left="360"/>
      </w:pPr>
      <w:r>
        <w:rPr>
          <w:rFonts w:ascii="Arial" w:cs="Arial" w:eastAsia="Arial" w:hAnsi="Arial"/>
          <w:i/>
          <w:iCs/>
          <w:color w:val="7D3114"/>
          <w:sz w:val="21"/>
          <w:szCs w:val="21"/>
        </w:rPr>
        <w:t xml:space="preserve">«El tema de tener que limpiar y hacer el quehacer por tu cuenta es algo que no había pensado nunca: cuánto tiempo y energía quita.»</w:t>
      </w:r>
    </w:p>
    <w:p>
      <w:pPr>
        <w:pBdr>
          <w:left w:val="single" w:color="D6A82B" w:sz="24" w:space="8"/>
        </w:pBdr>
        <w:spacing w:after="100"/>
        <w:ind w:left="360"/>
      </w:pPr>
      <w:r>
        <w:rPr>
          <w:rFonts w:ascii="Arial" w:cs="Arial" w:eastAsia="Arial" w:hAnsi="Arial"/>
          <w:i/>
          <w:iCs/>
          <w:color w:val="7D3114"/>
          <w:sz w:val="21"/>
          <w:szCs w:val="21"/>
        </w:rPr>
        <w:t xml:space="preserve">«Lo difícil que la pasan ante problemas, ya que prácticamente están solos.»</w:t>
      </w:r>
    </w:p>
    <w:p>
      <w:pPr>
        <w:pBdr>
          <w:left w:val="single" w:color="D6A82B" w:sz="24" w:space="8"/>
        </w:pBdr>
        <w:spacing w:after="100"/>
        <w:ind w:left="360"/>
      </w:pPr>
      <w:r>
        <w:rPr>
          <w:rFonts w:ascii="Arial" w:cs="Arial" w:eastAsia="Arial" w:hAnsi="Arial"/>
          <w:i/>
          <w:iCs/>
          <w:color w:val="7D3114"/>
          <w:sz w:val="21"/>
          <w:szCs w:val="21"/>
        </w:rPr>
        <w:t xml:space="preserve">«Todo fue totalmente apegado a la realidad.»</w:t>
      </w:r>
    </w:p>
    <w:p>
      <w:pPr>
        <w:pStyle w:val="Heading2"/>
      </w:pPr>
      <w:r>
        <w:t xml:space="preserve">5.3 Encuesta para estudiantes foráneos</w:t>
      </w:r>
    </w:p>
    <w:p>
      <w:pPr>
        <w:keepNext/>
        <w:spacing w:after="140" w:line="300"/>
      </w:pPr>
      <w:r>
        <w:rPr>
          <w:rFonts w:ascii="Arial" w:cs="Arial" w:eastAsia="Arial" w:hAnsi="Arial"/>
          <w:color w:val="14213A"/>
          <w:sz w:val="22"/>
          <w:szCs w:val="22"/>
        </w:rPr>
        <w:t xml:space="preserve">Perfil de las 50 personas que respondieron: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Dato</w:t>
            </w:r>
          </w:p>
        </w:tc>
        <w:tc>
          <w:tcPr>
            <w:tcW w:type="dxa" w:w="63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Resultado</w:t>
            </w:r>
          </w:p>
        </w:tc>
      </w:tr>
      <w:tr>
        <w:trPr>
          <w:cantSplit/>
        </w:trPr>
        <w:tc>
          <w:tcPr>
            <w:tcW w:type="dxa" w:w="3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Tiempo como foráneo</w:t>
            </w:r>
          </w:p>
        </w:tc>
        <w:tc>
          <w:tcPr>
            <w:tcW w:type="dxa" w:w="63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Entre 1 y 2 años: 29 · 3 años o más: 17 · Menos de 1 año: 4</w:t>
            </w:r>
          </w:p>
        </w:tc>
      </w:tr>
      <w:tr>
        <w:trPr>
          <w:cantSplit/>
        </w:trPr>
        <w:tc>
          <w:tcPr>
            <w:tcW w:type="dxa" w:w="3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Trabaja para financiar sus estudios</w:t>
            </w:r>
          </w:p>
        </w:tc>
        <w:tc>
          <w:tcPr>
            <w:tcW w:type="dxa" w:w="63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Sus gastos están cubiertos: 29 · No, pero lo ha considerado: 16 · Sí, trabaja: 4 · Trabajó antes: 1</w:t>
            </w:r>
          </w:p>
        </w:tc>
      </w:tr>
    </w:tbl>
    <w:p>
      <w:pPr>
        <w:spacing w:after="120"/>
      </w:pPr>
    </w:p>
    <w:p>
      <w:pPr>
        <w:keepNext/>
        <w:spacing w:after="140" w:line="300"/>
      </w:pPr>
      <w:r>
        <w:rPr>
          <w:rFonts w:ascii="Arial" w:cs="Arial" w:eastAsia="Arial" w:hAnsi="Arial"/>
          <w:color w:val="14213A"/>
          <w:sz w:val="22"/>
          <w:szCs w:val="22"/>
        </w:rPr>
        <w:t xml:space="preserve">Retos más frecuentes en su día a día (opción múltiple):</w:t>
      </w:r>
    </w:p>
    <w:p>
      <w:pPr>
        <w:keepNext/>
        <w:spacing w:after="60" w:before="120"/>
        <w:jc w:val="center"/>
      </w:pPr>
      <w:r>
        <w:drawing>
          <wp:inline distT="0" distB="0" distL="0" distR="0">
            <wp:extent cx="4381500" cy="1676400"/>
            <wp:effectExtent t="0" r="0" b="0" l="0"/>
            <wp:docPr id="3" name="g3" descr="g3" title="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676400"/>
                    </a:xfrm>
                    <a:prstGeom prst="rect">
                      <a:avLst/>
                    </a:prstGeom>
                  </pic:spPr>
                </pic:pic>
              </a:graphicData>
            </a:graphic>
          </wp:inline>
        </w:drawing>
      </w:r>
    </w:p>
    <w:p>
      <w:pPr>
        <w:spacing w:after="200"/>
        <w:jc w:val="center"/>
      </w:pPr>
      <w:r>
        <w:rPr>
          <w:rFonts w:ascii="Arial" w:cs="Arial" w:eastAsia="Arial" w:hAnsi="Arial"/>
          <w:i/>
          <w:iCs/>
          <w:color w:val="1D4D8F"/>
          <w:sz w:val="18"/>
          <w:szCs w:val="18"/>
        </w:rPr>
        <w:t xml:space="preserve">Figura 2. Mayores retos de los estudiantes foráneos (n = 50)</w:t>
      </w:r>
    </w:p>
    <w:p>
      <w:pPr>
        <w:keepNext/>
        <w:spacing w:after="140" w:line="300"/>
      </w:pPr>
      <w:r>
        <w:rPr>
          <w:rFonts w:ascii="Arial" w:cs="Arial" w:eastAsia="Arial" w:hAnsi="Arial"/>
          <w:color w:val="14213A"/>
          <w:sz w:val="22"/>
          <w:szCs w:val="22"/>
        </w:rPr>
        <w:t xml:space="preserve">Resultados de los 7 ítems de Likert: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1000"/>
        <w:gridCol w:w="1700"/>
        <w:gridCol w:w="1400"/>
      </w:tblGrid>
      <w:tr>
        <w:trPr>
          <w:tblHeader/>
        </w:trPr>
        <w:tc>
          <w:tcPr>
            <w:tcW w:type="dxa" w:w="7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N.º</w:t>
            </w:r>
          </w:p>
        </w:tc>
        <w:tc>
          <w:tcPr>
            <w:tcW w:type="dxa" w:w="456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Aspecto</w:t>
            </w:r>
          </w:p>
        </w:tc>
        <w:tc>
          <w:tcPr>
            <w:tcW w:type="dxa" w:w="10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Media</w:t>
            </w:r>
          </w:p>
        </w:tc>
        <w:tc>
          <w:tcPr>
            <w:tcW w:type="dxa" w:w="17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Interpretación</w:t>
            </w:r>
          </w:p>
        </w:tc>
        <w:tc>
          <w:tcPr>
            <w:tcW w:type="dxa" w:w="1400"/>
            <w:tcBorders>
              <w:top w:val="single" w:color="C5D0E2" w:sz="4"/>
              <w:left w:val="single" w:color="C5D0E2" w:sz="4"/>
              <w:bottom w:val="single" w:color="C5D0E2" w:sz="4"/>
              <w:right w:val="single" w:color="C5D0E2" w:sz="4"/>
            </w:tcBorders>
            <w:shd w:fill="10305F" w:color="auto" w:val="clear"/>
            <w:tcMar>
              <w:top w:type="dxa" w:w="90"/>
              <w:left w:type="dxa" w:w="130"/>
              <w:bottom w:type="dxa" w:w="90"/>
              <w:right w:type="dxa" w:w="130"/>
            </w:tcMar>
            <w:vAlign w:val="center"/>
          </w:tcPr>
          <w:p>
            <w:pPr>
              <w:keepNext/>
              <w:spacing w:after="40"/>
            </w:pPr>
            <w:r>
              <w:rPr>
                <w:rFonts w:ascii="Arial" w:cs="Arial" w:eastAsia="Arial" w:hAnsi="Arial"/>
                <w:b/>
                <w:bCs/>
                <w:color w:val="FFFFFF"/>
                <w:sz w:val="21"/>
                <w:szCs w:val="21"/>
              </w:rPr>
              <w:t xml:space="preserve">Acuerdo 4 y 5</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P4</w:t>
            </w:r>
          </w:p>
        </w:tc>
        <w:tc>
          <w:tcPr>
            <w:tcW w:type="dxa" w:w="45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Dificultad de adaptación a vivir de forma independiente</w:t>
            </w:r>
          </w:p>
        </w:tc>
        <w:tc>
          <w:tcPr>
            <w:tcW w:type="dxa" w:w="1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3,30</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Medio</w:t>
            </w:r>
          </w:p>
        </w:tc>
        <w:tc>
          <w:tcPr>
            <w:tcW w:type="dxa" w:w="14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28%</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P5</w:t>
            </w:r>
          </w:p>
        </w:tc>
        <w:tc>
          <w:tcPr>
            <w:tcW w:type="dxa" w:w="45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Carga de valerse por sí mismo/a</w:t>
            </w:r>
          </w:p>
        </w:tc>
        <w:tc>
          <w:tcPr>
            <w:tcW w:type="dxa" w:w="1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3,24</w:t>
            </w:r>
          </w:p>
        </w:tc>
        <w:tc>
          <w:tcPr>
            <w:tcW w:type="dxa" w:w="1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Medio</w:t>
            </w:r>
          </w:p>
        </w:tc>
        <w:tc>
          <w:tcPr>
            <w:tcW w:type="dxa" w:w="14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38%</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P6</w:t>
            </w:r>
          </w:p>
        </w:tc>
        <w:tc>
          <w:tcPr>
            <w:tcW w:type="dxa" w:w="45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Identificación con las situaciones del personaje</w:t>
            </w:r>
          </w:p>
        </w:tc>
        <w:tc>
          <w:tcPr>
            <w:tcW w:type="dxa" w:w="1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3,66</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Alto</w:t>
            </w:r>
          </w:p>
        </w:tc>
        <w:tc>
          <w:tcPr>
            <w:tcW w:type="dxa" w:w="14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54%</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P7</w:t>
            </w:r>
          </w:p>
        </w:tc>
        <w:tc>
          <w:tcPr>
            <w:tcW w:type="dxa" w:w="45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El juego retrata fielmente la carga diaria</w:t>
            </w:r>
          </w:p>
        </w:tc>
        <w:tc>
          <w:tcPr>
            <w:tcW w:type="dxa" w:w="1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4,24</w:t>
            </w:r>
          </w:p>
        </w:tc>
        <w:tc>
          <w:tcPr>
            <w:tcW w:type="dxa" w:w="1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Muy alto</w:t>
            </w:r>
          </w:p>
        </w:tc>
        <w:tc>
          <w:tcPr>
            <w:tcW w:type="dxa" w:w="14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78%</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P8</w:t>
            </w:r>
          </w:p>
        </w:tc>
        <w:tc>
          <w:tcPr>
            <w:tcW w:type="dxa" w:w="45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Las acciones del juego reflejan el esfuerzo real</w:t>
            </w:r>
          </w:p>
        </w:tc>
        <w:tc>
          <w:tcPr>
            <w:tcW w:type="dxa" w:w="1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4,00</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Alto</w:t>
            </w:r>
          </w:p>
        </w:tc>
        <w:tc>
          <w:tcPr>
            <w:tcW w:type="dxa" w:w="14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62%</w:t>
            </w:r>
          </w:p>
        </w:tc>
      </w:tr>
      <w:tr>
        <w:trPr>
          <w:cantSplit/>
        </w:trPr>
        <w:tc>
          <w:tcPr>
            <w:tcW w:type="dxa" w:w="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P9</w:t>
            </w:r>
          </w:p>
        </w:tc>
        <w:tc>
          <w:tcPr>
            <w:tcW w:type="dxa" w:w="456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Se representa bien vivir solo/a e independiente</w:t>
            </w:r>
          </w:p>
        </w:tc>
        <w:tc>
          <w:tcPr>
            <w:tcW w:type="dxa" w:w="10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4,06</w:t>
            </w:r>
          </w:p>
        </w:tc>
        <w:tc>
          <w:tcPr>
            <w:tcW w:type="dxa" w:w="17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Alto</w:t>
            </w:r>
          </w:p>
        </w:tc>
        <w:tc>
          <w:tcPr>
            <w:tcW w:type="dxa" w:w="1400"/>
            <w:tcBorders>
              <w:top w:val="single" w:color="C5D0E2" w:sz="4"/>
              <w:left w:val="single" w:color="C5D0E2" w:sz="4"/>
              <w:bottom w:val="single" w:color="C5D0E2" w:sz="4"/>
              <w:right w:val="single" w:color="C5D0E2" w:sz="4"/>
            </w:tcBorders>
            <w:shd w:fill="F2F5FA"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72%</w:t>
            </w:r>
          </w:p>
        </w:tc>
      </w:tr>
      <w:tr>
        <w:trPr>
          <w:cantSplit/>
        </w:trPr>
        <w:tc>
          <w:tcPr>
            <w:tcW w:type="dxa" w:w="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bCs/>
                <w:color w:val="14213A"/>
                <w:sz w:val="21"/>
                <w:szCs w:val="21"/>
              </w:rPr>
              <w:t xml:space="preserve">P10</w:t>
            </w:r>
          </w:p>
        </w:tc>
        <w:tc>
          <w:tcPr>
            <w:tcW w:type="dxa" w:w="456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Es una herramienta efectiva para que un local entienda</w:t>
            </w:r>
          </w:p>
        </w:tc>
        <w:tc>
          <w:tcPr>
            <w:tcW w:type="dxa" w:w="10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4,28</w:t>
            </w:r>
          </w:p>
        </w:tc>
        <w:tc>
          <w:tcPr>
            <w:tcW w:type="dxa" w:w="17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Muy alto</w:t>
            </w:r>
          </w:p>
        </w:tc>
        <w:tc>
          <w:tcPr>
            <w:tcW w:type="dxa" w:w="1400"/>
            <w:tcBorders>
              <w:top w:val="single" w:color="C5D0E2" w:sz="4"/>
              <w:left w:val="single" w:color="C5D0E2" w:sz="4"/>
              <w:bottom w:val="single" w:color="C5D0E2" w:sz="4"/>
              <w:right w:val="single" w:color="C5D0E2" w:sz="4"/>
            </w:tcBorders>
            <w:shd w:fill="FFFFFF" w:color="auto" w:val="clear"/>
            <w:tcMar>
              <w:top w:type="dxa" w:w="90"/>
              <w:left w:type="dxa" w:w="130"/>
              <w:bottom w:type="dxa" w:w="90"/>
              <w:right w:type="dxa" w:w="130"/>
            </w:tcMar>
            <w:vAlign w:val="center"/>
          </w:tcPr>
          <w:p>
            <w:pPr>
              <w:keepNext/>
              <w:spacing w:after="40"/>
            </w:pPr>
            <w:r>
              <w:rPr>
                <w:rFonts w:ascii="Arial" w:cs="Arial" w:eastAsia="Arial" w:hAnsi="Arial"/>
                <w:b w:val="false"/>
                <w:bCs w:val="false"/>
                <w:color w:val="14213A"/>
                <w:sz w:val="21"/>
                <w:szCs w:val="21"/>
              </w:rPr>
              <w:t xml:space="preserve">76%</w:t>
            </w:r>
          </w:p>
        </w:tc>
      </w:tr>
    </w:tbl>
    <w:p>
      <w:pPr>
        <w:spacing w:after="120"/>
      </w:pPr>
    </w:p>
    <w:p>
      <w:pPr>
        <w:keepNext/>
        <w:spacing w:after="60" w:before="120"/>
        <w:jc w:val="center"/>
      </w:pPr>
      <w:r>
        <w:drawing>
          <wp:inline distT="0" distB="0" distL="0" distR="0">
            <wp:extent cx="4476750" cy="2352675"/>
            <wp:effectExtent t="0" r="0" b="0" l="0"/>
            <wp:docPr id="4" name="g2" descr="g2" title="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352675"/>
                    </a:xfrm>
                    <a:prstGeom prst="rect">
                      <a:avLst/>
                    </a:prstGeom>
                  </pic:spPr>
                </pic:pic>
              </a:graphicData>
            </a:graphic>
          </wp:inline>
        </w:drawing>
      </w:r>
    </w:p>
    <w:p>
      <w:pPr>
        <w:spacing w:after="200"/>
        <w:jc w:val="center"/>
      </w:pPr>
      <w:r>
        <w:rPr>
          <w:rFonts w:ascii="Arial" w:cs="Arial" w:eastAsia="Arial" w:hAnsi="Arial"/>
          <w:i/>
          <w:iCs/>
          <w:color w:val="1D4D8F"/>
          <w:sz w:val="18"/>
          <w:szCs w:val="18"/>
        </w:rPr>
        <w:t xml:space="preserve">Figura 3. Distribución de respuestas de los foráneos (n = 50)</w:t>
      </w:r>
    </w:p>
    <w:p>
      <w:pPr>
        <w:spacing w:after="140" w:line="300"/>
      </w:pPr>
      <w:r>
        <w:rPr>
          <w:rFonts w:ascii="Arial" w:cs="Arial" w:eastAsia="Arial" w:hAnsi="Arial"/>
          <w:color w:val="14213A"/>
          <w:sz w:val="22"/>
          <w:szCs w:val="22"/>
        </w:rPr>
        <w:t xml:space="preserve">Los foráneos valoraron bien la fidelidad del juego: entre el 62 % y el 78 % respondió 4 o 5 en P7 a P10. El 76 % considera que es una herramienta efectiva para que un estudiante local entienda su día a día (P10). La identificación con el personaje fue algo menor (54 % en 4 o 5). En su propia experiencia, la adaptación (P4) y la carga (P5) quedaron en el punto medio, con medias de 3,30 y 3,24.</w:t>
      </w:r>
    </w:p>
    <w:p>
      <w:pPr>
        <w:pStyle w:val="Heading1"/>
      </w:pPr>
      <w:r>
        <w:t xml:space="preserve">6. Conclusiones y limitaciones</w:t>
      </w:r>
    </w:p>
    <w:p>
      <w:pPr>
        <w:pStyle w:val="Heading2"/>
      </w:pPr>
      <w:r>
        <w:t xml:space="preserve">6.1 Frente a la hipótesis</w:t>
      </w:r>
    </w:p>
    <w:p>
      <w:pPr>
        <w:spacing w:after="140" w:line="300"/>
      </w:pPr>
      <w:r>
        <w:rPr>
          <w:rFonts w:ascii="Arial" w:cs="Arial" w:eastAsia="Arial" w:hAnsi="Arial"/>
          <w:color w:val="14213A"/>
          <w:sz w:val="22"/>
          <w:szCs w:val="22"/>
        </w:rPr>
        <w:t xml:space="preserve">Los resultados van en el sentido de la hipótesis: después de jugar, la media general pasó de 4,64 a 4,86 sobre 5, y el acuerdo de 90% a 95%. Además, los foráneos consideran que el juego retrata bien su experiencia.</w:t>
      </w:r>
    </w:p>
    <w:p>
      <w:pPr>
        <w:pStyle w:val="Heading2"/>
      </w:pPr>
      <w:r>
        <w:t xml:space="preserve">6.2 Limitaciones</w:t>
      </w:r>
    </w:p>
    <w:p>
      <w:pPr>
        <w:pStyle w:val="ListParagraph"/>
        <w:numPr>
          <w:ilvl w:val="0"/>
          <w:numId w:val="2"/>
        </w:numPr>
        <w:spacing w:after="80" w:line="290"/>
      </w:pPr>
      <w:r>
        <w:rPr>
          <w:rFonts w:ascii="Arial" w:cs="Arial" w:eastAsia="Arial" w:hAnsi="Arial"/>
          <w:color w:val="14213A"/>
          <w:sz w:val="22"/>
          <w:szCs w:val="22"/>
        </w:rPr>
        <w:t xml:space="preserve">No hubo grupo de control, así que el cambio no se puede atribuir solo al juego.</w:t>
      </w:r>
    </w:p>
    <w:p>
      <w:pPr>
        <w:pStyle w:val="ListParagraph"/>
        <w:numPr>
          <w:ilvl w:val="0"/>
          <w:numId w:val="2"/>
        </w:numPr>
        <w:spacing w:after="80" w:line="290"/>
      </w:pPr>
      <w:r>
        <w:rPr>
          <w:rFonts w:ascii="Arial" w:cs="Arial" w:eastAsia="Arial" w:hAnsi="Arial"/>
          <w:color w:val="14213A"/>
          <w:sz w:val="22"/>
          <w:szCs w:val="22"/>
        </w:rPr>
        <w:t xml:space="preserve">El pre-test y el post-test tuvieron distinta cantidad de respuestas (85 y 63), por lo que se comparan como grupos y no persona por persona.</w:t>
      </w:r>
    </w:p>
    <w:p>
      <w:pPr>
        <w:pStyle w:val="ListParagraph"/>
        <w:numPr>
          <w:ilvl w:val="0"/>
          <w:numId w:val="2"/>
        </w:numPr>
        <w:spacing w:after="80" w:line="290"/>
      </w:pPr>
      <w:r>
        <w:rPr>
          <w:rFonts w:ascii="Arial" w:cs="Arial" w:eastAsia="Arial" w:hAnsi="Arial"/>
          <w:color w:val="14213A"/>
          <w:sz w:val="22"/>
          <w:szCs w:val="22"/>
        </w:rPr>
        <w:t xml:space="preserve">Casi todas las respuestas del pre-test ya eran altas, por lo que el margen para medir un aumento fue pequeño.</w:t>
      </w:r>
    </w:p>
    <w:p>
      <w:pPr>
        <w:pStyle w:val="ListParagraph"/>
        <w:numPr>
          <w:ilvl w:val="0"/>
          <w:numId w:val="2"/>
        </w:numPr>
        <w:spacing w:after="80" w:line="290"/>
      </w:pPr>
      <w:r>
        <w:rPr>
          <w:rFonts w:ascii="Arial" w:cs="Arial" w:eastAsia="Arial" w:hAnsi="Arial"/>
          <w:color w:val="14213A"/>
          <w:sz w:val="22"/>
          <w:szCs w:val="22"/>
        </w:rPr>
        <w:t xml:space="preserve">La muestra se concentra en Humanidades y Odontología, y no representa a toda la universidad.</w:t>
      </w:r>
    </w:p>
    <w:p>
      <w:pPr>
        <w:pStyle w:val="ListParagraph"/>
        <w:numPr>
          <w:ilvl w:val="0"/>
          <w:numId w:val="2"/>
        </w:numPr>
        <w:spacing w:after="80" w:line="290"/>
      </w:pPr>
      <w:r>
        <w:rPr>
          <w:rFonts w:ascii="Arial" w:cs="Arial" w:eastAsia="Arial" w:hAnsi="Arial"/>
          <w:color w:val="14213A"/>
          <w:sz w:val="22"/>
          <w:szCs w:val="22"/>
        </w:rPr>
        <w:t xml:space="preserve">Las respuestas son opiniones personales; algunas personas pueden haber contestado lo que consideran correcto.</w:t>
      </w:r>
    </w:p>
    <w:p>
      <w:pPr>
        <w:pStyle w:val="Heading2"/>
      </w:pPr>
      <w:r>
        <w:t xml:space="preserve">6.3 Recomendaciones</w:t>
      </w:r>
    </w:p>
    <w:p>
      <w:pPr>
        <w:pStyle w:val="ListParagraph"/>
        <w:numPr>
          <w:ilvl w:val="0"/>
          <w:numId w:val="2"/>
        </w:numPr>
        <w:spacing w:after="80" w:line="290"/>
      </w:pPr>
      <w:r>
        <w:rPr>
          <w:rFonts w:ascii="Arial" w:cs="Arial" w:eastAsia="Arial" w:hAnsi="Arial"/>
          <w:color w:val="14213A"/>
          <w:sz w:val="22"/>
          <w:szCs w:val="22"/>
        </w:rPr>
        <w:t xml:space="preserve">Repetir la medición con un grupo que no juegue, para comparar.</w:t>
      </w:r>
    </w:p>
    <w:p>
      <w:pPr>
        <w:pStyle w:val="ListParagraph"/>
        <w:numPr>
          <w:ilvl w:val="0"/>
          <w:numId w:val="2"/>
        </w:numPr>
        <w:spacing w:after="80" w:line="290"/>
      </w:pPr>
      <w:r>
        <w:rPr>
          <w:rFonts w:ascii="Arial" w:cs="Arial" w:eastAsia="Arial" w:hAnsi="Arial"/>
          <w:color w:val="14213A"/>
          <w:sz w:val="22"/>
          <w:szCs w:val="22"/>
        </w:rPr>
        <w:t xml:space="preserve">Pedir la facultad también en el post-test y usar un identificador único (por ejemplo, la matrícula con formato fijo).</w:t>
      </w:r>
    </w:p>
    <w:p>
      <w:pPr>
        <w:pStyle w:val="ListParagraph"/>
        <w:numPr>
          <w:ilvl w:val="0"/>
          <w:numId w:val="2"/>
        </w:numPr>
        <w:spacing w:after="80" w:line="290"/>
      </w:pPr>
      <w:r>
        <w:rPr>
          <w:rFonts w:ascii="Arial" w:cs="Arial" w:eastAsia="Arial" w:hAnsi="Arial"/>
          <w:color w:val="14213A"/>
          <w:sz w:val="22"/>
          <w:szCs w:val="22"/>
        </w:rPr>
        <w:t xml:space="preserve">Agregar ítems más exigentes para reducir el efecto de que casi todos respondan 5.</w:t>
      </w:r>
    </w:p>
    <w:p>
      <w:pPr>
        <w:pStyle w:val="Heading1"/>
      </w:pPr>
      <w:r>
        <w:t xml:space="preserve">7. Referencias</w:t>
      </w:r>
    </w:p>
    <w:p>
      <w:pPr>
        <w:spacing w:after="120" w:line="280"/>
        <w:ind w:left="720" w:hanging="720"/>
      </w:pPr>
      <w:r>
        <w:rPr>
          <w:rFonts w:ascii="Arial" w:cs="Arial" w:eastAsia="Arial" w:hAnsi="Arial"/>
          <w:color w:val="14213A"/>
          <w:sz w:val="21"/>
          <w:szCs w:val="21"/>
        </w:rPr>
        <w:t xml:space="preserve">Joshi, A., Kale, S., Chandel, S., &amp; Pal, D. K. (2015). Likert scale: Explored and explained. British Journal of Applied Science &amp; Technology, 7(4), 396–403. https://doi.org/10.9734/BJAST/2015/14975</w:t>
      </w:r>
    </w:p>
    <w:p>
      <w:pPr>
        <w:spacing w:after="120" w:line="280"/>
        <w:ind w:left="720" w:hanging="720"/>
      </w:pPr>
      <w:r>
        <w:rPr>
          <w:rFonts w:ascii="Arial" w:cs="Arial" w:eastAsia="Arial" w:hAnsi="Arial"/>
          <w:color w:val="14213A"/>
          <w:sz w:val="21"/>
          <w:szCs w:val="21"/>
        </w:rPr>
        <w:t xml:space="preserve">Likert, R. (1932). A technique for the measurement of attitudes. Archives of Psychology, 22(140), 1–55.</w:t>
      </w:r>
    </w:p>
    <w:p>
      <w:pPr>
        <w:spacing w:after="40" w:before="120"/>
        <w:jc w:val="center"/>
      </w:pPr>
      <w:r>
        <w:drawing>
          <wp:inline distT="0" distB="0" distL="0" distR="0">
            <wp:extent cx="1238250" cy="342900"/>
            <wp:effectExtent t="0" r="0" b="0" l="0"/>
            <wp:docPr id="5" name="uacam" descr="uacam" title="ua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342900"/>
                    </a:xfrm>
                    <a:prstGeom prst="rect">
                      <a:avLst/>
                    </a:prstGeom>
                  </pic:spPr>
                </pic:pic>
              </a:graphicData>
            </a:graphic>
          </wp:inline>
        </w:drawing>
      </w:r>
      <w:r>
        <w:t xml:space="preserve">     </w:t>
      </w:r>
      <w:r>
        <w:drawing>
          <wp:inline distT="0" distB="0" distL="0" distR="0">
            <wp:extent cx="1238250" cy="352425"/>
            <wp:effectExtent t="0" r="0" b="0" l="0"/>
            <wp:docPr id="6" name="facultad" descr="facultad" title="facult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38250" cy="352425"/>
                    </a:xfrm>
                    <a:prstGeom prst="rect">
                      <a:avLst/>
                    </a:prstGeom>
                  </pic:spPr>
                </pic:pic>
              </a:graphicData>
            </a:graphic>
          </wp:inline>
        </w:drawing>
      </w:r>
    </w:p>
    <w:p>
      <w:pPr>
        <w:spacing w:after="140" w:line="300"/>
        <w:jc w:val="center"/>
        <w:rPr>
          <w:color w:val="1D4D8F"/>
          <w:sz w:val="18"/>
          <w:szCs w:val="18"/>
        </w:rPr>
      </w:pPr>
      <w:r>
        <w:rPr>
          <w:rFonts w:ascii="Arial" w:cs="Arial" w:eastAsia="Arial" w:hAnsi="Arial"/>
          <w:color w:val="1D4D8F"/>
          <w:sz w:val="18"/>
          <w:szCs w:val="18"/>
        </w:rPr>
        <w:t xml:space="preserve">© 2026 Universidad Autónoma de Campeche · Facultad de Ingeniería. Proyecto Fora de Lugar.</w:t>
      </w:r>
    </w:p>
    <w:sectPr>
      <w:headerReference w:type="default" r:id="rId6"/>
      <w:headerReference w:type="first" r:id="rId7"/>
      <w:footerReference w:type="default" r:id="rId8"/>
      <w:footerReference w:type="first" r:id="rId9"/>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D4D8F"/>
        <w:sz w:val="18"/>
        <w:szCs w:val="18"/>
      </w:rPr>
      <w:t xml:space="preserve">Página </w:t>
    </w:r>
    <w:r>
      <w:rPr>
        <w:rFonts w:ascii="Arial" w:cs="Arial" w:eastAsia="Arial" w:hAnsi="Arial"/>
        <w:color w:val="1D4D8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0E2" w:sz="6" w:space="4"/>
      </w:pBdr>
      <w:jc w:val="right"/>
    </w:pPr>
    <w:r>
      <w:rPr>
        <w:rFonts w:ascii="Arial" w:cs="Arial" w:eastAsia="Arial" w:hAnsi="Arial"/>
        <w:color w:val="1D4D8F"/>
        <w:sz w:val="18"/>
        <w:szCs w:val="18"/>
      </w:rPr>
      <w:t xml:space="preserve">Fora de Lugar · Anexo: encuestas, resultados y escala de Likert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6A82B" w:sz="18" w:space="4"/>
      </w:pBdr>
      <w:spacing w:after="200" w:before="120"/>
      <w:outlineLvl w:val="0"/>
    </w:pPr>
    <w:rPr>
      <w:rFonts w:ascii="Arial" w:cs="Arial" w:eastAsia="Arial" w:hAnsi="Arial"/>
      <w:b/>
      <w:bCs/>
      <w:color w:val="10305F"/>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D4D8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4687367fb76fb4a6375600fa442744da876bf7f.png"/><Relationship Id="rId12" Type="http://schemas.openxmlformats.org/officeDocument/2006/relationships/image" Target="media/ac6c99e105fcfbe991ddf35a34ede94dcd8b1a93.png"/><Relationship Id="rId13" Type="http://schemas.openxmlformats.org/officeDocument/2006/relationships/image" Target="media/5f0e67032101feb250d7848d734a6428b9059632.png"/><Relationship Id="rId14" Type="http://schemas.openxmlformats.org/officeDocument/2006/relationships/image" Target="media/6feb4c4af03c8f6f7688dfc8652d8126aa51620b.png"/><Relationship Id="rId15" Type="http://schemas.openxmlformats.org/officeDocument/2006/relationships/image" Target="media/3b41c067fa8853830e4986e9f69bccd59b6f3c1f.jpg"/><Relationship Id="rId16" Type="http://schemas.openxmlformats.org/officeDocument/2006/relationships/image" Target="media/4b2cfd650cf181d6c149b2e3512cffa518eba835.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Fora de Lugar - Anexo encuestas</dc:title>
  <dc:creator>Equipo Fora de Lugar</dc:creator>
  <cp:lastModifiedBy>Un-named</cp:lastModifiedBy>
  <cp:revision>1</cp:revision>
  <dcterms:created xsi:type="dcterms:W3CDTF">2026-10-30T20:31:47.457Z</dcterms:created>
  <dcterms:modified xsi:type="dcterms:W3CDTF">2026-10-30T20:31:47.458Z</dcterms:modified>
</cp:coreProperties>
</file>

<file path=docProps/custom.xml><?xml version="1.0" encoding="utf-8"?>
<Properties xmlns="http://schemas.openxmlformats.org/officeDocument/2006/custom-properties" xmlns:vt="http://schemas.openxmlformats.org/officeDocument/2006/docPropsVTypes"/>
</file>