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0"/>
        </w:tabs>
        <w:spacing w:line="259" w:lineRule="auto"/>
        <w:jc w:val="cente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2">
      <w:pPr>
        <w:tabs>
          <w:tab w:val="left" w:leader="none" w:pos="0"/>
        </w:tabs>
        <w:spacing w:line="259" w:lineRule="auto"/>
        <w:jc w:val="center"/>
        <w:rPr>
          <w:rFonts w:ascii="Lora Medium" w:cs="Lora Medium" w:eastAsia="Lora Medium" w:hAnsi="Lora Medium"/>
          <w:sz w:val="36"/>
          <w:szCs w:val="36"/>
        </w:rPr>
      </w:pPr>
      <w:r w:rsidDel="00000000" w:rsidR="00000000" w:rsidRPr="00000000">
        <w:rPr>
          <w:rFonts w:ascii="Lora Medium" w:cs="Lora Medium" w:eastAsia="Lora Medium" w:hAnsi="Lora Medium"/>
          <w:sz w:val="36"/>
          <w:szCs w:val="36"/>
          <w:rtl w:val="0"/>
        </w:rPr>
        <w:t xml:space="preserve">Anteproyecto de Análisis biomecánico del movimiento.</w:t>
      </w:r>
    </w:p>
    <w:p w:rsidR="00000000" w:rsidDel="00000000" w:rsidP="00000000" w:rsidRDefault="00000000" w:rsidRPr="00000000" w14:paraId="00000003">
      <w:pPr>
        <w:tabs>
          <w:tab w:val="left" w:leader="none" w:pos="0"/>
        </w:tabs>
        <w:spacing w:line="259" w:lineRule="auto"/>
        <w:jc w:val="center"/>
        <w:rPr>
          <w:rFonts w:ascii="Lora Medium" w:cs="Lora Medium" w:eastAsia="Lora Medium" w:hAnsi="Lora Medium"/>
          <w:sz w:val="36"/>
          <w:szCs w:val="36"/>
        </w:rPr>
      </w:pPr>
      <w:r w:rsidDel="00000000" w:rsidR="00000000" w:rsidRPr="00000000">
        <w:rPr>
          <w:rFonts w:ascii="Lora Medium" w:cs="Lora Medium" w:eastAsia="Lora Medium" w:hAnsi="Lora Medium"/>
          <w:sz w:val="36"/>
          <w:szCs w:val="36"/>
          <w:rtl w:val="0"/>
        </w:rPr>
        <w:t xml:space="preserve">Análisis biomecánico del saque lateral en fútbol.</w:t>
      </w:r>
    </w:p>
    <w:p w:rsidR="00000000" w:rsidDel="00000000" w:rsidP="00000000" w:rsidRDefault="00000000" w:rsidRPr="00000000" w14:paraId="00000004">
      <w:pPr>
        <w:tabs>
          <w:tab w:val="left" w:leader="none" w:pos="0"/>
        </w:tabs>
        <w:spacing w:line="259" w:lineRule="auto"/>
        <w:jc w:val="center"/>
        <w:rPr>
          <w:rFonts w:ascii="Lora Medium" w:cs="Lora Medium" w:eastAsia="Lora Medium" w:hAnsi="Lora Medium"/>
          <w:sz w:val="18"/>
          <w:szCs w:val="18"/>
          <w:u w:val="single"/>
        </w:rPr>
      </w:pPr>
      <w:r w:rsidDel="00000000" w:rsidR="00000000" w:rsidRPr="00000000">
        <w:rPr>
          <w:rFonts w:ascii="Lora Medium" w:cs="Lora Medium" w:eastAsia="Lora Medium" w:hAnsi="Lora Medium"/>
          <w:i w:val="1"/>
          <w:iCs w:val="1"/>
          <w:sz w:val="28"/>
          <w:szCs w:val="28"/>
          <w:rtl w:val="0"/>
        </w:rPr>
        <w:t xml:space="preserve">Integrantes: </w:t>
      </w:r>
      <w:r w:rsidDel="00000000" w:rsidR="00000000" w:rsidRPr="00000000">
        <w:rPr>
          <w:rFonts w:ascii="Lora Medium" w:cs="Lora Medium" w:eastAsia="Lora Medium" w:hAnsi="Lora Medium"/>
          <w:sz w:val="28"/>
          <w:szCs w:val="28"/>
          <w:rtl w:val="0"/>
        </w:rPr>
        <w:t xml:space="preserve">Fernandez Aldana; Palacio Joaquin; Tribelhorn Cristian </w:t>
      </w:r>
      <w:r w:rsidDel="00000000" w:rsidR="00000000" w:rsidRPr="00000000">
        <w:rPr>
          <w:rtl w:val="0"/>
        </w:rPr>
      </w:r>
    </w:p>
    <w:tbl>
      <w:tblPr>
        <w:tblStyle w:val="Table1"/>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fff2cc" w:val="clear"/>
            <w:tcMar>
              <w:top w:w="100.0" w:type="dxa"/>
              <w:left w:w="100.0" w:type="dxa"/>
              <w:bottom w:w="100.0" w:type="dxa"/>
              <w:right w:w="100.0" w:type="dxa"/>
            </w:tcMar>
          </w:tcPr>
          <w:p w:rsidR="00000000" w:rsidDel="00000000" w:rsidP="00000000" w:rsidRDefault="00000000" w:rsidRPr="00000000" w14:paraId="00000005">
            <w:pPr>
              <w:widowControl w:val="0"/>
              <w:spacing w:after="240" w:line="240" w:lineRule="auto"/>
              <w:jc w:val="both"/>
              <w:rPr>
                <w:rFonts w:ascii="Lora Medium" w:cs="Lora Medium" w:eastAsia="Lora Medium" w:hAnsi="Lora Medium"/>
                <w:u w:val="single"/>
              </w:rPr>
            </w:pPr>
            <w:r w:rsidDel="00000000" w:rsidR="00000000" w:rsidRPr="00000000">
              <w:rPr>
                <w:rFonts w:ascii="Lora Medium" w:cs="Lora Medium" w:eastAsia="Lora Medium" w:hAnsi="Lora Medium"/>
                <w:u w:val="single"/>
                <w:rtl w:val="0"/>
              </w:rPr>
              <w:t xml:space="preserve">Objetivo</w:t>
            </w:r>
          </w:p>
          <w:p w:rsidR="00000000" w:rsidDel="00000000" w:rsidP="00000000" w:rsidRDefault="00000000" w:rsidRPr="00000000" w14:paraId="00000006">
            <w:pPr>
              <w:widowControl w:val="0"/>
              <w:spacing w:after="240" w:line="240" w:lineRule="auto"/>
              <w:jc w:val="both"/>
              <w:rPr>
                <w:rFonts w:ascii="Lora Medium" w:cs="Lora Medium" w:eastAsia="Lora Medium" w:hAnsi="Lora Medium"/>
                <w:sz w:val="18"/>
                <w:szCs w:val="18"/>
              </w:rPr>
            </w:pPr>
            <w:r w:rsidDel="00000000" w:rsidR="00000000" w:rsidRPr="00000000">
              <w:rPr>
                <w:rFonts w:ascii="Lora Medium" w:cs="Lora Medium" w:eastAsia="Lora Medium" w:hAnsi="Lora Medium"/>
                <w:sz w:val="18"/>
                <w:szCs w:val="18"/>
                <w:rtl w:val="0"/>
              </w:rPr>
              <w:t xml:space="preserve">Desarrollar un análisis biomecánico del gesto técnico de saque lateral en fútbol, evaluando sus fases, variables cinemáticas y la coordinación intersegmentaria, con el fin de comprender los factores que influyen en su ejecución eficiente.</w:t>
            </w:r>
          </w:p>
          <w:p w:rsidR="00000000" w:rsidDel="00000000" w:rsidP="00000000" w:rsidRDefault="00000000" w:rsidRPr="00000000" w14:paraId="00000007">
            <w:pPr>
              <w:widowControl w:val="0"/>
              <w:spacing w:after="240" w:line="240" w:lineRule="auto"/>
              <w:jc w:val="both"/>
              <w:rPr>
                <w:rFonts w:ascii="Lora Medium" w:cs="Lora Medium" w:eastAsia="Lora Medium" w:hAnsi="Lora Medium"/>
                <w:u w:val="single"/>
              </w:rPr>
            </w:pPr>
            <w:r w:rsidDel="00000000" w:rsidR="00000000" w:rsidRPr="00000000">
              <w:rPr>
                <w:rFonts w:ascii="Lora Medium" w:cs="Lora Medium" w:eastAsia="Lora Medium" w:hAnsi="Lora Medium"/>
                <w:u w:val="single"/>
                <w:rtl w:val="0"/>
              </w:rPr>
              <w:t xml:space="preserve">Objetivo Particulares</w:t>
            </w:r>
          </w:p>
          <w:p w:rsidR="00000000" w:rsidDel="00000000" w:rsidP="00000000" w:rsidRDefault="00000000" w:rsidRPr="00000000" w14:paraId="00000008">
            <w:pPr>
              <w:widowControl w:val="0"/>
              <w:numPr>
                <w:ilvl w:val="0"/>
                <w:numId w:val="3"/>
              </w:numPr>
              <w:spacing w:line="240" w:lineRule="auto"/>
              <w:ind w:left="720" w:hanging="360"/>
              <w:rPr>
                <w:rFonts w:ascii="Lora Medium" w:cs="Lora Medium" w:eastAsia="Lora Medium" w:hAnsi="Lora Medium"/>
                <w:sz w:val="18"/>
                <w:szCs w:val="18"/>
              </w:rPr>
            </w:pPr>
            <w:r w:rsidDel="00000000" w:rsidR="00000000" w:rsidRPr="00000000">
              <w:rPr>
                <w:rFonts w:ascii="Lora Medium" w:cs="Lora Medium" w:eastAsia="Lora Medium" w:hAnsi="Lora Medium"/>
                <w:sz w:val="18"/>
                <w:szCs w:val="18"/>
                <w:rtl w:val="0"/>
              </w:rPr>
              <w:t xml:space="preserve">Analizar la factibilidad del registro del saque lateral en un laboratorio de biomecánica.</w:t>
            </w:r>
          </w:p>
          <w:p w:rsidR="00000000" w:rsidDel="00000000" w:rsidP="00000000" w:rsidRDefault="00000000" w:rsidRPr="00000000" w14:paraId="00000009">
            <w:pPr>
              <w:widowControl w:val="0"/>
              <w:numPr>
                <w:ilvl w:val="0"/>
                <w:numId w:val="3"/>
              </w:numPr>
              <w:spacing w:line="240" w:lineRule="auto"/>
              <w:ind w:left="720" w:hanging="360"/>
              <w:rPr>
                <w:rFonts w:ascii="Lora Medium" w:cs="Lora Medium" w:eastAsia="Lora Medium" w:hAnsi="Lora Medium"/>
                <w:sz w:val="18"/>
                <w:szCs w:val="18"/>
              </w:rPr>
            </w:pPr>
            <w:r w:rsidDel="00000000" w:rsidR="00000000" w:rsidRPr="00000000">
              <w:rPr>
                <w:rFonts w:ascii="Lora Medium" w:cs="Lora Medium" w:eastAsia="Lora Medium" w:hAnsi="Lora Medium"/>
                <w:sz w:val="18"/>
                <w:szCs w:val="18"/>
                <w:rtl w:val="0"/>
              </w:rPr>
              <w:t xml:space="preserve">Planificar el procedimiento experimental para la captura del movimiento.</w:t>
            </w:r>
          </w:p>
          <w:p w:rsidR="00000000" w:rsidDel="00000000" w:rsidP="00000000" w:rsidRDefault="00000000" w:rsidRPr="00000000" w14:paraId="0000000A">
            <w:pPr>
              <w:widowControl w:val="0"/>
              <w:numPr>
                <w:ilvl w:val="0"/>
                <w:numId w:val="3"/>
              </w:numPr>
              <w:spacing w:line="240" w:lineRule="auto"/>
              <w:ind w:left="720" w:hanging="360"/>
              <w:rPr>
                <w:rFonts w:ascii="Lora Medium" w:cs="Lora Medium" w:eastAsia="Lora Medium" w:hAnsi="Lora Medium"/>
                <w:sz w:val="18"/>
                <w:szCs w:val="18"/>
              </w:rPr>
            </w:pPr>
            <w:r w:rsidDel="00000000" w:rsidR="00000000" w:rsidRPr="00000000">
              <w:rPr>
                <w:rFonts w:ascii="Lora Medium" w:cs="Lora Medium" w:eastAsia="Lora Medium" w:hAnsi="Lora Medium"/>
                <w:sz w:val="18"/>
                <w:szCs w:val="18"/>
                <w:rtl w:val="0"/>
              </w:rPr>
              <w:t xml:space="preserve">Preparar el laboratorio y los recursos necesarios para el registro.</w:t>
            </w:r>
          </w:p>
          <w:p w:rsidR="00000000" w:rsidDel="00000000" w:rsidP="00000000" w:rsidRDefault="00000000" w:rsidRPr="00000000" w14:paraId="0000000B">
            <w:pPr>
              <w:widowControl w:val="0"/>
              <w:numPr>
                <w:ilvl w:val="0"/>
                <w:numId w:val="3"/>
              </w:numPr>
              <w:spacing w:line="240" w:lineRule="auto"/>
              <w:ind w:left="720" w:hanging="360"/>
              <w:rPr>
                <w:rFonts w:ascii="Lora Medium" w:cs="Lora Medium" w:eastAsia="Lora Medium" w:hAnsi="Lora Medium"/>
                <w:sz w:val="18"/>
                <w:szCs w:val="18"/>
              </w:rPr>
            </w:pPr>
            <w:r w:rsidDel="00000000" w:rsidR="00000000" w:rsidRPr="00000000">
              <w:rPr>
                <w:rFonts w:ascii="Lora Medium" w:cs="Lora Medium" w:eastAsia="Lora Medium" w:hAnsi="Lora Medium"/>
                <w:sz w:val="18"/>
                <w:szCs w:val="18"/>
                <w:rtl w:val="0"/>
              </w:rPr>
              <w:t xml:space="preserve">Registrar múltiples ejecuciones del gesto técnico.</w:t>
            </w:r>
          </w:p>
          <w:p w:rsidR="00000000" w:rsidDel="00000000" w:rsidP="00000000" w:rsidRDefault="00000000" w:rsidRPr="00000000" w14:paraId="0000000C">
            <w:pPr>
              <w:widowControl w:val="0"/>
              <w:numPr>
                <w:ilvl w:val="0"/>
                <w:numId w:val="3"/>
              </w:numPr>
              <w:spacing w:line="240" w:lineRule="auto"/>
              <w:ind w:left="720" w:hanging="360"/>
              <w:rPr>
                <w:rFonts w:ascii="Lora Medium" w:cs="Lora Medium" w:eastAsia="Lora Medium" w:hAnsi="Lora Medium"/>
                <w:sz w:val="18"/>
                <w:szCs w:val="18"/>
              </w:rPr>
            </w:pPr>
            <w:r w:rsidDel="00000000" w:rsidR="00000000" w:rsidRPr="00000000">
              <w:rPr>
                <w:rFonts w:ascii="Lora Medium" w:cs="Lora Medium" w:eastAsia="Lora Medium" w:hAnsi="Lora Medium"/>
                <w:sz w:val="18"/>
                <w:szCs w:val="18"/>
                <w:rtl w:val="0"/>
              </w:rPr>
              <w:t xml:space="preserve">Acondicionar los registros obtenidos para su procesamiento.</w:t>
            </w:r>
          </w:p>
          <w:p w:rsidR="00000000" w:rsidDel="00000000" w:rsidP="00000000" w:rsidRDefault="00000000" w:rsidRPr="00000000" w14:paraId="0000000D">
            <w:pPr>
              <w:widowControl w:val="0"/>
              <w:numPr>
                <w:ilvl w:val="0"/>
                <w:numId w:val="3"/>
              </w:numPr>
              <w:spacing w:after="240" w:line="240" w:lineRule="auto"/>
              <w:ind w:left="720" w:hanging="360"/>
              <w:jc w:val="both"/>
              <w:rPr>
                <w:rFonts w:ascii="Lora Medium" w:cs="Lora Medium" w:eastAsia="Lora Medium" w:hAnsi="Lora Medium"/>
                <w:sz w:val="18"/>
                <w:szCs w:val="18"/>
              </w:rPr>
            </w:pPr>
            <w:r w:rsidDel="00000000" w:rsidR="00000000" w:rsidRPr="00000000">
              <w:rPr>
                <w:rFonts w:ascii="Lora Medium" w:cs="Lora Medium" w:eastAsia="Lora Medium" w:hAnsi="Lora Medium"/>
                <w:sz w:val="18"/>
                <w:szCs w:val="18"/>
                <w:rtl w:val="0"/>
              </w:rPr>
              <w:t xml:space="preserve">Procesar los registros.</w:t>
            </w:r>
            <w:r w:rsidDel="00000000" w:rsidR="00000000" w:rsidRPr="00000000">
              <w:rPr>
                <w:rtl w:val="0"/>
              </w:rPr>
            </w:r>
          </w:p>
        </w:tc>
      </w:tr>
    </w:tbl>
    <w:p w:rsidR="00000000" w:rsidDel="00000000" w:rsidP="00000000" w:rsidRDefault="00000000" w:rsidRPr="00000000" w14:paraId="0000000E">
      <w:pPr>
        <w:spacing w:after="240" w:before="240" w:line="240" w:lineRule="auto"/>
        <w:rPr>
          <w:rFonts w:ascii="Lora Medium" w:cs="Lora Medium" w:eastAsia="Lora Medium" w:hAnsi="Lora Medium"/>
          <w:sz w:val="36"/>
          <w:szCs w:val="36"/>
        </w:rPr>
      </w:pPr>
      <w:r w:rsidDel="00000000" w:rsidR="00000000" w:rsidRPr="00000000">
        <w:rPr>
          <w:rFonts w:ascii="Lora Medium" w:cs="Lora Medium" w:eastAsia="Lora Medium" w:hAnsi="Lora Medium"/>
          <w:sz w:val="36"/>
          <w:szCs w:val="36"/>
          <w:rtl w:val="0"/>
        </w:rPr>
        <w:t xml:space="preserve">Descripción del Movimiento</w:t>
      </w:r>
    </w:p>
    <w:p w:rsidR="00000000" w:rsidDel="00000000" w:rsidP="00000000" w:rsidRDefault="00000000" w:rsidRPr="00000000" w14:paraId="0000000F">
      <w:pPr>
        <w:spacing w:after="240" w:before="240" w:line="240" w:lineRule="auto"/>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El saque lateral en fútbol es un gesto técnico utilizado para reanudar el juego cuando la pelota atraviesa completamente la línea de banda. Aunque puede parecer una acción simple, desde el punto de vista biomecánico constituye un movimiento complejo que requiere coordinación, estabilidad postural y una adecuada transferencia de fuerza para lograr mayor distancia y precisión en el lanzamiento.</w:t>
      </w:r>
    </w:p>
    <w:p w:rsidR="00000000" w:rsidDel="00000000" w:rsidP="00000000" w:rsidRDefault="00000000" w:rsidRPr="00000000" w14:paraId="00000010">
      <w:pPr>
        <w:spacing w:after="240" w:before="240" w:line="240" w:lineRule="auto"/>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La ejecución del gesto involucra tanto los miembros inferiores, tronco y miembros superiores, generando una cadena de movimiento que permite transmitir energía desde el apoyo de los pies hacia la pelota. Durante el movimiento, el jugador debe mantener ambos pies sobre o detrás de la línea de banda y realizar el lanzamiento con ambas manos por encima de la cabeza, respetando lo establecido por la Regla 15 de la </w:t>
      </w:r>
      <w:r w:rsidDel="00000000" w:rsidR="00000000" w:rsidRPr="00000000">
        <w:rPr>
          <w:rFonts w:ascii="Lora Medium" w:cs="Lora Medium" w:eastAsia="Lora Medium" w:hAnsi="Lora Medium"/>
          <w:sz w:val="20"/>
          <w:szCs w:val="20"/>
          <w:rtl w:val="0"/>
        </w:rPr>
        <w:t xml:space="preserve">International Football Association </w:t>
      </w:r>
      <w:r w:rsidDel="00000000" w:rsidR="00000000" w:rsidRPr="00000000">
        <w:rPr>
          <w:rFonts w:ascii="Lora Medium" w:cs="Lora Medium" w:eastAsia="Lora Medium" w:hAnsi="Lora Medium"/>
          <w:sz w:val="20"/>
          <w:szCs w:val="20"/>
          <w:rtl w:val="0"/>
        </w:rPr>
        <w:t xml:space="preserve">Board</w:t>
      </w:r>
      <w:r w:rsidDel="00000000" w:rsidR="00000000" w:rsidRPr="00000000">
        <w:rPr>
          <w:rFonts w:ascii="Lora Medium" w:cs="Lora Medium" w:eastAsia="Lora Medium" w:hAnsi="Lora Medium"/>
          <w:sz w:val="20"/>
          <w:szCs w:val="20"/>
          <w:rtl w:val="0"/>
        </w:rPr>
        <w:t xml:space="preserve">. [1]</w:t>
      </w:r>
    </w:p>
    <w:p w:rsidR="00000000" w:rsidDel="00000000" w:rsidP="00000000" w:rsidRDefault="00000000" w:rsidRPr="00000000" w14:paraId="00000011">
      <w:pPr>
        <w:spacing w:after="240" w:before="240" w:line="240" w:lineRule="auto"/>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Biomecánicamente, el movimiento puede dividirse en tres fases principales:</w:t>
      </w:r>
    </w:p>
    <w:p w:rsidR="00000000" w:rsidDel="00000000" w:rsidP="00000000" w:rsidRDefault="00000000" w:rsidRPr="00000000" w14:paraId="00000012">
      <w:pPr>
        <w:numPr>
          <w:ilvl w:val="0"/>
          <w:numId w:val="5"/>
        </w:numPr>
        <w:spacing w:after="0" w:afterAutospacing="0" w:before="240"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Fase de preparación: el sujeto adopta una postura estable, con la pelota ubicada detrás de la cabeza, acompañada por una extensión de tronco y preparación de los miembros superiores para el lanzamiento.</w:t>
      </w:r>
    </w:p>
    <w:p w:rsidR="00000000" w:rsidDel="00000000" w:rsidP="00000000" w:rsidRDefault="00000000" w:rsidRPr="00000000" w14:paraId="00000013">
      <w:pPr>
        <w:numPr>
          <w:ilvl w:val="0"/>
          <w:numId w:val="5"/>
        </w:numPr>
        <w:spacing w:after="0" w:afterAutospacing="0" w:before="0" w:beforeAutospacing="0"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Fase de ejecución: se produce una rápida transición desde la extensión hacia la flexión del tronco, junto con la extensión de hombros y codos, permitiendo acelerar la pelota y transferir la energía generada por el cuerpo hacia el lanzamiento.</w:t>
      </w:r>
    </w:p>
    <w:p w:rsidR="00000000" w:rsidDel="00000000" w:rsidP="00000000" w:rsidRDefault="00000000" w:rsidRPr="00000000" w14:paraId="00000014">
      <w:pPr>
        <w:numPr>
          <w:ilvl w:val="0"/>
          <w:numId w:val="5"/>
        </w:numPr>
        <w:spacing w:after="240" w:before="0" w:beforeAutospacing="0"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Fase de finalización: ocurre la liberación de la pelota y la estabilización postural del sujeto, evitando la pérdida de equilibrio y asegurando una correcta finalización del gesto.</w:t>
      </w:r>
    </w:p>
    <w:p w:rsidR="00000000" w:rsidDel="00000000" w:rsidP="00000000" w:rsidRDefault="00000000" w:rsidRPr="00000000" w14:paraId="00000015">
      <w:pPr>
        <w:spacing w:after="240" w:before="240" w:line="240" w:lineRule="auto"/>
        <w:ind w:left="0" w:firstLine="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Este gesto deportivo resulta de interés para el análisis biomecánico debido a que permite estudiar patrones de coordinación, rangos articulares y mecanismos de transferencia de energía entre segmentos corporales durante un movimiento dinámico. Además, presenta la ventaja de ser un movimiento reproducible dentro del laboratorio y compatible con sistemas de captura tridimensional.</w:t>
      </w:r>
    </w:p>
    <w:p w:rsidR="00000000" w:rsidDel="00000000" w:rsidP="00000000" w:rsidRDefault="00000000" w:rsidRPr="00000000" w14:paraId="00000016">
      <w:pPr>
        <w:spacing w:after="240" w:before="240" w:line="240" w:lineRule="auto"/>
        <w:ind w:left="0" w:firstLine="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u w:val="single"/>
          <w:rtl w:val="0"/>
        </w:rPr>
        <w:t xml:space="preserve">Alcances:</w:t>
      </w:r>
      <w:r w:rsidDel="00000000" w:rsidR="00000000" w:rsidRPr="00000000">
        <w:rPr>
          <w:rFonts w:ascii="Lora Medium" w:cs="Lora Medium" w:eastAsia="Lora Medium" w:hAnsi="Lora Medium"/>
          <w:sz w:val="20"/>
          <w:szCs w:val="20"/>
          <w:rtl w:val="0"/>
        </w:rPr>
        <w:t xml:space="preserve"> análisis cinemático tridimensional del gesto, identificación de fases del movimiento y evaluación de variables articulares y segmentarias.</w:t>
      </w:r>
    </w:p>
    <w:p w:rsidR="00000000" w:rsidDel="00000000" w:rsidP="00000000" w:rsidRDefault="00000000" w:rsidRPr="00000000" w14:paraId="00000017">
      <w:pPr>
        <w:spacing w:after="240" w:before="240" w:line="240" w:lineRule="auto"/>
        <w:ind w:left="0" w:firstLine="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u w:val="single"/>
          <w:rtl w:val="0"/>
        </w:rPr>
        <w:t xml:space="preserve">Limitaciones:</w:t>
      </w:r>
      <w:r w:rsidDel="00000000" w:rsidR="00000000" w:rsidRPr="00000000">
        <w:rPr>
          <w:rFonts w:ascii="Lora Medium" w:cs="Lora Medium" w:eastAsia="Lora Medium" w:hAnsi="Lora Medium"/>
          <w:sz w:val="20"/>
          <w:szCs w:val="20"/>
          <w:rtl w:val="0"/>
        </w:rPr>
        <w:t xml:space="preserve"> variabilidad técnica entre sujetos, influencia de la experiencia deportiva.</w:t>
      </w:r>
      <w:r w:rsidDel="00000000" w:rsidR="00000000" w:rsidRPr="00000000">
        <w:rPr>
          <w:rtl w:val="0"/>
        </w:rPr>
      </w:r>
    </w:p>
    <w:p w:rsidR="00000000" w:rsidDel="00000000" w:rsidP="00000000" w:rsidRDefault="00000000" w:rsidRPr="00000000" w14:paraId="00000018">
      <w:pPr>
        <w:spacing w:after="240" w:before="240" w:line="240" w:lineRule="auto"/>
        <w:rPr>
          <w:rFonts w:ascii="Lora Medium" w:cs="Lora Medium" w:eastAsia="Lora Medium" w:hAnsi="Lora Medium"/>
          <w:sz w:val="20"/>
          <w:szCs w:val="20"/>
        </w:rPr>
      </w:pPr>
      <w:r w:rsidDel="00000000" w:rsidR="00000000" w:rsidRPr="00000000">
        <w:rPr>
          <w:rFonts w:ascii="Lora Medium" w:cs="Lora Medium" w:eastAsia="Lora Medium" w:hAnsi="Lora Medium"/>
          <w:sz w:val="28"/>
          <w:szCs w:val="28"/>
          <w:rtl w:val="0"/>
        </w:rPr>
        <w:t xml:space="preserve">Materiales y Recursos Humanos</w:t>
      </w:r>
      <w:r w:rsidDel="00000000" w:rsidR="00000000" w:rsidRPr="00000000">
        <w:rPr>
          <w:rtl w:val="0"/>
        </w:rPr>
      </w:r>
    </w:p>
    <w:p w:rsidR="00000000" w:rsidDel="00000000" w:rsidP="00000000" w:rsidRDefault="00000000" w:rsidRPr="00000000" w14:paraId="00000019">
      <w:pPr>
        <w:spacing w:line="24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Materiales:</w:t>
      </w:r>
    </w:p>
    <w:p w:rsidR="00000000" w:rsidDel="00000000" w:rsidP="00000000" w:rsidRDefault="00000000" w:rsidRPr="00000000" w14:paraId="0000001A">
      <w:pPr>
        <w:spacing w:line="240" w:lineRule="auto"/>
        <w:jc w:val="both"/>
        <w:rPr>
          <w:rFonts w:ascii="Lora" w:cs="Lora" w:eastAsia="Lora" w:hAnsi="Lora"/>
          <w:b w:val="1"/>
          <w:bCs w:val="1"/>
          <w:sz w:val="20"/>
          <w:szCs w:val="20"/>
          <w:shd w:fill="f6b26b" w:val="clear"/>
        </w:rPr>
      </w:pPr>
      <w:r w:rsidDel="00000000" w:rsidR="00000000" w:rsidRPr="00000000">
        <w:rPr>
          <w:rtl w:val="0"/>
        </w:rPr>
      </w:r>
    </w:p>
    <w:p w:rsidR="00000000" w:rsidDel="00000000" w:rsidP="00000000" w:rsidRDefault="00000000" w:rsidRPr="00000000" w14:paraId="0000001B">
      <w:pPr>
        <w:numPr>
          <w:ilvl w:val="0"/>
          <w:numId w:val="1"/>
        </w:numPr>
        <w:spacing w:line="240" w:lineRule="auto"/>
        <w:ind w:left="720" w:hanging="360"/>
        <w:jc w:val="both"/>
        <w:rPr>
          <w:rFonts w:ascii="Lora Medium" w:cs="Lora Medium" w:eastAsia="Lora Medium" w:hAnsi="Lora Medium"/>
          <w:sz w:val="20"/>
          <w:szCs w:val="20"/>
          <w:u w:val="none"/>
        </w:rPr>
      </w:pPr>
      <w:r w:rsidDel="00000000" w:rsidR="00000000" w:rsidRPr="00000000">
        <w:rPr>
          <w:rFonts w:ascii="Lora Medium" w:cs="Lora Medium" w:eastAsia="Lora Medium" w:hAnsi="Lora Medium"/>
          <w:sz w:val="20"/>
          <w:szCs w:val="20"/>
          <w:rtl w:val="0"/>
        </w:rPr>
        <w:t xml:space="preserve">Sistema de captura de movimiento.</w:t>
      </w:r>
    </w:p>
    <w:p w:rsidR="00000000" w:rsidDel="00000000" w:rsidP="00000000" w:rsidRDefault="00000000" w:rsidRPr="00000000" w14:paraId="0000001C">
      <w:pPr>
        <w:numPr>
          <w:ilvl w:val="0"/>
          <w:numId w:val="1"/>
        </w:numPr>
        <w:spacing w:line="240" w:lineRule="auto"/>
        <w:ind w:left="720" w:hanging="360"/>
        <w:jc w:val="both"/>
        <w:rPr>
          <w:rFonts w:ascii="Lora Medium" w:cs="Lora Medium" w:eastAsia="Lora Medium" w:hAnsi="Lora Medium"/>
          <w:sz w:val="20"/>
          <w:szCs w:val="20"/>
          <w:u w:val="none"/>
        </w:rPr>
      </w:pPr>
      <w:r w:rsidDel="00000000" w:rsidR="00000000" w:rsidRPr="00000000">
        <w:rPr>
          <w:rFonts w:ascii="Lora Medium" w:cs="Lora Medium" w:eastAsia="Lora Medium" w:hAnsi="Lora Medium"/>
          <w:sz w:val="20"/>
          <w:szCs w:val="20"/>
          <w:rtl w:val="0"/>
        </w:rPr>
        <w:t xml:space="preserve">Marcadores reflectivos.</w:t>
      </w:r>
    </w:p>
    <w:p w:rsidR="00000000" w:rsidDel="00000000" w:rsidP="00000000" w:rsidRDefault="00000000" w:rsidRPr="00000000" w14:paraId="0000001D">
      <w:pPr>
        <w:numPr>
          <w:ilvl w:val="0"/>
          <w:numId w:val="1"/>
        </w:numPr>
        <w:spacing w:line="240" w:lineRule="auto"/>
        <w:ind w:left="720" w:hanging="360"/>
        <w:jc w:val="both"/>
        <w:rPr>
          <w:rFonts w:ascii="Lora Medium" w:cs="Lora Medium" w:eastAsia="Lora Medium" w:hAnsi="Lora Medium"/>
          <w:sz w:val="20"/>
          <w:szCs w:val="20"/>
          <w:u w:val="none"/>
        </w:rPr>
      </w:pPr>
      <w:r w:rsidDel="00000000" w:rsidR="00000000" w:rsidRPr="00000000">
        <w:rPr>
          <w:rFonts w:ascii="Lora Medium" w:cs="Lora Medium" w:eastAsia="Lora Medium" w:hAnsi="Lora Medium"/>
          <w:sz w:val="20"/>
          <w:szCs w:val="20"/>
          <w:rtl w:val="0"/>
        </w:rPr>
        <w:t xml:space="preserve">Software de adquisición y procesamiento.</w:t>
      </w:r>
    </w:p>
    <w:p w:rsidR="00000000" w:rsidDel="00000000" w:rsidP="00000000" w:rsidRDefault="00000000" w:rsidRPr="00000000" w14:paraId="0000001E">
      <w:pPr>
        <w:numPr>
          <w:ilvl w:val="0"/>
          <w:numId w:val="1"/>
        </w:numPr>
        <w:spacing w:line="240" w:lineRule="auto"/>
        <w:ind w:left="720" w:hanging="360"/>
        <w:jc w:val="both"/>
        <w:rPr>
          <w:rFonts w:ascii="Lora Medium" w:cs="Lora Medium" w:eastAsia="Lora Medium" w:hAnsi="Lora Medium"/>
          <w:sz w:val="20"/>
          <w:szCs w:val="20"/>
          <w:u w:val="none"/>
        </w:rPr>
      </w:pPr>
      <w:r w:rsidDel="00000000" w:rsidR="00000000" w:rsidRPr="00000000">
        <w:rPr>
          <w:rFonts w:ascii="Lora Medium" w:cs="Lora Medium" w:eastAsia="Lora Medium" w:hAnsi="Lora Medium"/>
          <w:sz w:val="20"/>
          <w:szCs w:val="20"/>
          <w:rtl w:val="0"/>
        </w:rPr>
        <w:t xml:space="preserve">Pelota de fútbol.</w:t>
      </w:r>
    </w:p>
    <w:p w:rsidR="00000000" w:rsidDel="00000000" w:rsidP="00000000" w:rsidRDefault="00000000" w:rsidRPr="00000000" w14:paraId="0000001F">
      <w:pPr>
        <w:numPr>
          <w:ilvl w:val="0"/>
          <w:numId w:val="1"/>
        </w:numPr>
        <w:spacing w:line="240" w:lineRule="auto"/>
        <w:ind w:left="720" w:hanging="360"/>
        <w:jc w:val="both"/>
        <w:rPr>
          <w:rFonts w:ascii="Lora Medium" w:cs="Lora Medium" w:eastAsia="Lora Medium" w:hAnsi="Lora Medium"/>
          <w:sz w:val="20"/>
          <w:szCs w:val="20"/>
          <w:u w:val="none"/>
        </w:rPr>
      </w:pPr>
      <w:r w:rsidDel="00000000" w:rsidR="00000000" w:rsidRPr="00000000">
        <w:rPr>
          <w:rFonts w:ascii="Lora Medium" w:cs="Lora Medium" w:eastAsia="Lora Medium" w:hAnsi="Lora Medium"/>
          <w:sz w:val="20"/>
          <w:szCs w:val="20"/>
          <w:rtl w:val="0"/>
        </w:rPr>
        <w:t xml:space="preserve">Cinta para delimitación de zona de ejecución y punto objetivo.</w:t>
      </w:r>
    </w:p>
    <w:p w:rsidR="00000000" w:rsidDel="00000000" w:rsidP="00000000" w:rsidRDefault="00000000" w:rsidRPr="00000000" w14:paraId="00000020">
      <w:pPr>
        <w:spacing w:line="240" w:lineRule="auto"/>
        <w:jc w:val="both"/>
        <w:rPr>
          <w:rFonts w:ascii="Lora Medium" w:cs="Lora Medium" w:eastAsia="Lora Medium" w:hAnsi="Lora Medium"/>
          <w:sz w:val="20"/>
          <w:szCs w:val="20"/>
        </w:rPr>
      </w:pPr>
      <w:r w:rsidDel="00000000" w:rsidR="00000000" w:rsidRPr="00000000">
        <w:rPr>
          <w:rtl w:val="0"/>
        </w:rPr>
      </w:r>
    </w:p>
    <w:p w:rsidR="00000000" w:rsidDel="00000000" w:rsidP="00000000" w:rsidRDefault="00000000" w:rsidRPr="00000000" w14:paraId="00000021">
      <w:pPr>
        <w:spacing w:line="240" w:lineRule="auto"/>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Recursos humanos:</w:t>
      </w:r>
    </w:p>
    <w:p w:rsidR="00000000" w:rsidDel="00000000" w:rsidP="00000000" w:rsidRDefault="00000000" w:rsidRPr="00000000" w14:paraId="00000022">
      <w:pPr>
        <w:spacing w:line="240" w:lineRule="auto"/>
        <w:jc w:val="both"/>
        <w:rPr>
          <w:rFonts w:ascii="Lora Medium" w:cs="Lora Medium" w:eastAsia="Lora Medium" w:hAnsi="Lora Medium"/>
          <w:sz w:val="20"/>
          <w:szCs w:val="20"/>
        </w:rPr>
      </w:pPr>
      <w:r w:rsidDel="00000000" w:rsidR="00000000" w:rsidRPr="00000000">
        <w:rPr>
          <w:rtl w:val="0"/>
        </w:rPr>
      </w:r>
    </w:p>
    <w:p w:rsidR="00000000" w:rsidDel="00000000" w:rsidP="00000000" w:rsidRDefault="00000000" w:rsidRPr="00000000" w14:paraId="00000023">
      <w:pPr>
        <w:numPr>
          <w:ilvl w:val="0"/>
          <w:numId w:val="2"/>
        </w:numPr>
        <w:spacing w:line="240" w:lineRule="auto"/>
        <w:ind w:left="720" w:hanging="360"/>
        <w:jc w:val="both"/>
        <w:rPr>
          <w:rFonts w:ascii="Lora Medium" w:cs="Lora Medium" w:eastAsia="Lora Medium" w:hAnsi="Lora Medium"/>
          <w:sz w:val="20"/>
          <w:szCs w:val="20"/>
          <w:u w:val="none"/>
        </w:rPr>
      </w:pPr>
      <w:r w:rsidDel="00000000" w:rsidR="00000000" w:rsidRPr="00000000">
        <w:rPr>
          <w:rFonts w:ascii="Lora Medium" w:cs="Lora Medium" w:eastAsia="Lora Medium" w:hAnsi="Lora Medium"/>
          <w:sz w:val="20"/>
          <w:szCs w:val="20"/>
          <w:rtl w:val="0"/>
        </w:rPr>
        <w:t xml:space="preserve">Participante (sujeto de prueba con experiencia básica en fútbol).</w:t>
      </w:r>
    </w:p>
    <w:p w:rsidR="00000000" w:rsidDel="00000000" w:rsidP="00000000" w:rsidRDefault="00000000" w:rsidRPr="00000000" w14:paraId="00000024">
      <w:pPr>
        <w:numPr>
          <w:ilvl w:val="0"/>
          <w:numId w:val="2"/>
        </w:numPr>
        <w:spacing w:line="240" w:lineRule="auto"/>
        <w:ind w:left="720" w:hanging="360"/>
        <w:jc w:val="both"/>
        <w:rPr>
          <w:rFonts w:ascii="Lora Medium" w:cs="Lora Medium" w:eastAsia="Lora Medium" w:hAnsi="Lora Medium"/>
          <w:sz w:val="20"/>
          <w:szCs w:val="20"/>
          <w:u w:val="none"/>
        </w:rPr>
      </w:pPr>
      <w:r w:rsidDel="00000000" w:rsidR="00000000" w:rsidRPr="00000000">
        <w:rPr>
          <w:rFonts w:ascii="Lora Medium" w:cs="Lora Medium" w:eastAsia="Lora Medium" w:hAnsi="Lora Medium"/>
          <w:sz w:val="20"/>
          <w:szCs w:val="20"/>
          <w:rtl w:val="0"/>
        </w:rPr>
        <w:t xml:space="preserve">Operador del sistema de captura.</w:t>
      </w:r>
    </w:p>
    <w:p w:rsidR="00000000" w:rsidDel="00000000" w:rsidP="00000000" w:rsidRDefault="00000000" w:rsidRPr="00000000" w14:paraId="00000025">
      <w:pPr>
        <w:numPr>
          <w:ilvl w:val="0"/>
          <w:numId w:val="2"/>
        </w:numPr>
        <w:spacing w:line="240" w:lineRule="auto"/>
        <w:ind w:left="720" w:hanging="360"/>
        <w:jc w:val="both"/>
        <w:rPr>
          <w:rFonts w:ascii="Lora Medium" w:cs="Lora Medium" w:eastAsia="Lora Medium" w:hAnsi="Lora Medium"/>
          <w:sz w:val="20"/>
          <w:szCs w:val="20"/>
          <w:u w:val="none"/>
        </w:rPr>
      </w:pPr>
      <w:r w:rsidDel="00000000" w:rsidR="00000000" w:rsidRPr="00000000">
        <w:rPr>
          <w:rFonts w:ascii="Lora Medium" w:cs="Lora Medium" w:eastAsia="Lora Medium" w:hAnsi="Lora Medium"/>
          <w:sz w:val="20"/>
          <w:szCs w:val="20"/>
          <w:rtl w:val="0"/>
        </w:rPr>
        <w:t xml:space="preserve">Observador/ayudante para control del protocolo.</w:t>
      </w:r>
    </w:p>
    <w:p w:rsidR="00000000" w:rsidDel="00000000" w:rsidP="00000000" w:rsidRDefault="00000000" w:rsidRPr="00000000" w14:paraId="00000026">
      <w:pPr>
        <w:spacing w:line="240" w:lineRule="auto"/>
        <w:jc w:val="both"/>
        <w:rPr>
          <w:rFonts w:ascii="Lora Medium" w:cs="Lora Medium" w:eastAsia="Lora Medium" w:hAnsi="Lora Medium"/>
          <w:sz w:val="20"/>
          <w:szCs w:val="20"/>
        </w:rPr>
      </w:pPr>
      <w:r w:rsidDel="00000000" w:rsidR="00000000" w:rsidRPr="00000000">
        <w:rPr>
          <w:rtl w:val="0"/>
        </w:rPr>
      </w:r>
    </w:p>
    <w:p w:rsidR="00000000" w:rsidDel="00000000" w:rsidP="00000000" w:rsidRDefault="00000000" w:rsidRPr="00000000" w14:paraId="00000027">
      <w:pPr>
        <w:spacing w:line="240" w:lineRule="auto"/>
        <w:jc w:val="both"/>
        <w:rPr>
          <w:rFonts w:ascii="Lora" w:cs="Lora" w:eastAsia="Lora" w:hAnsi="Lora"/>
          <w:b w:val="1"/>
          <w:bCs w:val="1"/>
          <w:sz w:val="20"/>
          <w:szCs w:val="20"/>
          <w:shd w:fill="f6b26b" w:val="clear"/>
        </w:rPr>
      </w:pPr>
      <w:r w:rsidDel="00000000" w:rsidR="00000000" w:rsidRPr="00000000">
        <w:rPr>
          <w:rFonts w:ascii="Lora Medium" w:cs="Lora Medium" w:eastAsia="Lora Medium" w:hAnsi="Lora Medium"/>
          <w:sz w:val="20"/>
          <w:szCs w:val="20"/>
          <w:rtl w:val="0"/>
        </w:rPr>
        <w:t xml:space="preserve">Se considera viable la realización del estudio con los recursos disponibles en el laboratorio de biomecánica.</w:t>
      </w:r>
      <w:r w:rsidDel="00000000" w:rsidR="00000000" w:rsidRPr="00000000">
        <w:rPr>
          <w:rtl w:val="0"/>
        </w:rPr>
      </w:r>
    </w:p>
    <w:p w:rsidR="00000000" w:rsidDel="00000000" w:rsidP="00000000" w:rsidRDefault="00000000" w:rsidRPr="00000000" w14:paraId="00000028">
      <w:pPr>
        <w:spacing w:line="240" w:lineRule="auto"/>
        <w:jc w:val="both"/>
        <w:rPr>
          <w:rFonts w:ascii="Lora" w:cs="Lora" w:eastAsia="Lora" w:hAnsi="Lora"/>
          <w:b w:val="1"/>
          <w:bCs w:val="1"/>
          <w:sz w:val="20"/>
          <w:szCs w:val="20"/>
          <w:shd w:fill="f6b26b" w:val="clear"/>
        </w:rPr>
      </w:pPr>
      <w:r w:rsidDel="00000000" w:rsidR="00000000" w:rsidRPr="00000000">
        <w:rPr>
          <w:rtl w:val="0"/>
        </w:rPr>
      </w:r>
    </w:p>
    <w:p w:rsidR="00000000" w:rsidDel="00000000" w:rsidP="00000000" w:rsidRDefault="00000000" w:rsidRPr="00000000" w14:paraId="00000029">
      <w:pPr>
        <w:spacing w:line="240" w:lineRule="auto"/>
        <w:jc w:val="both"/>
        <w:rPr>
          <w:rFonts w:ascii="Lora" w:cs="Lora" w:eastAsia="Lora" w:hAnsi="Lora"/>
          <w:b w:val="1"/>
          <w:bCs w:val="1"/>
          <w:sz w:val="20"/>
          <w:szCs w:val="20"/>
        </w:rPr>
      </w:pPr>
      <w:r w:rsidDel="00000000" w:rsidR="00000000" w:rsidRPr="00000000">
        <w:rPr>
          <w:rFonts w:ascii="Lora Medium" w:cs="Lora Medium" w:eastAsia="Lora Medium" w:hAnsi="Lora Medium"/>
          <w:sz w:val="28"/>
          <w:szCs w:val="28"/>
          <w:rtl w:val="0"/>
        </w:rPr>
        <w:t xml:space="preserve">Protocolo</w:t>
      </w:r>
      <w:r w:rsidDel="00000000" w:rsidR="00000000" w:rsidRPr="00000000">
        <w:rPr>
          <w:rtl w:val="0"/>
        </w:rPr>
      </w:r>
    </w:p>
    <w:p w:rsidR="00000000" w:rsidDel="00000000" w:rsidP="00000000" w:rsidRDefault="00000000" w:rsidRPr="00000000" w14:paraId="0000002A">
      <w:pPr>
        <w:spacing w:line="24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Protocolo</w:t>
      </w:r>
      <w:r w:rsidDel="00000000" w:rsidR="00000000" w:rsidRPr="00000000">
        <w:rPr>
          <w:rFonts w:ascii="Lora Medium" w:cs="Lora Medium" w:eastAsia="Lora Medium" w:hAnsi="Lora Medium"/>
          <w:sz w:val="20"/>
          <w:szCs w:val="20"/>
          <w:rtl w:val="0"/>
        </w:rPr>
        <w:t xml:space="preserve"> del experimento:</w:t>
      </w:r>
      <w:r w:rsidDel="00000000" w:rsidR="00000000" w:rsidRPr="00000000">
        <w:rPr>
          <w:rtl w:val="0"/>
        </w:rPr>
      </w:r>
    </w:p>
    <w:p w:rsidR="00000000" w:rsidDel="00000000" w:rsidP="00000000" w:rsidRDefault="00000000" w:rsidRPr="00000000" w14:paraId="0000002B">
      <w:pPr>
        <w:numPr>
          <w:ilvl w:val="1"/>
          <w:numId w:val="4"/>
        </w:numPr>
        <w:spacing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Recepción del participante y explicación del objetivo del experimento.</w:t>
      </w:r>
    </w:p>
    <w:p w:rsidR="00000000" w:rsidDel="00000000" w:rsidP="00000000" w:rsidRDefault="00000000" w:rsidRPr="00000000" w14:paraId="0000002C">
      <w:pPr>
        <w:numPr>
          <w:ilvl w:val="1"/>
          <w:numId w:val="4"/>
        </w:numPr>
        <w:spacing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Presentación y firma del consentimiento informado.</w:t>
      </w:r>
    </w:p>
    <w:p w:rsidR="00000000" w:rsidDel="00000000" w:rsidP="00000000" w:rsidRDefault="00000000" w:rsidRPr="00000000" w14:paraId="0000002D">
      <w:pPr>
        <w:numPr>
          <w:ilvl w:val="1"/>
          <w:numId w:val="4"/>
        </w:numPr>
        <w:spacing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Registro de datos antropométricos básicos necesarios para el análisis biomecánico, tales como altura, peso y longitudes segmentarias.</w:t>
      </w:r>
    </w:p>
    <w:p w:rsidR="00000000" w:rsidDel="00000000" w:rsidP="00000000" w:rsidRDefault="00000000" w:rsidRPr="00000000" w14:paraId="0000002E">
      <w:pPr>
        <w:numPr>
          <w:ilvl w:val="1"/>
          <w:numId w:val="4"/>
        </w:numPr>
        <w:spacing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Realización de un calentamiento general y específico orientado a miembros superiores, tronco y miembros inferiores, con el fin de reducir el riesgo de lesiones y favorecer una ejecución natural del gesto.</w:t>
      </w:r>
    </w:p>
    <w:p w:rsidR="00000000" w:rsidDel="00000000" w:rsidP="00000000" w:rsidRDefault="00000000" w:rsidRPr="00000000" w14:paraId="0000002F">
      <w:pPr>
        <w:numPr>
          <w:ilvl w:val="1"/>
          <w:numId w:val="4"/>
        </w:numPr>
        <w:spacing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Colocación de marcadores corporales según el protocolo de captura definido para tronco, miembros superiores y miembros inferiores.</w:t>
      </w:r>
    </w:p>
    <w:p w:rsidR="00000000" w:rsidDel="00000000" w:rsidP="00000000" w:rsidRDefault="00000000" w:rsidRPr="00000000" w14:paraId="00000030">
      <w:pPr>
        <w:numPr>
          <w:ilvl w:val="1"/>
          <w:numId w:val="4"/>
        </w:numPr>
        <w:spacing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Registro de una postura estática (standing) para obtener una referencia anatómica inicial y permitir la reconstrucción de los segmentos corporales.</w:t>
      </w:r>
    </w:p>
    <w:p w:rsidR="00000000" w:rsidDel="00000000" w:rsidP="00000000" w:rsidRDefault="00000000" w:rsidRPr="00000000" w14:paraId="00000031">
      <w:pPr>
        <w:numPr>
          <w:ilvl w:val="1"/>
          <w:numId w:val="4"/>
        </w:numPr>
        <w:spacing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Ejecución del gesto de saque lateral:</w:t>
      </w:r>
    </w:p>
    <w:p w:rsidR="00000000" w:rsidDel="00000000" w:rsidP="00000000" w:rsidRDefault="00000000" w:rsidRPr="00000000" w14:paraId="00000032">
      <w:pPr>
        <w:numPr>
          <w:ilvl w:val="0"/>
          <w:numId w:val="6"/>
        </w:numPr>
        <w:spacing w:line="240" w:lineRule="auto"/>
        <w:ind w:left="1133.85826771653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El participante se ubicará en una posición inicial estandarizada, con ambos pies apoyados sobre o detrás de la línea delimitada para el lanzamiento.</w:t>
      </w:r>
    </w:p>
    <w:p w:rsidR="00000000" w:rsidDel="00000000" w:rsidP="00000000" w:rsidRDefault="00000000" w:rsidRPr="00000000" w14:paraId="00000033">
      <w:pPr>
        <w:numPr>
          <w:ilvl w:val="0"/>
          <w:numId w:val="6"/>
        </w:numPr>
        <w:spacing w:line="240" w:lineRule="auto"/>
        <w:ind w:left="1133.85826771653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El balón será sostenido con ambas manos y llevado detrás de la cabeza, respetando la técnica reglamentaria del saque lateral.</w:t>
      </w:r>
    </w:p>
    <w:p w:rsidR="00000000" w:rsidDel="00000000" w:rsidP="00000000" w:rsidRDefault="00000000" w:rsidRPr="00000000" w14:paraId="00000034">
      <w:pPr>
        <w:numPr>
          <w:ilvl w:val="0"/>
          <w:numId w:val="6"/>
        </w:numPr>
        <w:spacing w:line="240" w:lineRule="auto"/>
        <w:ind w:left="1133.85826771653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Se solicitará realizar el movimiento de manera continua y natural, buscando lanzar la pelota hacia un objetivo marcado previamente en el suelo sin perder estabilidad ni despegar los pies del suelo.</w:t>
      </w:r>
    </w:p>
    <w:p w:rsidR="00000000" w:rsidDel="00000000" w:rsidP="00000000" w:rsidRDefault="00000000" w:rsidRPr="00000000" w14:paraId="00000035">
      <w:pPr>
        <w:numPr>
          <w:ilvl w:val="0"/>
          <w:numId w:val="6"/>
        </w:numPr>
        <w:spacing w:line="240" w:lineRule="auto"/>
        <w:ind w:left="1133.85826771653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Durante la ejecución se producirá una extensión inicial del tronco seguida por una rápida flexión hacia adelante, acompañada por el movimiento coordinado de hombros, codos y muñecas para acelerar el balón.</w:t>
      </w:r>
    </w:p>
    <w:p w:rsidR="00000000" w:rsidDel="00000000" w:rsidP="00000000" w:rsidRDefault="00000000" w:rsidRPr="00000000" w14:paraId="00000036">
      <w:pPr>
        <w:numPr>
          <w:ilvl w:val="0"/>
          <w:numId w:val="6"/>
        </w:numPr>
        <w:spacing w:line="240" w:lineRule="auto"/>
        <w:ind w:left="1133.85826771653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Se realizarán entre 5 y 10 repeticiones válidas del gesto, dejando un breve período de descanso entre intentos para minimizar efectos de fatiga.</w:t>
      </w:r>
    </w:p>
    <w:p w:rsidR="00000000" w:rsidDel="00000000" w:rsidP="00000000" w:rsidRDefault="00000000" w:rsidRPr="00000000" w14:paraId="00000037">
      <w:pPr>
        <w:numPr>
          <w:ilvl w:val="0"/>
          <w:numId w:val="6"/>
        </w:numPr>
        <w:spacing w:line="240" w:lineRule="auto"/>
        <w:ind w:left="1133.85826771653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En caso de ejecuciones incorrectas (pérdida de equilibrio, movimiento no reglamentario o caída de marcadores), el intento será descartado y repetido.</w:t>
      </w:r>
    </w:p>
    <w:p w:rsidR="00000000" w:rsidDel="00000000" w:rsidP="00000000" w:rsidRDefault="00000000" w:rsidRPr="00000000" w14:paraId="00000038">
      <w:pPr>
        <w:numPr>
          <w:ilvl w:val="1"/>
          <w:numId w:val="4"/>
        </w:numPr>
        <w:spacing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Registro y almacenamiento de todas las ejecuciones obtenidas durante la sesión experimental.</w:t>
      </w:r>
    </w:p>
    <w:p w:rsidR="00000000" w:rsidDel="00000000" w:rsidP="00000000" w:rsidRDefault="00000000" w:rsidRPr="00000000" w14:paraId="00000039">
      <w:pPr>
        <w:numPr>
          <w:ilvl w:val="1"/>
          <w:numId w:val="4"/>
        </w:numPr>
        <w:spacing w:line="240" w:lineRule="auto"/>
        <w:ind w:left="566.9291338582675" w:hanging="360"/>
        <w:jc w:val="both"/>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Verificación de la calidad de los datos adquiridos, controlando continuidad de trayectorias, correcta identificación de marcadores y ausencia de pérdidas significativas de información.</w:t>
      </w:r>
      <w:r w:rsidDel="00000000" w:rsidR="00000000" w:rsidRPr="00000000">
        <w:rPr>
          <w:rtl w:val="0"/>
        </w:rPr>
      </w:r>
    </w:p>
    <w:p w:rsidR="00000000" w:rsidDel="00000000" w:rsidP="00000000" w:rsidRDefault="00000000" w:rsidRPr="00000000" w14:paraId="0000003A">
      <w:pPr>
        <w:spacing w:after="240" w:before="240" w:line="240" w:lineRule="auto"/>
        <w:jc w:val="both"/>
        <w:rPr>
          <w:rFonts w:ascii="Lora" w:cs="Lora" w:eastAsia="Lora" w:hAnsi="Lor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240" w:lineRule="auto"/>
        <w:jc w:val="both"/>
        <w:rPr>
          <w:rFonts w:ascii="Lora" w:cs="Lora" w:eastAsia="Lora" w:hAnsi="Lora"/>
          <w:sz w:val="28"/>
          <w:szCs w:val="28"/>
        </w:rPr>
      </w:pPr>
      <w:r w:rsidDel="00000000" w:rsidR="00000000" w:rsidRPr="00000000">
        <w:rPr>
          <w:rFonts w:ascii="Lora" w:cs="Lora" w:eastAsia="Lora" w:hAnsi="Lora"/>
          <w:sz w:val="28"/>
          <w:szCs w:val="28"/>
          <w:rtl w:val="0"/>
        </w:rPr>
        <w:t xml:space="preserve">Bibliografía:</w:t>
      </w:r>
    </w:p>
    <w:p w:rsidR="00000000" w:rsidDel="00000000" w:rsidP="00000000" w:rsidRDefault="00000000" w:rsidRPr="00000000" w14:paraId="0000003C">
      <w:pPr>
        <w:spacing w:lin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[1] </w:t>
      </w:r>
      <w:hyperlink r:id="rId7">
        <w:r w:rsidDel="00000000" w:rsidR="00000000" w:rsidRPr="00000000">
          <w:rPr>
            <w:rFonts w:ascii="Lora" w:cs="Lora" w:eastAsia="Lora" w:hAnsi="Lora"/>
            <w:color w:val="1155cc"/>
            <w:sz w:val="20"/>
            <w:szCs w:val="20"/>
            <w:u w:val="single"/>
            <w:rtl w:val="0"/>
          </w:rPr>
          <w:t xml:space="preserve">https://www.theifab.com/es/</w:t>
        </w:r>
      </w:hyperlink>
      <w:r w:rsidDel="00000000" w:rsidR="00000000" w:rsidRPr="00000000">
        <w:rPr>
          <w:rtl w:val="0"/>
        </w:rPr>
      </w:r>
    </w:p>
    <w:p w:rsidR="00000000" w:rsidDel="00000000" w:rsidP="00000000" w:rsidRDefault="00000000" w:rsidRPr="00000000" w14:paraId="0000003D">
      <w:pPr>
        <w:spacing w:line="240" w:lineRule="auto"/>
        <w:jc w:val="both"/>
        <w:rPr>
          <w:rFonts w:ascii="Lora" w:cs="Lora" w:eastAsia="Lora" w:hAnsi="Lora"/>
          <w:b w:val="1"/>
          <w:bCs w:val="1"/>
        </w:rPr>
      </w:pPr>
      <w:r w:rsidDel="00000000" w:rsidR="00000000" w:rsidRPr="00000000">
        <w:rPr>
          <w:rtl w:val="0"/>
        </w:rPr>
      </w:r>
    </w:p>
    <w:p w:rsidR="00000000" w:rsidDel="00000000" w:rsidP="00000000" w:rsidRDefault="00000000" w:rsidRPr="00000000" w14:paraId="0000003E">
      <w:pPr>
        <w:rPr>
          <w:rFonts w:ascii="Lora Medium" w:cs="Lora Medium" w:eastAsia="Lora Medium" w:hAnsi="Lora Medium"/>
          <w:sz w:val="28"/>
          <w:szCs w:val="28"/>
        </w:rPr>
      </w:pPr>
      <w:r w:rsidDel="00000000" w:rsidR="00000000" w:rsidRPr="00000000">
        <w:rPr>
          <w:rFonts w:ascii="Lora Medium" w:cs="Lora Medium" w:eastAsia="Lora Medium" w:hAnsi="Lora Medium"/>
          <w:sz w:val="28"/>
          <w:szCs w:val="28"/>
          <w:rtl w:val="0"/>
        </w:rPr>
        <w:t xml:space="preserve">Anexo:</w:t>
      </w:r>
    </w:p>
    <w:p w:rsidR="00000000" w:rsidDel="00000000" w:rsidP="00000000" w:rsidRDefault="00000000" w:rsidRPr="00000000" w14:paraId="0000003F">
      <w:pPr>
        <w:rPr>
          <w:rFonts w:ascii="Lora" w:cs="Lora" w:eastAsia="Lora" w:hAnsi="Lora"/>
          <w:b w:val="1"/>
          <w:bCs w:val="1"/>
          <w:sz w:val="20"/>
          <w:szCs w:val="20"/>
          <w:shd w:fill="f6b26b" w:val="clear"/>
        </w:rPr>
      </w:pPr>
      <w:r w:rsidDel="00000000" w:rsidR="00000000" w:rsidRPr="00000000">
        <w:rPr>
          <w:rFonts w:ascii="Lora Medium" w:cs="Lora Medium" w:eastAsia="Lora Medium" w:hAnsi="Lora Medium"/>
          <w:sz w:val="28"/>
          <w:szCs w:val="28"/>
          <w:rtl w:val="0"/>
        </w:rPr>
        <w:t xml:space="preserve">Protocolo de marcadores 3D.</w:t>
      </w:r>
      <w:r w:rsidDel="00000000" w:rsidR="00000000" w:rsidRPr="00000000">
        <w:rPr>
          <w:rtl w:val="0"/>
        </w:rPr>
      </w:r>
    </w:p>
    <w:p w:rsidR="00000000" w:rsidDel="00000000" w:rsidP="00000000" w:rsidRDefault="00000000" w:rsidRPr="00000000" w14:paraId="00000040">
      <w:pPr>
        <w:rPr>
          <w:rFonts w:ascii="Lora" w:cs="Lora" w:eastAsia="Lora" w:hAnsi="Lora"/>
          <w:b w:val="1"/>
          <w:bCs w:val="1"/>
          <w:sz w:val="20"/>
          <w:szCs w:val="20"/>
          <w:shd w:fill="f6b26b" w:val="clear"/>
        </w:rPr>
      </w:pPr>
      <w:r w:rsidDel="00000000" w:rsidR="00000000" w:rsidRPr="00000000">
        <w:rPr>
          <w:rtl w:val="0"/>
        </w:rPr>
      </w:r>
    </w:p>
    <w:p w:rsidR="00000000" w:rsidDel="00000000" w:rsidP="00000000" w:rsidRDefault="00000000" w:rsidRPr="00000000" w14:paraId="00000041">
      <w:pPr>
        <w:pStyle w:val="Heading3"/>
        <w:keepNext w:val="0"/>
        <w:keepLines w:val="0"/>
        <w:widowControl w:val="0"/>
        <w:spacing w:after="120" w:before="0" w:line="275.9999942779541" w:lineRule="auto"/>
        <w:rPr>
          <w:rFonts w:ascii="Lora" w:cs="Lora" w:eastAsia="Lora" w:hAnsi="Lora"/>
          <w:b w:val="1"/>
          <w:bCs w:val="1"/>
          <w:color w:val="1f1f1f"/>
        </w:rPr>
      </w:pPr>
      <w:r w:rsidDel="00000000" w:rsidR="00000000" w:rsidRPr="00000000">
        <w:rPr>
          <w:rFonts w:ascii="Lora" w:cs="Lora" w:eastAsia="Lora" w:hAnsi="Lora"/>
          <w:b w:val="1"/>
          <w:bCs w:val="1"/>
          <w:color w:val="1f1f1f"/>
          <w:rtl w:val="0"/>
        </w:rPr>
        <w:t xml:space="preserve">1. Tronco y Tren Superior</w:t>
      </w:r>
    </w:p>
    <w:p w:rsidR="00000000" w:rsidDel="00000000" w:rsidP="00000000" w:rsidRDefault="00000000" w:rsidRPr="00000000" w14:paraId="00000042">
      <w:pPr>
        <w:widowControl w:val="0"/>
        <w:spacing w:after="150" w:line="275.9999942779541" w:lineRule="auto"/>
        <w:rPr>
          <w:rFonts w:ascii="Lora" w:cs="Lora" w:eastAsia="Lora" w:hAnsi="Lora"/>
          <w:color w:val="444746"/>
          <w:vertAlign w:val="superscript"/>
        </w:rPr>
      </w:pPr>
      <w:r w:rsidDel="00000000" w:rsidR="00000000" w:rsidRPr="00000000">
        <w:rPr>
          <w:rFonts w:ascii="Lora" w:cs="Lora" w:eastAsia="Lora" w:hAnsi="Lora"/>
          <w:color w:val="1f1f1f"/>
          <w:sz w:val="20"/>
          <w:szCs w:val="20"/>
          <w:rtl w:val="0"/>
        </w:rPr>
        <w:t xml:space="preserve">El tronco funciona como el principal acumulador de energía elástica. Los marcadores del tren superior permiten medir la flexión/extensión del tronco y la aceleración de los brazos, vitales para el cumplimiento de la regla del lanzamiento.</w:t>
      </w:r>
      <w:r w:rsidDel="00000000" w:rsidR="00000000" w:rsidRPr="00000000">
        <w:rPr>
          <w:rtl w:val="0"/>
        </w:rPr>
      </w:r>
    </w:p>
    <w:p w:rsidR="00000000" w:rsidDel="00000000" w:rsidP="00000000" w:rsidRDefault="00000000" w:rsidRPr="00000000" w14:paraId="00000043">
      <w:pPr>
        <w:widowControl w:val="0"/>
        <w:spacing w:line="275.9999942779541" w:lineRule="auto"/>
        <w:rPr>
          <w:rFonts w:ascii="Lora" w:cs="Lora" w:eastAsia="Lora" w:hAnsi="Lora"/>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Etiqueta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Nombre / Ubicación Anatómica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Función Biomecánica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C7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7ma vértebra cervical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Define el límite proximal de la columna torácica.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IJ / CLAV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Incisura Yugular / Escotadura esternal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Punto proximal anterior del tórax.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PX / STRN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Proceso Xifoideo / Esternón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Define el eje anteroposterior y profundidad del tórax.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T8 / T10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8va u 10ma vértebra torácica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Punto de referencia para la curvatura espinal y arqueo.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AC / SHO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Art. Acromioclavicular (Derecha/Izquierda)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Define el centro articular del hombro.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EL / ELB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Epicóndilo Lateral del húmero (Derecho/Izquierdo)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Eje de flexión-extensión del codo.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Epicóndilo Medial del húmero (Derecho/Izquierdo)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Mejora la definición del eje del codo.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RS / WRA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Apófisis estiloides radial (Derecha/Izquierdo)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Define el plano de la muñeca (lado pulgar).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US / WRB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Apófisis estiloides cubital (Derecha/Izquierda)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Define el plano de la muñeca (lado meñique).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MH3 / FIN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Cabeza del 3er metacarpo / Dedo medio (Derecha/Izquierda)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Punto distal para determinar la liberación del balón.</w:t>
            </w:r>
            <w:r w:rsidDel="00000000" w:rsidR="00000000" w:rsidRPr="00000000">
              <w:rPr>
                <w:rtl w:val="0"/>
              </w:rPr>
            </w:r>
          </w:p>
        </w:tc>
      </w:tr>
    </w:tbl>
    <w:p w:rsidR="00000000" w:rsidDel="00000000" w:rsidP="00000000" w:rsidRDefault="00000000" w:rsidRPr="00000000" w14:paraId="00000065">
      <w:pPr>
        <w:pStyle w:val="Heading3"/>
        <w:keepNext w:val="0"/>
        <w:keepLines w:val="0"/>
        <w:widowControl w:val="0"/>
        <w:spacing w:after="120" w:before="0" w:line="275.9999942779541" w:lineRule="auto"/>
        <w:rPr>
          <w:rFonts w:ascii="Lora" w:cs="Lora" w:eastAsia="Lora" w:hAnsi="Lora"/>
          <w:b w:val="1"/>
          <w:bCs w:val="1"/>
          <w:color w:val="1f1f1f"/>
        </w:rPr>
      </w:pPr>
      <w:r w:rsidDel="00000000" w:rsidR="00000000" w:rsidRPr="00000000">
        <w:rPr>
          <w:rtl w:val="0"/>
        </w:rPr>
      </w:r>
    </w:p>
    <w:p w:rsidR="00000000" w:rsidDel="00000000" w:rsidP="00000000" w:rsidRDefault="00000000" w:rsidRPr="00000000" w14:paraId="00000066">
      <w:pPr>
        <w:pStyle w:val="Heading3"/>
        <w:keepNext w:val="0"/>
        <w:keepLines w:val="0"/>
        <w:widowControl w:val="0"/>
        <w:spacing w:after="120" w:before="0" w:line="275.9999942779541" w:lineRule="auto"/>
        <w:rPr>
          <w:rFonts w:ascii="Lora" w:cs="Lora" w:eastAsia="Lora" w:hAnsi="Lora"/>
          <w:b w:val="1"/>
          <w:bCs w:val="1"/>
          <w:color w:val="1f1f1f"/>
        </w:rPr>
      </w:pPr>
      <w:r w:rsidDel="00000000" w:rsidR="00000000" w:rsidRPr="00000000">
        <w:rPr>
          <w:rFonts w:ascii="Lora" w:cs="Lora" w:eastAsia="Lora" w:hAnsi="Lora"/>
          <w:b w:val="1"/>
          <w:bCs w:val="1"/>
          <w:color w:val="1f1f1f"/>
          <w:rtl w:val="0"/>
        </w:rPr>
        <w:t xml:space="preserve">2. Pelvis y Tren Inferior (Bilateral)</w:t>
      </w:r>
    </w:p>
    <w:p w:rsidR="00000000" w:rsidDel="00000000" w:rsidP="00000000" w:rsidRDefault="00000000" w:rsidRPr="00000000" w14:paraId="00000067">
      <w:pPr>
        <w:widowControl w:val="0"/>
        <w:spacing w:after="150"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Aunque los pies deben permanecer en contacto con el suelo, la dinámica de los miembros inferiores es el motor que impulsa la cadena cinética hacia el tronco</w:t>
      </w:r>
      <w:r w:rsidDel="00000000" w:rsidR="00000000" w:rsidRPr="00000000">
        <w:rPr>
          <w:rtl w:val="0"/>
        </w:rPr>
      </w:r>
    </w:p>
    <w:p w:rsidR="00000000" w:rsidDel="00000000" w:rsidP="00000000" w:rsidRDefault="00000000" w:rsidRPr="00000000" w14:paraId="00000068">
      <w:pPr>
        <w:widowControl w:val="0"/>
        <w:spacing w:line="275.9999942779541" w:lineRule="auto"/>
        <w:rPr>
          <w:rFonts w:ascii="Lora" w:cs="Lora" w:eastAsia="Lora" w:hAnsi="Lora"/>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Etiqueta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Nombre / Ubicación Anatómica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Nombre en C3D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Espina Ilíaca Anterosuperior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rasis / lasis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SACRUM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Sacro (base de la columna)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sacrum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LFE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Epicóndilo femoral (Rodilla)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r_knee_1 / l_knee_1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FEM_WAND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Banda femoral (Muslo)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r_bar_1 / l_bar_1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Maléolo lateral (Tobillo)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r_mall / l_mall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TIB_WAND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Banda tibial (Pierna)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r_bar_2 / l_bar_2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HEEL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Calcáneo (Talón)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r_heel / l_heel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275.9999942779541" w:lineRule="auto"/>
              <w:rPr>
                <w:rFonts w:ascii="Lora" w:cs="Lora" w:eastAsia="Lora" w:hAnsi="Lora"/>
                <w:b w:val="1"/>
                <w:bCs w:val="1"/>
                <w:color w:val="1f1f1f"/>
                <w:sz w:val="20"/>
                <w:szCs w:val="20"/>
              </w:rPr>
            </w:pPr>
            <w:r w:rsidDel="00000000" w:rsidR="00000000" w:rsidRPr="00000000">
              <w:rPr>
                <w:rFonts w:ascii="Lora" w:cs="Lora" w:eastAsia="Lora" w:hAnsi="Lora"/>
                <w:b w:val="1"/>
                <w:bCs w:val="1"/>
                <w:color w:val="1f1f1f"/>
                <w:sz w:val="20"/>
                <w:szCs w:val="20"/>
                <w:rtl w:val="0"/>
              </w:rPr>
              <w:t xml:space="preserve">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275.9999942779541" w:lineRule="auto"/>
              <w:rPr>
                <w:rFonts w:ascii="Lora" w:cs="Lora" w:eastAsia="Lora" w:hAnsi="Lora"/>
                <w:color w:val="1f1f1f"/>
                <w:sz w:val="20"/>
                <w:szCs w:val="20"/>
              </w:rPr>
            </w:pPr>
            <w:r w:rsidDel="00000000" w:rsidR="00000000" w:rsidRPr="00000000">
              <w:rPr>
                <w:rFonts w:ascii="Lora" w:cs="Lora" w:eastAsia="Lora" w:hAnsi="Lora"/>
                <w:color w:val="1f1f1f"/>
                <w:sz w:val="20"/>
                <w:szCs w:val="20"/>
                <w:rtl w:val="0"/>
              </w:rPr>
              <w:t xml:space="preserve">Cabeza del 2do Metatarsiano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line="275.9999942779541" w:lineRule="auto"/>
              <w:rPr>
                <w:rFonts w:ascii="Lora" w:cs="Lora" w:eastAsia="Lora" w:hAnsi="Lora"/>
                <w:color w:val="444746"/>
                <w:sz w:val="20"/>
                <w:szCs w:val="20"/>
                <w:vertAlign w:val="superscript"/>
              </w:rPr>
            </w:pPr>
            <w:r w:rsidDel="00000000" w:rsidR="00000000" w:rsidRPr="00000000">
              <w:rPr>
                <w:rFonts w:ascii="Lora" w:cs="Lora" w:eastAsia="Lora" w:hAnsi="Lora"/>
                <w:color w:val="1f1f1f"/>
                <w:sz w:val="20"/>
                <w:szCs w:val="20"/>
                <w:rtl w:val="0"/>
              </w:rPr>
              <w:t xml:space="preserve">r_met / l_met </w:t>
            </w:r>
            <w:r w:rsidDel="00000000" w:rsidR="00000000" w:rsidRPr="00000000">
              <w:rPr>
                <w:rtl w:val="0"/>
              </w:rPr>
            </w:r>
          </w:p>
        </w:tc>
      </w:tr>
    </w:tbl>
    <w:p w:rsidR="00000000" w:rsidDel="00000000" w:rsidP="00000000" w:rsidRDefault="00000000" w:rsidRPr="00000000" w14:paraId="00000084">
      <w:pPr>
        <w:pStyle w:val="Heading2"/>
        <w:keepNext w:val="0"/>
        <w:keepLines w:val="0"/>
        <w:widowControl w:val="0"/>
        <w:spacing w:before="0" w:line="275.9999942779541" w:lineRule="auto"/>
        <w:rPr>
          <w:rFonts w:ascii="Lora" w:cs="Lora" w:eastAsia="Lora" w:hAnsi="Lora"/>
          <w:b w:val="1"/>
          <w:bCs w:val="1"/>
          <w:sz w:val="20"/>
          <w:szCs w:val="20"/>
        </w:rPr>
      </w:pPr>
      <w:bookmarkStart w:colFirst="0" w:colLast="0" w:name="_heading=h.tiee37vck3o7" w:id="0"/>
      <w:bookmarkEnd w:id="0"/>
      <w:r w:rsidDel="00000000" w:rsidR="00000000" w:rsidRPr="00000000">
        <w:rPr>
          <w:rtl w:val="0"/>
        </w:rPr>
      </w:r>
    </w:p>
    <w:p w:rsidR="00000000" w:rsidDel="00000000" w:rsidP="00000000" w:rsidRDefault="00000000" w:rsidRPr="00000000" w14:paraId="00000085">
      <w:pPr>
        <w:rPr>
          <w:rFonts w:ascii="Lora Medium" w:cs="Lora Medium" w:eastAsia="Lora Medium" w:hAnsi="Lora Medium"/>
        </w:rPr>
      </w:pPr>
      <w:r w:rsidDel="00000000" w:rsidR="00000000" w:rsidRPr="00000000">
        <w:rPr>
          <w:rtl w:val="0"/>
        </w:rPr>
      </w:r>
    </w:p>
    <w:sectPr>
      <w:headerReference r:id="rId8" w:type="default"/>
      <w:headerReference r:id="rId9" w:type="even"/>
      <w:footerReference r:id="rId10" w:type="default"/>
      <w:footerReference r:id="rId11" w:type="even"/>
      <w:pgSz w:h="16834" w:w="11909" w:orient="portrait"/>
      <w:pgMar w:bottom="1440" w:top="1440" w:left="1440" w:right="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tabs>
        <w:tab w:val="center" w:leader="none" w:pos="4252"/>
        <w:tab w:val="right" w:leader="none" w:pos="8504"/>
      </w:tabs>
      <w:spacing w:line="240" w:lineRule="auto"/>
      <w:ind w:left="-567" w:firstLine="0"/>
      <w:jc w:val="right"/>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Laboratorio de Biomecánica</w:t>
    </w:r>
  </w:p>
  <w:p w:rsidR="00000000" w:rsidDel="00000000" w:rsidP="00000000" w:rsidRDefault="00000000" w:rsidRPr="00000000" w14:paraId="0000008D">
    <w:pPr>
      <w:tabs>
        <w:tab w:val="center" w:leader="none" w:pos="4252"/>
        <w:tab w:val="right" w:leader="none" w:pos="8504"/>
      </w:tabs>
      <w:spacing w:line="240" w:lineRule="auto"/>
      <w:ind w:left="-567" w:firstLine="0"/>
      <w:jc w:val="right"/>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2026, Fernandez Aldana; Palacio Joaquin; Tribelhorn Cristian</w:t>
    </w:r>
  </w:p>
  <w:p w:rsidR="00000000" w:rsidDel="00000000" w:rsidP="00000000" w:rsidRDefault="00000000" w:rsidRPr="00000000" w14:paraId="0000008E">
    <w:pPr>
      <w:tabs>
        <w:tab w:val="center" w:leader="none" w:pos="4252"/>
        <w:tab w:val="right" w:leader="none" w:pos="8504"/>
      </w:tabs>
      <w:spacing w:line="240" w:lineRule="auto"/>
      <w:ind w:left="-567" w:firstLine="0"/>
      <w:jc w:val="right"/>
      <w:rPr/>
    </w:pPr>
    <w:r w:rsidDel="00000000" w:rsidR="00000000" w:rsidRPr="00000000">
      <w:rPr>
        <w:rFonts w:ascii="Lora Medium" w:cs="Lora Medium" w:eastAsia="Lora Medium" w:hAnsi="Lora Medium"/>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tabs>
        <w:tab w:val="center" w:leader="none" w:pos="4252"/>
        <w:tab w:val="right" w:leader="none" w:pos="8504"/>
      </w:tabs>
      <w:spacing w:line="240" w:lineRule="auto"/>
      <w:ind w:left="-567" w:firstLine="0"/>
      <w:jc w:val="right"/>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Laboratorio de Biomecánica</w:t>
    </w:r>
  </w:p>
  <w:p w:rsidR="00000000" w:rsidDel="00000000" w:rsidP="00000000" w:rsidRDefault="00000000" w:rsidRPr="00000000" w14:paraId="00000090">
    <w:pPr>
      <w:tabs>
        <w:tab w:val="center" w:leader="none" w:pos="4252"/>
        <w:tab w:val="right" w:leader="none" w:pos="8504"/>
      </w:tabs>
      <w:spacing w:line="240" w:lineRule="auto"/>
      <w:ind w:left="-567" w:firstLine="0"/>
      <w:jc w:val="right"/>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tl w:val="0"/>
      </w:rPr>
      <w:t xml:space="preserve">Análisis biomecánico del saque lateral en fútbol.</w:t>
    </w:r>
  </w:p>
  <w:p w:rsidR="00000000" w:rsidDel="00000000" w:rsidP="00000000" w:rsidRDefault="00000000" w:rsidRPr="00000000" w14:paraId="00000091">
    <w:pPr>
      <w:tabs>
        <w:tab w:val="center" w:leader="none" w:pos="4252"/>
        <w:tab w:val="right" w:leader="none" w:pos="8504"/>
      </w:tabs>
      <w:spacing w:line="240" w:lineRule="auto"/>
      <w:ind w:left="-567" w:firstLine="0"/>
      <w:jc w:val="right"/>
      <w:rPr>
        <w:rFonts w:ascii="Lora Medium" w:cs="Lora Medium" w:eastAsia="Lora Medium" w:hAnsi="Lora Medium"/>
        <w:sz w:val="20"/>
        <w:szCs w:val="20"/>
      </w:rPr>
    </w:pPr>
    <w:r w:rsidDel="00000000" w:rsidR="00000000" w:rsidRPr="00000000">
      <w:rPr>
        <w:rFonts w:ascii="Lora Medium" w:cs="Lora Medium" w:eastAsia="Lora Medium" w:hAnsi="Lora Medium"/>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tabs>
        <w:tab w:val="center" w:leader="none" w:pos="4252"/>
        <w:tab w:val="right" w:leader="none" w:pos="8504"/>
      </w:tabs>
      <w:spacing w:line="240" w:lineRule="auto"/>
      <w:ind w:left="-567" w:firstLine="0"/>
      <w:jc w:val="center"/>
      <w:rPr>
        <w:rFonts w:ascii="Calibri" w:cs="Calibri" w:eastAsia="Calibri" w:hAnsi="Calibri"/>
        <w:sz w:val="14"/>
        <w:szCs w:val="1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3815896</wp:posOffset>
          </wp:positionH>
          <wp:positionV relativeFrom="paragraph">
            <wp:posOffset>-71436</wp:posOffset>
          </wp:positionV>
          <wp:extent cx="2299154" cy="652463"/>
          <wp:effectExtent b="0" l="0" r="0" t="0"/>
          <wp:wrapNone/>
          <wp:docPr id="2" name="image1.png"/>
          <a:graphic>
            <a:graphicData uri="http://schemas.openxmlformats.org/drawingml/2006/picture">
              <pic:pic>
                <pic:nvPicPr>
                  <pic:cNvPr id="0" name="image1.png"/>
                  <pic:cNvPicPr preferRelativeResize="0"/>
                </pic:nvPicPr>
                <pic:blipFill>
                  <a:blip r:embed="rId1"/>
                  <a:srcRect b="23799" l="0" r="0" t="19471"/>
                  <a:stretch>
                    <a:fillRect/>
                  </a:stretch>
                </pic:blipFill>
                <pic:spPr>
                  <a:xfrm>
                    <a:off x="0" y="0"/>
                    <a:ext cx="2299154" cy="6524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-19048</wp:posOffset>
          </wp:positionV>
          <wp:extent cx="1970157" cy="60960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70157" cy="609600"/>
                  </a:xfrm>
                  <a:prstGeom prst="rect"/>
                  <a:ln/>
                </pic:spPr>
              </pic:pic>
            </a:graphicData>
          </a:graphic>
        </wp:anchor>
      </w:drawing>
    </w:r>
  </w:p>
  <w:p w:rsidR="00000000" w:rsidDel="00000000" w:rsidP="00000000" w:rsidRDefault="00000000" w:rsidRPr="00000000" w14:paraId="00000088">
    <w:pPr>
      <w:tabs>
        <w:tab w:val="center" w:leader="none" w:pos="4252"/>
        <w:tab w:val="right" w:leader="none" w:pos="8504"/>
      </w:tabs>
      <w:spacing w:line="240" w:lineRule="auto"/>
      <w:ind w:left="-567" w:firstLine="0"/>
      <w:jc w:val="cente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89">
    <w:pPr>
      <w:tabs>
        <w:tab w:val="center" w:leader="none" w:pos="4252"/>
        <w:tab w:val="right" w:leader="none" w:pos="8504"/>
      </w:tabs>
      <w:spacing w:line="240" w:lineRule="auto"/>
      <w:ind w:left="-567" w:firstLine="0"/>
      <w:jc w:val="cente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8A">
    <w:pPr>
      <w:tabs>
        <w:tab w:val="center" w:leader="none" w:pos="4252"/>
        <w:tab w:val="right" w:leader="none" w:pos="8504"/>
      </w:tabs>
      <w:spacing w:line="240" w:lineRule="auto"/>
      <w:ind w:left="-567" w:firstLine="0"/>
      <w:rPr>
        <w:color w:val="b7b7b7"/>
      </w:rPr>
    </w:pPr>
    <w:r w:rsidDel="00000000" w:rsidR="00000000" w:rsidRPr="00000000">
      <w:rPr>
        <w:rtl w:val="0"/>
      </w:rPr>
    </w:r>
  </w:p>
  <w:p w:rsidR="00000000" w:rsidDel="00000000" w:rsidP="00000000" w:rsidRDefault="00000000" w:rsidRPr="00000000" w14:paraId="0000008B">
    <w:pPr>
      <w:ind w:left="-566" w:firstLine="425"/>
      <w:rPr>
        <w:color w:val="999999"/>
      </w:rPr>
    </w:pPr>
    <w:r w:rsidDel="00000000" w:rsidR="00000000" w:rsidRPr="00000000">
      <w:rPr>
        <w:color w:val="b7b7b7"/>
        <w:rtl w:val="0"/>
      </w:rPr>
      <w:t xml:space="preserve">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566.9291338582675" w:hanging="359.99999999999994"/>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133.858267716535" w:hanging="359.9999999999999"/>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heifab.com/es/"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Y7Tp/09ZvUO+lFpLJnWX1Bwzw==">CgMxLjAyDmgudGllZTM3dmNrM283OAByITFPYmowRVZwaGFQVGN3akxueU1wWmJJS3NHZHlGY2o2Vw==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