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F7A" w:rsidRPr="004F30BD" w:rsidRDefault="00802F7A" w:rsidP="00802F7A">
      <w:pPr>
        <w:spacing w:line="240" w:lineRule="auto"/>
        <w:jc w:val="center"/>
        <w:rPr>
          <w:rStyle w:val="Strong"/>
          <w:rFonts w:asciiTheme="minorHAnsi" w:hAnsiTheme="minorHAnsi" w:cstheme="minorHAnsi"/>
          <w:color w:val="auto"/>
        </w:rPr>
      </w:pPr>
      <w:r w:rsidRPr="004F30BD">
        <w:rPr>
          <w:rStyle w:val="Strong"/>
          <w:rFonts w:asciiTheme="minorHAnsi" w:hAnsiTheme="minorHAnsi" w:cstheme="minorHAnsi"/>
          <w:color w:val="auto"/>
        </w:rPr>
        <w:t>Physical Security Evaluation of</w:t>
      </w:r>
    </w:p>
    <w:p w:rsidR="0030156C" w:rsidRPr="004F30BD" w:rsidRDefault="0030156C" w:rsidP="00802F7A">
      <w:pPr>
        <w:spacing w:line="240" w:lineRule="auto"/>
        <w:jc w:val="center"/>
        <w:rPr>
          <w:rFonts w:asciiTheme="minorHAnsi" w:eastAsia="Times New Roman" w:hAnsiTheme="minorHAnsi" w:cstheme="minorHAnsi"/>
          <w:color w:val="auto"/>
        </w:rPr>
      </w:pPr>
      <w:r w:rsidRPr="004F30BD">
        <w:rPr>
          <w:rStyle w:val="Strong"/>
          <w:rFonts w:asciiTheme="minorHAnsi" w:hAnsiTheme="minorHAnsi" w:cstheme="minorHAnsi"/>
          <w:color w:val="auto"/>
        </w:rPr>
        <w:t>Department of Social Welfare and Development (DSWD) ICT Infrastructure</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Fonts w:asciiTheme="minorHAnsi" w:hAnsiTheme="minorHAnsi" w:cstheme="minorHAnsi"/>
          <w:color w:val="auto"/>
        </w:rPr>
        <w:t>This evaluation focuses on the physical security of the ICT infrastructure of the Department of Social Welfare and Development (DSWD), specifically examining the Field Office 12 Data Center (FO12.ENTDSWD) and its related components.</w:t>
      </w:r>
    </w:p>
    <w:p w:rsidR="0030156C" w:rsidRPr="004F30BD" w:rsidRDefault="0030156C" w:rsidP="0030156C">
      <w:pPr>
        <w:pStyle w:val="Heading3"/>
        <w:rPr>
          <w:rFonts w:asciiTheme="minorHAnsi" w:hAnsiTheme="minorHAnsi" w:cstheme="minorHAnsi"/>
          <w:color w:val="auto"/>
        </w:rPr>
      </w:pPr>
      <w:r w:rsidRPr="004F30BD">
        <w:rPr>
          <w:rStyle w:val="Strong"/>
          <w:rFonts w:asciiTheme="minorHAnsi" w:hAnsiTheme="minorHAnsi" w:cstheme="minorHAnsi"/>
          <w:bCs w:val="0"/>
          <w:color w:val="auto"/>
        </w:rPr>
        <w:t>1. Data Center Security (FO12.ENTDSWD)</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Strengths:</w:t>
      </w:r>
    </w:p>
    <w:p w:rsidR="0030156C" w:rsidRPr="004F30BD" w:rsidRDefault="0030156C" w:rsidP="00461613">
      <w:pPr>
        <w:numPr>
          <w:ilvl w:val="0"/>
          <w:numId w:val="1"/>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Positioned within the ICTMS, the data center benefits from the broader organizational security structure.</w:t>
      </w:r>
    </w:p>
    <w:p w:rsidR="0030156C" w:rsidRPr="004F30BD" w:rsidRDefault="0030156C" w:rsidP="00461613">
      <w:pPr>
        <w:numPr>
          <w:ilvl w:val="0"/>
          <w:numId w:val="1"/>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A strict policy limits physical access to authorized personnel only, reducing the risk of unauthorized entry.</w:t>
      </w:r>
    </w:p>
    <w:p w:rsidR="0030156C" w:rsidRPr="004F30BD" w:rsidRDefault="0030156C" w:rsidP="00461613">
      <w:pPr>
        <w:numPr>
          <w:ilvl w:val="0"/>
          <w:numId w:val="1"/>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Equipped with a heavy-duty UPS, automatic transfer switches, and an industrial-grade generator to ensure operations remain uninterrupted during power outages.</w:t>
      </w:r>
    </w:p>
    <w:p w:rsidR="0030156C" w:rsidRPr="004F30BD" w:rsidRDefault="0030156C" w:rsidP="00461613">
      <w:pPr>
        <w:numPr>
          <w:ilvl w:val="0"/>
          <w:numId w:val="1"/>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Air conditioning and overheating monitoring systems are in place to maintain optimal environmental conditions for equipment.</w:t>
      </w:r>
    </w:p>
    <w:p w:rsidR="0030156C" w:rsidRPr="004F30BD" w:rsidRDefault="0030156C" w:rsidP="00461613">
      <w:pPr>
        <w:numPr>
          <w:ilvl w:val="0"/>
          <w:numId w:val="1"/>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Surveillance cameras, biometric access controls, intrusion detection systems (IDS), and a dedicated monitoring team are implemented to address and respond to physical security threats.</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Areas for Improvement:</w:t>
      </w:r>
    </w:p>
    <w:p w:rsidR="0030156C" w:rsidRPr="004F30BD" w:rsidRDefault="0030156C" w:rsidP="00461613">
      <w:pPr>
        <w:numPr>
          <w:ilvl w:val="0"/>
          <w:numId w:val="2"/>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Limiting access to one authorized individual reduces the attack surface but creates a single point of failure. Implementing a backup personnel policy or multi-person authentication is advisable.</w:t>
      </w:r>
    </w:p>
    <w:p w:rsidR="0030156C" w:rsidRPr="004F30BD" w:rsidRDefault="0030156C" w:rsidP="0030156C">
      <w:pPr>
        <w:pStyle w:val="Heading3"/>
        <w:rPr>
          <w:rFonts w:asciiTheme="minorHAnsi" w:hAnsiTheme="minorHAnsi" w:cstheme="minorHAnsi"/>
          <w:color w:val="auto"/>
        </w:rPr>
      </w:pPr>
      <w:r w:rsidRPr="004F30BD">
        <w:rPr>
          <w:rStyle w:val="Strong"/>
          <w:rFonts w:asciiTheme="minorHAnsi" w:hAnsiTheme="minorHAnsi" w:cstheme="minorHAnsi"/>
          <w:bCs w:val="0"/>
          <w:color w:val="auto"/>
        </w:rPr>
        <w:t>2. Internal Infrastructure Security</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Strengths:</w:t>
      </w:r>
    </w:p>
    <w:p w:rsidR="0030156C" w:rsidRPr="004F30BD" w:rsidRDefault="0030156C" w:rsidP="00461613">
      <w:pPr>
        <w:numPr>
          <w:ilvl w:val="0"/>
          <w:numId w:val="3"/>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The use of Intermediate Distribution Frames (IDFs) connected to a Main Distribution Frame (MDF) enables efficient network segmentation and control.</w:t>
      </w:r>
    </w:p>
    <w:p w:rsidR="0030156C" w:rsidRPr="004F30BD" w:rsidRDefault="0030156C" w:rsidP="00461613">
      <w:pPr>
        <w:numPr>
          <w:ilvl w:val="0"/>
          <w:numId w:val="3"/>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Palo Alto Next-Generation Firewalls (NGFW), routers, and intrusion detection systems offer high-level threat prevention and response.</w:t>
      </w:r>
    </w:p>
    <w:p w:rsidR="0030156C" w:rsidRPr="004F30BD" w:rsidRDefault="0030156C" w:rsidP="00461613">
      <w:pPr>
        <w:numPr>
          <w:ilvl w:val="0"/>
          <w:numId w:val="3"/>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Use of Cat6e cables and organized patch panels supports better network performance and simplifies maintenance.</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Areas for Improvement:</w:t>
      </w:r>
    </w:p>
    <w:p w:rsidR="0030156C" w:rsidRPr="004F30BD" w:rsidRDefault="00D740A2" w:rsidP="00461613">
      <w:pPr>
        <w:numPr>
          <w:ilvl w:val="0"/>
          <w:numId w:val="4"/>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lastRenderedPageBreak/>
        <w:t>The IDF and MDF systems have been operational for over 10 years, with regular preventive and protective maintenance. However, key components have not been replaced during this period, making them increasingly susceptible to wear and tear.</w:t>
      </w:r>
    </w:p>
    <w:p w:rsidR="0030156C" w:rsidRPr="004F30BD" w:rsidRDefault="0030156C" w:rsidP="0030156C">
      <w:pPr>
        <w:pStyle w:val="Heading3"/>
        <w:rPr>
          <w:rFonts w:asciiTheme="minorHAnsi" w:hAnsiTheme="minorHAnsi" w:cstheme="minorHAnsi"/>
          <w:color w:val="auto"/>
        </w:rPr>
      </w:pPr>
      <w:r w:rsidRPr="004F30BD">
        <w:rPr>
          <w:rStyle w:val="Strong"/>
          <w:rFonts w:asciiTheme="minorHAnsi" w:hAnsiTheme="minorHAnsi" w:cstheme="minorHAnsi"/>
          <w:bCs w:val="0"/>
          <w:color w:val="auto"/>
        </w:rPr>
        <w:t>3. Device and Data Security</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Strengths:</w:t>
      </w:r>
    </w:p>
    <w:p w:rsidR="0030156C" w:rsidRPr="004F30BD" w:rsidRDefault="0030156C" w:rsidP="00461613">
      <w:pPr>
        <w:numPr>
          <w:ilvl w:val="0"/>
          <w:numId w:val="5"/>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Devices are registered under an Active Directory domain, allowing synchronized user profiles and remote software deployment.</w:t>
      </w:r>
    </w:p>
    <w:p w:rsidR="0030156C" w:rsidRPr="004F30BD" w:rsidRDefault="0030156C" w:rsidP="00461613">
      <w:pPr>
        <w:numPr>
          <w:ilvl w:val="0"/>
          <w:numId w:val="5"/>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Cortex XDR is deployed across devices to ensure real-time threat detection and response.</w:t>
      </w:r>
    </w:p>
    <w:p w:rsidR="0030156C" w:rsidRPr="004F30BD" w:rsidRDefault="0030156C" w:rsidP="00461613">
      <w:pPr>
        <w:numPr>
          <w:ilvl w:val="0"/>
          <w:numId w:val="5"/>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Policies are enforced to prevent unauthorized software installations, with attempts logged for review.</w:t>
      </w:r>
    </w:p>
    <w:p w:rsidR="0030156C" w:rsidRPr="004F30BD" w:rsidRDefault="0030156C" w:rsidP="00461613">
      <w:pPr>
        <w:numPr>
          <w:ilvl w:val="0"/>
          <w:numId w:val="5"/>
        </w:numPr>
        <w:spacing w:before="100" w:beforeAutospacing="1" w:after="100" w:afterAutospacing="1" w:line="240" w:lineRule="auto"/>
        <w:rPr>
          <w:rFonts w:asciiTheme="minorHAnsi" w:hAnsiTheme="minorHAnsi" w:cstheme="minorHAnsi"/>
          <w:color w:val="auto"/>
        </w:rPr>
      </w:pPr>
      <w:proofErr w:type="spellStart"/>
      <w:r w:rsidRPr="004F30BD">
        <w:rPr>
          <w:rFonts w:asciiTheme="minorHAnsi" w:hAnsiTheme="minorHAnsi" w:cstheme="minorHAnsi"/>
          <w:color w:val="auto"/>
        </w:rPr>
        <w:t>GlobalProtect</w:t>
      </w:r>
      <w:proofErr w:type="spellEnd"/>
      <w:r w:rsidRPr="004F30BD">
        <w:rPr>
          <w:rFonts w:asciiTheme="minorHAnsi" w:hAnsiTheme="minorHAnsi" w:cstheme="minorHAnsi"/>
          <w:color w:val="auto"/>
        </w:rPr>
        <w:t xml:space="preserve"> VPN provides encrypted and authenticated access for users operating outside of office premises.</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Areas for Improvement:</w:t>
      </w:r>
    </w:p>
    <w:p w:rsidR="0030156C" w:rsidRPr="004F30BD" w:rsidRDefault="0030156C" w:rsidP="00461613">
      <w:pPr>
        <w:numPr>
          <w:ilvl w:val="0"/>
          <w:numId w:val="6"/>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Laptops and tablets used in the field are not equipped with full-disk encryption. If lost or stolen, these devices may lead to data breaches. Encryption should be implemented to protect sensitive information.</w:t>
      </w:r>
    </w:p>
    <w:p w:rsidR="0030156C" w:rsidRPr="004F30BD" w:rsidRDefault="0030156C" w:rsidP="0030156C">
      <w:pPr>
        <w:pStyle w:val="Heading3"/>
        <w:rPr>
          <w:rFonts w:asciiTheme="minorHAnsi" w:hAnsiTheme="minorHAnsi" w:cstheme="minorHAnsi"/>
          <w:color w:val="auto"/>
        </w:rPr>
      </w:pPr>
      <w:r w:rsidRPr="004F30BD">
        <w:rPr>
          <w:rStyle w:val="Strong"/>
          <w:rFonts w:asciiTheme="minorHAnsi" w:hAnsiTheme="minorHAnsi" w:cstheme="minorHAnsi"/>
          <w:bCs w:val="0"/>
          <w:color w:val="auto"/>
        </w:rPr>
        <w:t>4. Backup and Disaster Recovery</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Strengths:</w:t>
      </w:r>
    </w:p>
    <w:p w:rsidR="0030156C" w:rsidRPr="004F30BD" w:rsidRDefault="0030156C" w:rsidP="00461613">
      <w:pPr>
        <w:numPr>
          <w:ilvl w:val="0"/>
          <w:numId w:val="7"/>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A mix of full and differential backups ensures reliable data restoration.</w:t>
      </w:r>
    </w:p>
    <w:p w:rsidR="0030156C" w:rsidRPr="004F30BD" w:rsidRDefault="0030156C" w:rsidP="00461613">
      <w:pPr>
        <w:numPr>
          <w:ilvl w:val="0"/>
          <w:numId w:val="7"/>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Backup data is stored on a dedicated NAS within the premises.</w:t>
      </w:r>
    </w:p>
    <w:p w:rsidR="0030156C" w:rsidRPr="004F30BD" w:rsidRDefault="0030156C" w:rsidP="00461613">
      <w:pPr>
        <w:numPr>
          <w:ilvl w:val="0"/>
          <w:numId w:val="7"/>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NAS backups are mirrored to a secure offsite location in General Santos City, supporting disaster recovery efforts.</w:t>
      </w:r>
    </w:p>
    <w:p w:rsidR="0030156C" w:rsidRPr="004F30BD" w:rsidRDefault="0030156C" w:rsidP="0030156C">
      <w:pPr>
        <w:spacing w:before="100" w:beforeAutospacing="1" w:after="100" w:afterAutospacing="1"/>
        <w:rPr>
          <w:rFonts w:asciiTheme="minorHAnsi" w:hAnsiTheme="minorHAnsi" w:cstheme="minorHAnsi"/>
          <w:color w:val="auto"/>
        </w:rPr>
      </w:pPr>
      <w:r w:rsidRPr="004F30BD">
        <w:rPr>
          <w:rStyle w:val="Strong"/>
          <w:rFonts w:asciiTheme="minorHAnsi" w:hAnsiTheme="minorHAnsi" w:cstheme="minorHAnsi"/>
          <w:b w:val="0"/>
          <w:color w:val="auto"/>
        </w:rPr>
        <w:t>Areas for Improvement:</w:t>
      </w:r>
    </w:p>
    <w:p w:rsidR="0030156C" w:rsidRPr="004F30BD" w:rsidRDefault="00D740A2" w:rsidP="00461613">
      <w:pPr>
        <w:numPr>
          <w:ilvl w:val="0"/>
          <w:numId w:val="7"/>
        </w:numPr>
        <w:spacing w:before="100" w:beforeAutospacing="1" w:after="100" w:afterAutospacing="1" w:line="240" w:lineRule="auto"/>
        <w:rPr>
          <w:rFonts w:asciiTheme="minorHAnsi" w:hAnsiTheme="minorHAnsi" w:cstheme="minorHAnsi"/>
          <w:color w:val="auto"/>
        </w:rPr>
      </w:pPr>
      <w:r w:rsidRPr="004F30BD">
        <w:rPr>
          <w:rFonts w:asciiTheme="minorHAnsi" w:hAnsiTheme="minorHAnsi" w:cstheme="minorHAnsi"/>
          <w:color w:val="auto"/>
        </w:rPr>
        <w:t xml:space="preserve">To further enhance </w:t>
      </w:r>
      <w:r w:rsidR="00312D54" w:rsidRPr="004F30BD">
        <w:rPr>
          <w:rFonts w:asciiTheme="minorHAnsi" w:hAnsiTheme="minorHAnsi" w:cstheme="minorHAnsi"/>
          <w:color w:val="auto"/>
        </w:rPr>
        <w:t>flexibility</w:t>
      </w:r>
      <w:r w:rsidRPr="004F30BD">
        <w:rPr>
          <w:rFonts w:asciiTheme="minorHAnsi" w:hAnsiTheme="minorHAnsi" w:cstheme="minorHAnsi"/>
          <w:color w:val="auto"/>
        </w:rPr>
        <w:t xml:space="preserve"> and ensure data availability during large-scale disruptions, it is recommended to </w:t>
      </w:r>
      <w:r w:rsidRPr="004F30BD">
        <w:rPr>
          <w:rStyle w:val="Strong"/>
          <w:rFonts w:asciiTheme="minorHAnsi" w:hAnsiTheme="minorHAnsi" w:cstheme="minorHAnsi"/>
          <w:b w:val="0"/>
          <w:color w:val="auto"/>
        </w:rPr>
        <w:t>incorporate</w:t>
      </w:r>
      <w:r w:rsidRPr="004F30BD">
        <w:rPr>
          <w:rFonts w:asciiTheme="minorHAnsi" w:hAnsiTheme="minorHAnsi" w:cstheme="minorHAnsi"/>
          <w:color w:val="auto"/>
        </w:rPr>
        <w:t xml:space="preserve"> a cloud-based backup solution </w:t>
      </w:r>
      <w:r w:rsidR="00312D54" w:rsidRPr="004F30BD">
        <w:rPr>
          <w:rFonts w:asciiTheme="minorHAnsi" w:hAnsiTheme="minorHAnsi" w:cstheme="minorHAnsi"/>
          <w:color w:val="auto"/>
        </w:rPr>
        <w:t>like</w:t>
      </w:r>
      <w:r w:rsidRPr="004F30BD">
        <w:rPr>
          <w:rFonts w:asciiTheme="minorHAnsi" w:hAnsiTheme="minorHAnsi" w:cstheme="minorHAnsi"/>
          <w:color w:val="auto"/>
        </w:rPr>
        <w:t xml:space="preserve"> Amazon Web Services (AWS) database backup services.</w:t>
      </w:r>
      <w:bookmarkStart w:id="0" w:name="_GoBack"/>
      <w:bookmarkEnd w:id="0"/>
    </w:p>
    <w:p w:rsidR="0030156C" w:rsidRPr="004F30BD" w:rsidRDefault="0030156C" w:rsidP="0030156C">
      <w:pPr>
        <w:pStyle w:val="Heading3"/>
        <w:rPr>
          <w:rFonts w:asciiTheme="minorHAnsi" w:hAnsiTheme="minorHAnsi" w:cstheme="minorHAnsi"/>
          <w:color w:val="auto"/>
        </w:rPr>
      </w:pPr>
    </w:p>
    <w:sectPr w:rsidR="0030156C" w:rsidRPr="004F30BD">
      <w:headerReference w:type="default" r:id="rId8"/>
      <w:pgSz w:w="12240" w:h="15840"/>
      <w:pgMar w:top="732" w:right="1426" w:bottom="1845" w:left="144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613" w:rsidRDefault="00461613" w:rsidP="00DB4638">
      <w:pPr>
        <w:spacing w:line="240" w:lineRule="auto"/>
      </w:pPr>
      <w:r>
        <w:separator/>
      </w:r>
    </w:p>
  </w:endnote>
  <w:endnote w:type="continuationSeparator" w:id="0">
    <w:p w:rsidR="00461613" w:rsidRDefault="00461613" w:rsidP="00DB4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613" w:rsidRDefault="00461613" w:rsidP="00DB4638">
      <w:pPr>
        <w:spacing w:line="240" w:lineRule="auto"/>
      </w:pPr>
      <w:r>
        <w:separator/>
      </w:r>
    </w:p>
  </w:footnote>
  <w:footnote w:type="continuationSeparator" w:id="0">
    <w:p w:rsidR="00461613" w:rsidRDefault="00461613" w:rsidP="00DB46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38" w:rsidRDefault="00DB4638" w:rsidP="00DB4638">
    <w:pPr>
      <w:pStyle w:val="Header"/>
      <w:rPr>
        <w:b/>
      </w:rPr>
    </w:pPr>
    <w:r w:rsidRPr="008A37D0">
      <w:rPr>
        <w:b/>
      </w:rPr>
      <w:t>IT Protection and Security: MIT 264</w:t>
    </w:r>
  </w:p>
  <w:p w:rsidR="00DB4638" w:rsidRPr="008A37D0" w:rsidRDefault="00DB4638" w:rsidP="00DB4638">
    <w:pPr>
      <w:pStyle w:val="Header"/>
      <w:rPr>
        <w:b/>
      </w:rPr>
    </w:pPr>
    <w:r>
      <w:rPr>
        <w:b/>
      </w:rPr>
      <w:t xml:space="preserve">Alden A. </w:t>
    </w:r>
    <w:proofErr w:type="spellStart"/>
    <w:r>
      <w:rPr>
        <w:b/>
      </w:rPr>
      <w:t>Quiñones</w:t>
    </w:r>
    <w:proofErr w:type="spellEnd"/>
  </w:p>
  <w:p w:rsidR="00DB4638" w:rsidRDefault="00DB4638" w:rsidP="00DB4638">
    <w:pPr>
      <w:pStyle w:val="Header"/>
      <w:pBdr>
        <w:bottom w:val="single" w:sz="12" w:space="1" w:color="auto"/>
      </w:pBdr>
    </w:pPr>
    <w:r w:rsidRPr="005C7BF6">
      <w:t xml:space="preserve">Activity </w:t>
    </w:r>
    <w:r>
      <w:t>5</w:t>
    </w:r>
    <w:r w:rsidRPr="005C7BF6">
      <w:t xml:space="preserve"> </w:t>
    </w:r>
    <w:r>
      <w:t>–</w:t>
    </w:r>
    <w:r w:rsidRPr="005C7BF6">
      <w:t xml:space="preserve"> </w:t>
    </w:r>
    <w:r>
      <w:t>Physical Evaluation</w:t>
    </w:r>
  </w:p>
  <w:p w:rsidR="00DB4638" w:rsidRDefault="00DB4638" w:rsidP="00DB46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1E29"/>
    <w:multiLevelType w:val="multilevel"/>
    <w:tmpl w:val="871A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D79CE"/>
    <w:multiLevelType w:val="multilevel"/>
    <w:tmpl w:val="501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016DE"/>
    <w:multiLevelType w:val="multilevel"/>
    <w:tmpl w:val="022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953E0"/>
    <w:multiLevelType w:val="multilevel"/>
    <w:tmpl w:val="FDF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C6A1C"/>
    <w:multiLevelType w:val="multilevel"/>
    <w:tmpl w:val="275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63D24"/>
    <w:multiLevelType w:val="multilevel"/>
    <w:tmpl w:val="9D5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978AE"/>
    <w:multiLevelType w:val="multilevel"/>
    <w:tmpl w:val="EA2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B4"/>
    <w:rsid w:val="00000553"/>
    <w:rsid w:val="00001C05"/>
    <w:rsid w:val="00016038"/>
    <w:rsid w:val="000B37AC"/>
    <w:rsid w:val="000C3A56"/>
    <w:rsid w:val="000C4A09"/>
    <w:rsid w:val="000D557D"/>
    <w:rsid w:val="000F6ADC"/>
    <w:rsid w:val="001036CB"/>
    <w:rsid w:val="001056EF"/>
    <w:rsid w:val="001146AD"/>
    <w:rsid w:val="00125010"/>
    <w:rsid w:val="00131AB4"/>
    <w:rsid w:val="00162370"/>
    <w:rsid w:val="00183C36"/>
    <w:rsid w:val="00192AF4"/>
    <w:rsid w:val="00197DC9"/>
    <w:rsid w:val="001C08E2"/>
    <w:rsid w:val="001E4255"/>
    <w:rsid w:val="00207B44"/>
    <w:rsid w:val="002200CE"/>
    <w:rsid w:val="00232749"/>
    <w:rsid w:val="00261E72"/>
    <w:rsid w:val="002919F8"/>
    <w:rsid w:val="00296E6B"/>
    <w:rsid w:val="002A0954"/>
    <w:rsid w:val="002A1804"/>
    <w:rsid w:val="002B0FD9"/>
    <w:rsid w:val="002E0561"/>
    <w:rsid w:val="0030156C"/>
    <w:rsid w:val="00301B76"/>
    <w:rsid w:val="00312D54"/>
    <w:rsid w:val="00317DFC"/>
    <w:rsid w:val="0032213A"/>
    <w:rsid w:val="00340E13"/>
    <w:rsid w:val="00345E6B"/>
    <w:rsid w:val="00376F42"/>
    <w:rsid w:val="00391F15"/>
    <w:rsid w:val="0039302F"/>
    <w:rsid w:val="003A42EF"/>
    <w:rsid w:val="003B69F9"/>
    <w:rsid w:val="003C6424"/>
    <w:rsid w:val="003D3E9A"/>
    <w:rsid w:val="003D6036"/>
    <w:rsid w:val="003E12FB"/>
    <w:rsid w:val="003F1870"/>
    <w:rsid w:val="0040688C"/>
    <w:rsid w:val="00425983"/>
    <w:rsid w:val="004261F4"/>
    <w:rsid w:val="00435190"/>
    <w:rsid w:val="00452CE2"/>
    <w:rsid w:val="004550A9"/>
    <w:rsid w:val="004561FC"/>
    <w:rsid w:val="00461613"/>
    <w:rsid w:val="004633BA"/>
    <w:rsid w:val="0048773E"/>
    <w:rsid w:val="004C696F"/>
    <w:rsid w:val="004D1593"/>
    <w:rsid w:val="004D4917"/>
    <w:rsid w:val="004F096E"/>
    <w:rsid w:val="004F30BD"/>
    <w:rsid w:val="00525DAC"/>
    <w:rsid w:val="00545A1A"/>
    <w:rsid w:val="005540F2"/>
    <w:rsid w:val="005563BD"/>
    <w:rsid w:val="00567636"/>
    <w:rsid w:val="0057303C"/>
    <w:rsid w:val="00587FB8"/>
    <w:rsid w:val="005A7A8D"/>
    <w:rsid w:val="005D6893"/>
    <w:rsid w:val="005D752E"/>
    <w:rsid w:val="005F5C52"/>
    <w:rsid w:val="005F7E12"/>
    <w:rsid w:val="00614468"/>
    <w:rsid w:val="006475B6"/>
    <w:rsid w:val="0065262F"/>
    <w:rsid w:val="006527EF"/>
    <w:rsid w:val="0066201E"/>
    <w:rsid w:val="006A1DD6"/>
    <w:rsid w:val="006C44B0"/>
    <w:rsid w:val="006D0315"/>
    <w:rsid w:val="006D5EB6"/>
    <w:rsid w:val="006D66DA"/>
    <w:rsid w:val="006E073C"/>
    <w:rsid w:val="006F0DEF"/>
    <w:rsid w:val="0070512B"/>
    <w:rsid w:val="00716DB0"/>
    <w:rsid w:val="007378A5"/>
    <w:rsid w:val="00754B67"/>
    <w:rsid w:val="00781DB2"/>
    <w:rsid w:val="007936B6"/>
    <w:rsid w:val="007B219C"/>
    <w:rsid w:val="007C4441"/>
    <w:rsid w:val="007D00C8"/>
    <w:rsid w:val="007D510B"/>
    <w:rsid w:val="007E02A6"/>
    <w:rsid w:val="007F54F6"/>
    <w:rsid w:val="00802F7A"/>
    <w:rsid w:val="00811D81"/>
    <w:rsid w:val="00814309"/>
    <w:rsid w:val="00833D50"/>
    <w:rsid w:val="00840B09"/>
    <w:rsid w:val="008436CE"/>
    <w:rsid w:val="00867139"/>
    <w:rsid w:val="00870CAD"/>
    <w:rsid w:val="00877C10"/>
    <w:rsid w:val="008B0C6B"/>
    <w:rsid w:val="008B129D"/>
    <w:rsid w:val="008B19CE"/>
    <w:rsid w:val="008F149F"/>
    <w:rsid w:val="008F188A"/>
    <w:rsid w:val="00907239"/>
    <w:rsid w:val="009439BE"/>
    <w:rsid w:val="00951682"/>
    <w:rsid w:val="00964C1B"/>
    <w:rsid w:val="009A350B"/>
    <w:rsid w:val="009D0701"/>
    <w:rsid w:val="009D2DA1"/>
    <w:rsid w:val="009D3C66"/>
    <w:rsid w:val="009E7CFA"/>
    <w:rsid w:val="009F0D0C"/>
    <w:rsid w:val="009F1580"/>
    <w:rsid w:val="00A056FE"/>
    <w:rsid w:val="00A22DB6"/>
    <w:rsid w:val="00A22EF4"/>
    <w:rsid w:val="00A459B2"/>
    <w:rsid w:val="00A510C1"/>
    <w:rsid w:val="00A57C89"/>
    <w:rsid w:val="00A856A1"/>
    <w:rsid w:val="00AC6EDB"/>
    <w:rsid w:val="00AC70A9"/>
    <w:rsid w:val="00AE4897"/>
    <w:rsid w:val="00AF3108"/>
    <w:rsid w:val="00AF383F"/>
    <w:rsid w:val="00B1279F"/>
    <w:rsid w:val="00B176E6"/>
    <w:rsid w:val="00B24170"/>
    <w:rsid w:val="00B70150"/>
    <w:rsid w:val="00B93936"/>
    <w:rsid w:val="00BA11E5"/>
    <w:rsid w:val="00BD5C9F"/>
    <w:rsid w:val="00BD6649"/>
    <w:rsid w:val="00BF68B9"/>
    <w:rsid w:val="00C032D0"/>
    <w:rsid w:val="00C1401B"/>
    <w:rsid w:val="00C26ED1"/>
    <w:rsid w:val="00C4002B"/>
    <w:rsid w:val="00C50978"/>
    <w:rsid w:val="00C92088"/>
    <w:rsid w:val="00CA46FC"/>
    <w:rsid w:val="00CC00A0"/>
    <w:rsid w:val="00CD5121"/>
    <w:rsid w:val="00CE5E0D"/>
    <w:rsid w:val="00CF069E"/>
    <w:rsid w:val="00CF2F4E"/>
    <w:rsid w:val="00D10655"/>
    <w:rsid w:val="00D14EA1"/>
    <w:rsid w:val="00D16835"/>
    <w:rsid w:val="00D177EC"/>
    <w:rsid w:val="00D449AA"/>
    <w:rsid w:val="00D45AA2"/>
    <w:rsid w:val="00D57E1B"/>
    <w:rsid w:val="00D66478"/>
    <w:rsid w:val="00D71B95"/>
    <w:rsid w:val="00D740A2"/>
    <w:rsid w:val="00D92A0D"/>
    <w:rsid w:val="00D94740"/>
    <w:rsid w:val="00D96568"/>
    <w:rsid w:val="00DA2DFF"/>
    <w:rsid w:val="00DB0AEA"/>
    <w:rsid w:val="00DB4638"/>
    <w:rsid w:val="00DC06A8"/>
    <w:rsid w:val="00DE0467"/>
    <w:rsid w:val="00DF7DA2"/>
    <w:rsid w:val="00E122F6"/>
    <w:rsid w:val="00E45482"/>
    <w:rsid w:val="00E4608E"/>
    <w:rsid w:val="00E54A93"/>
    <w:rsid w:val="00E702FF"/>
    <w:rsid w:val="00E7282A"/>
    <w:rsid w:val="00E8383A"/>
    <w:rsid w:val="00E968F0"/>
    <w:rsid w:val="00EA1BE6"/>
    <w:rsid w:val="00EB7692"/>
    <w:rsid w:val="00EC6985"/>
    <w:rsid w:val="00EE380E"/>
    <w:rsid w:val="00EF38FF"/>
    <w:rsid w:val="00F31BE9"/>
    <w:rsid w:val="00F5482B"/>
    <w:rsid w:val="00F653BE"/>
    <w:rsid w:val="00F772E1"/>
    <w:rsid w:val="00F81BF8"/>
    <w:rsid w:val="00FB28D9"/>
    <w:rsid w:val="00FB3976"/>
    <w:rsid w:val="00FB7914"/>
    <w:rsid w:val="00FE7A1D"/>
    <w:rsid w:val="00FE7E86"/>
    <w:rsid w:val="00FF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5C30E-F135-413E-8368-C7EFF0DE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7" w:line="320" w:lineRule="auto"/>
      <w:ind w:left="-5" w:right="-15"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spacing w:after="296" w:line="344" w:lineRule="auto"/>
      <w:ind w:left="355" w:right="-15" w:hanging="10"/>
      <w:outlineLvl w:val="1"/>
    </w:pPr>
    <w:rPr>
      <w:rFonts w:ascii="Arial" w:eastAsia="Arial" w:hAnsi="Arial" w:cs="Arial"/>
      <w:b/>
      <w:color w:val="000000"/>
      <w:sz w:val="20"/>
    </w:rPr>
  </w:style>
  <w:style w:type="paragraph" w:styleId="Heading3">
    <w:name w:val="heading 3"/>
    <w:basedOn w:val="Normal"/>
    <w:next w:val="Normal"/>
    <w:link w:val="Heading3Char"/>
    <w:uiPriority w:val="9"/>
    <w:unhideWhenUsed/>
    <w:qFormat/>
    <w:rsid w:val="00B1279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59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3"/>
    </w:rPr>
  </w:style>
  <w:style w:type="paragraph" w:styleId="ListParagraph">
    <w:name w:val="List Paragraph"/>
    <w:basedOn w:val="Normal"/>
    <w:uiPriority w:val="34"/>
    <w:qFormat/>
    <w:rsid w:val="00CF069E"/>
    <w:pPr>
      <w:ind w:left="720"/>
      <w:contextualSpacing/>
    </w:pPr>
  </w:style>
  <w:style w:type="character" w:styleId="Strong">
    <w:name w:val="Strong"/>
    <w:basedOn w:val="DefaultParagraphFont"/>
    <w:uiPriority w:val="22"/>
    <w:qFormat/>
    <w:rsid w:val="00BD6649"/>
    <w:rPr>
      <w:b/>
      <w:bCs/>
    </w:rPr>
  </w:style>
  <w:style w:type="table" w:styleId="TableGrid">
    <w:name w:val="Table Grid"/>
    <w:basedOn w:val="TableNormal"/>
    <w:uiPriority w:val="39"/>
    <w:rsid w:val="00A5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96568"/>
    <w:rPr>
      <w:rFonts w:ascii="Courier New" w:eastAsia="Times New Roman" w:hAnsi="Courier New" w:cs="Courier New"/>
      <w:sz w:val="20"/>
      <w:szCs w:val="20"/>
    </w:rPr>
  </w:style>
  <w:style w:type="character" w:styleId="Hyperlink">
    <w:name w:val="Hyperlink"/>
    <w:basedOn w:val="DefaultParagraphFont"/>
    <w:uiPriority w:val="99"/>
    <w:unhideWhenUsed/>
    <w:rsid w:val="00301B76"/>
    <w:rPr>
      <w:color w:val="0563C1" w:themeColor="hyperlink"/>
      <w:u w:val="single"/>
    </w:rPr>
  </w:style>
  <w:style w:type="paragraph" w:styleId="NormalWeb">
    <w:name w:val="Normal (Web)"/>
    <w:basedOn w:val="Normal"/>
    <w:uiPriority w:val="99"/>
    <w:unhideWhenUsed/>
    <w:rsid w:val="00296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dditional-info-percentages">
    <w:name w:val="additional-info-percentages"/>
    <w:basedOn w:val="DefaultParagraphFont"/>
    <w:rsid w:val="00296E6B"/>
  </w:style>
  <w:style w:type="paragraph" w:styleId="TOCHeading">
    <w:name w:val="TOC Heading"/>
    <w:basedOn w:val="Heading1"/>
    <w:next w:val="Normal"/>
    <w:uiPriority w:val="39"/>
    <w:unhideWhenUsed/>
    <w:qFormat/>
    <w:rsid w:val="004F096E"/>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F096E"/>
    <w:pPr>
      <w:tabs>
        <w:tab w:val="right" w:leader="dot" w:pos="9362"/>
      </w:tabs>
      <w:spacing w:after="100"/>
    </w:pPr>
    <w:rPr>
      <w:b/>
      <w:noProof/>
    </w:rPr>
  </w:style>
  <w:style w:type="paragraph" w:styleId="TOC2">
    <w:name w:val="toc 2"/>
    <w:basedOn w:val="Normal"/>
    <w:next w:val="Normal"/>
    <w:autoRedefine/>
    <w:uiPriority w:val="39"/>
    <w:unhideWhenUsed/>
    <w:rsid w:val="004F096E"/>
    <w:pPr>
      <w:tabs>
        <w:tab w:val="left" w:pos="660"/>
        <w:tab w:val="right" w:leader="dot" w:pos="9362"/>
      </w:tabs>
      <w:spacing w:after="100"/>
      <w:ind w:left="220"/>
    </w:pPr>
    <w:rPr>
      <w:rFonts w:ascii="Arial" w:eastAsia="Arial" w:hAnsi="Arial" w:cs="Arial"/>
      <w:noProof/>
      <w:sz w:val="20"/>
    </w:rPr>
  </w:style>
  <w:style w:type="paragraph" w:styleId="TOC3">
    <w:name w:val="toc 3"/>
    <w:basedOn w:val="Normal"/>
    <w:next w:val="Normal"/>
    <w:autoRedefine/>
    <w:uiPriority w:val="39"/>
    <w:unhideWhenUsed/>
    <w:rsid w:val="004F096E"/>
    <w:pPr>
      <w:spacing w:after="100"/>
      <w:ind w:left="440"/>
    </w:pPr>
  </w:style>
  <w:style w:type="character" w:styleId="FollowedHyperlink">
    <w:name w:val="FollowedHyperlink"/>
    <w:basedOn w:val="DefaultParagraphFont"/>
    <w:uiPriority w:val="99"/>
    <w:semiHidden/>
    <w:unhideWhenUsed/>
    <w:rsid w:val="001146AD"/>
    <w:rPr>
      <w:color w:val="954F72" w:themeColor="followedHyperlink"/>
      <w:u w:val="single"/>
    </w:rPr>
  </w:style>
  <w:style w:type="character" w:customStyle="1" w:styleId="Heading3Char">
    <w:name w:val="Heading 3 Char"/>
    <w:basedOn w:val="DefaultParagraphFont"/>
    <w:link w:val="Heading3"/>
    <w:uiPriority w:val="9"/>
    <w:rsid w:val="00B127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59B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B4638"/>
    <w:pPr>
      <w:tabs>
        <w:tab w:val="center" w:pos="4680"/>
        <w:tab w:val="right" w:pos="9360"/>
      </w:tabs>
      <w:spacing w:line="240" w:lineRule="auto"/>
    </w:pPr>
  </w:style>
  <w:style w:type="character" w:customStyle="1" w:styleId="HeaderChar">
    <w:name w:val="Header Char"/>
    <w:basedOn w:val="DefaultParagraphFont"/>
    <w:link w:val="Header"/>
    <w:uiPriority w:val="99"/>
    <w:rsid w:val="00DB4638"/>
    <w:rPr>
      <w:rFonts w:ascii="Calibri" w:eastAsia="Calibri" w:hAnsi="Calibri" w:cs="Calibri"/>
      <w:color w:val="000000"/>
    </w:rPr>
  </w:style>
  <w:style w:type="paragraph" w:styleId="Footer">
    <w:name w:val="footer"/>
    <w:basedOn w:val="Normal"/>
    <w:link w:val="FooterChar"/>
    <w:uiPriority w:val="99"/>
    <w:unhideWhenUsed/>
    <w:rsid w:val="00DB4638"/>
    <w:pPr>
      <w:tabs>
        <w:tab w:val="center" w:pos="4680"/>
        <w:tab w:val="right" w:pos="9360"/>
      </w:tabs>
      <w:spacing w:line="240" w:lineRule="auto"/>
    </w:pPr>
  </w:style>
  <w:style w:type="character" w:customStyle="1" w:styleId="FooterChar">
    <w:name w:val="Footer Char"/>
    <w:basedOn w:val="DefaultParagraphFont"/>
    <w:link w:val="Footer"/>
    <w:uiPriority w:val="99"/>
    <w:rsid w:val="00DB463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0259">
      <w:bodyDiv w:val="1"/>
      <w:marLeft w:val="0"/>
      <w:marRight w:val="0"/>
      <w:marTop w:val="0"/>
      <w:marBottom w:val="0"/>
      <w:divBdr>
        <w:top w:val="none" w:sz="0" w:space="0" w:color="auto"/>
        <w:left w:val="none" w:sz="0" w:space="0" w:color="auto"/>
        <w:bottom w:val="none" w:sz="0" w:space="0" w:color="auto"/>
        <w:right w:val="none" w:sz="0" w:space="0" w:color="auto"/>
      </w:divBdr>
      <w:divsChild>
        <w:div w:id="919827581">
          <w:marLeft w:val="0"/>
          <w:marRight w:val="0"/>
          <w:marTop w:val="0"/>
          <w:marBottom w:val="0"/>
          <w:divBdr>
            <w:top w:val="none" w:sz="0" w:space="0" w:color="auto"/>
            <w:left w:val="none" w:sz="0" w:space="0" w:color="auto"/>
            <w:bottom w:val="none" w:sz="0" w:space="0" w:color="auto"/>
            <w:right w:val="none" w:sz="0" w:space="0" w:color="auto"/>
          </w:divBdr>
        </w:div>
      </w:divsChild>
    </w:div>
    <w:div w:id="183372505">
      <w:bodyDiv w:val="1"/>
      <w:marLeft w:val="0"/>
      <w:marRight w:val="0"/>
      <w:marTop w:val="0"/>
      <w:marBottom w:val="0"/>
      <w:divBdr>
        <w:top w:val="none" w:sz="0" w:space="0" w:color="auto"/>
        <w:left w:val="none" w:sz="0" w:space="0" w:color="auto"/>
        <w:bottom w:val="none" w:sz="0" w:space="0" w:color="auto"/>
        <w:right w:val="none" w:sz="0" w:space="0" w:color="auto"/>
      </w:divBdr>
    </w:div>
    <w:div w:id="183445187">
      <w:bodyDiv w:val="1"/>
      <w:marLeft w:val="0"/>
      <w:marRight w:val="0"/>
      <w:marTop w:val="0"/>
      <w:marBottom w:val="0"/>
      <w:divBdr>
        <w:top w:val="none" w:sz="0" w:space="0" w:color="auto"/>
        <w:left w:val="none" w:sz="0" w:space="0" w:color="auto"/>
        <w:bottom w:val="none" w:sz="0" w:space="0" w:color="auto"/>
        <w:right w:val="none" w:sz="0" w:space="0" w:color="auto"/>
      </w:divBdr>
    </w:div>
    <w:div w:id="221334405">
      <w:bodyDiv w:val="1"/>
      <w:marLeft w:val="0"/>
      <w:marRight w:val="0"/>
      <w:marTop w:val="0"/>
      <w:marBottom w:val="0"/>
      <w:divBdr>
        <w:top w:val="none" w:sz="0" w:space="0" w:color="auto"/>
        <w:left w:val="none" w:sz="0" w:space="0" w:color="auto"/>
        <w:bottom w:val="none" w:sz="0" w:space="0" w:color="auto"/>
        <w:right w:val="none" w:sz="0" w:space="0" w:color="auto"/>
      </w:divBdr>
    </w:div>
    <w:div w:id="238371143">
      <w:bodyDiv w:val="1"/>
      <w:marLeft w:val="0"/>
      <w:marRight w:val="0"/>
      <w:marTop w:val="0"/>
      <w:marBottom w:val="0"/>
      <w:divBdr>
        <w:top w:val="none" w:sz="0" w:space="0" w:color="auto"/>
        <w:left w:val="none" w:sz="0" w:space="0" w:color="auto"/>
        <w:bottom w:val="none" w:sz="0" w:space="0" w:color="auto"/>
        <w:right w:val="none" w:sz="0" w:space="0" w:color="auto"/>
      </w:divBdr>
    </w:div>
    <w:div w:id="270479130">
      <w:bodyDiv w:val="1"/>
      <w:marLeft w:val="0"/>
      <w:marRight w:val="0"/>
      <w:marTop w:val="0"/>
      <w:marBottom w:val="0"/>
      <w:divBdr>
        <w:top w:val="none" w:sz="0" w:space="0" w:color="auto"/>
        <w:left w:val="none" w:sz="0" w:space="0" w:color="auto"/>
        <w:bottom w:val="none" w:sz="0" w:space="0" w:color="auto"/>
        <w:right w:val="none" w:sz="0" w:space="0" w:color="auto"/>
      </w:divBdr>
    </w:div>
    <w:div w:id="552548733">
      <w:bodyDiv w:val="1"/>
      <w:marLeft w:val="0"/>
      <w:marRight w:val="0"/>
      <w:marTop w:val="0"/>
      <w:marBottom w:val="0"/>
      <w:divBdr>
        <w:top w:val="none" w:sz="0" w:space="0" w:color="auto"/>
        <w:left w:val="none" w:sz="0" w:space="0" w:color="auto"/>
        <w:bottom w:val="none" w:sz="0" w:space="0" w:color="auto"/>
        <w:right w:val="none" w:sz="0" w:space="0" w:color="auto"/>
      </w:divBdr>
    </w:div>
    <w:div w:id="552617988">
      <w:bodyDiv w:val="1"/>
      <w:marLeft w:val="0"/>
      <w:marRight w:val="0"/>
      <w:marTop w:val="0"/>
      <w:marBottom w:val="0"/>
      <w:divBdr>
        <w:top w:val="none" w:sz="0" w:space="0" w:color="auto"/>
        <w:left w:val="none" w:sz="0" w:space="0" w:color="auto"/>
        <w:bottom w:val="none" w:sz="0" w:space="0" w:color="auto"/>
        <w:right w:val="none" w:sz="0" w:space="0" w:color="auto"/>
      </w:divBdr>
      <w:divsChild>
        <w:div w:id="394861156">
          <w:marLeft w:val="0"/>
          <w:marRight w:val="0"/>
          <w:marTop w:val="0"/>
          <w:marBottom w:val="0"/>
          <w:divBdr>
            <w:top w:val="none" w:sz="0" w:space="0" w:color="auto"/>
            <w:left w:val="none" w:sz="0" w:space="0" w:color="auto"/>
            <w:bottom w:val="none" w:sz="0" w:space="0" w:color="auto"/>
            <w:right w:val="none" w:sz="0" w:space="0" w:color="auto"/>
          </w:divBdr>
        </w:div>
        <w:div w:id="109788325">
          <w:marLeft w:val="0"/>
          <w:marRight w:val="0"/>
          <w:marTop w:val="0"/>
          <w:marBottom w:val="0"/>
          <w:divBdr>
            <w:top w:val="none" w:sz="0" w:space="0" w:color="auto"/>
            <w:left w:val="none" w:sz="0" w:space="0" w:color="auto"/>
            <w:bottom w:val="none" w:sz="0" w:space="0" w:color="auto"/>
            <w:right w:val="none" w:sz="0" w:space="0" w:color="auto"/>
          </w:divBdr>
        </w:div>
        <w:div w:id="950473342">
          <w:marLeft w:val="0"/>
          <w:marRight w:val="0"/>
          <w:marTop w:val="0"/>
          <w:marBottom w:val="0"/>
          <w:divBdr>
            <w:top w:val="none" w:sz="0" w:space="0" w:color="auto"/>
            <w:left w:val="none" w:sz="0" w:space="0" w:color="auto"/>
            <w:bottom w:val="none" w:sz="0" w:space="0" w:color="auto"/>
            <w:right w:val="none" w:sz="0" w:space="0" w:color="auto"/>
          </w:divBdr>
        </w:div>
        <w:div w:id="1885751361">
          <w:marLeft w:val="0"/>
          <w:marRight w:val="0"/>
          <w:marTop w:val="0"/>
          <w:marBottom w:val="0"/>
          <w:divBdr>
            <w:top w:val="none" w:sz="0" w:space="0" w:color="auto"/>
            <w:left w:val="none" w:sz="0" w:space="0" w:color="auto"/>
            <w:bottom w:val="none" w:sz="0" w:space="0" w:color="auto"/>
            <w:right w:val="none" w:sz="0" w:space="0" w:color="auto"/>
          </w:divBdr>
        </w:div>
        <w:div w:id="2049645756">
          <w:marLeft w:val="0"/>
          <w:marRight w:val="0"/>
          <w:marTop w:val="0"/>
          <w:marBottom w:val="0"/>
          <w:divBdr>
            <w:top w:val="none" w:sz="0" w:space="0" w:color="auto"/>
            <w:left w:val="none" w:sz="0" w:space="0" w:color="auto"/>
            <w:bottom w:val="none" w:sz="0" w:space="0" w:color="auto"/>
            <w:right w:val="none" w:sz="0" w:space="0" w:color="auto"/>
          </w:divBdr>
        </w:div>
        <w:div w:id="49764832">
          <w:marLeft w:val="0"/>
          <w:marRight w:val="0"/>
          <w:marTop w:val="0"/>
          <w:marBottom w:val="0"/>
          <w:divBdr>
            <w:top w:val="none" w:sz="0" w:space="0" w:color="auto"/>
            <w:left w:val="none" w:sz="0" w:space="0" w:color="auto"/>
            <w:bottom w:val="none" w:sz="0" w:space="0" w:color="auto"/>
            <w:right w:val="none" w:sz="0" w:space="0" w:color="auto"/>
          </w:divBdr>
        </w:div>
        <w:div w:id="232130649">
          <w:marLeft w:val="0"/>
          <w:marRight w:val="0"/>
          <w:marTop w:val="0"/>
          <w:marBottom w:val="0"/>
          <w:divBdr>
            <w:top w:val="none" w:sz="0" w:space="0" w:color="auto"/>
            <w:left w:val="none" w:sz="0" w:space="0" w:color="auto"/>
            <w:bottom w:val="none" w:sz="0" w:space="0" w:color="auto"/>
            <w:right w:val="none" w:sz="0" w:space="0" w:color="auto"/>
          </w:divBdr>
        </w:div>
        <w:div w:id="1442261616">
          <w:marLeft w:val="0"/>
          <w:marRight w:val="0"/>
          <w:marTop w:val="0"/>
          <w:marBottom w:val="0"/>
          <w:divBdr>
            <w:top w:val="none" w:sz="0" w:space="0" w:color="auto"/>
            <w:left w:val="none" w:sz="0" w:space="0" w:color="auto"/>
            <w:bottom w:val="none" w:sz="0" w:space="0" w:color="auto"/>
            <w:right w:val="none" w:sz="0" w:space="0" w:color="auto"/>
          </w:divBdr>
        </w:div>
        <w:div w:id="942959691">
          <w:marLeft w:val="0"/>
          <w:marRight w:val="0"/>
          <w:marTop w:val="0"/>
          <w:marBottom w:val="0"/>
          <w:divBdr>
            <w:top w:val="none" w:sz="0" w:space="0" w:color="auto"/>
            <w:left w:val="none" w:sz="0" w:space="0" w:color="auto"/>
            <w:bottom w:val="none" w:sz="0" w:space="0" w:color="auto"/>
            <w:right w:val="none" w:sz="0" w:space="0" w:color="auto"/>
          </w:divBdr>
        </w:div>
        <w:div w:id="264001631">
          <w:marLeft w:val="0"/>
          <w:marRight w:val="0"/>
          <w:marTop w:val="0"/>
          <w:marBottom w:val="0"/>
          <w:divBdr>
            <w:top w:val="none" w:sz="0" w:space="0" w:color="auto"/>
            <w:left w:val="none" w:sz="0" w:space="0" w:color="auto"/>
            <w:bottom w:val="none" w:sz="0" w:space="0" w:color="auto"/>
            <w:right w:val="none" w:sz="0" w:space="0" w:color="auto"/>
          </w:divBdr>
        </w:div>
        <w:div w:id="1318650214">
          <w:marLeft w:val="0"/>
          <w:marRight w:val="0"/>
          <w:marTop w:val="0"/>
          <w:marBottom w:val="0"/>
          <w:divBdr>
            <w:top w:val="none" w:sz="0" w:space="0" w:color="auto"/>
            <w:left w:val="none" w:sz="0" w:space="0" w:color="auto"/>
            <w:bottom w:val="none" w:sz="0" w:space="0" w:color="auto"/>
            <w:right w:val="none" w:sz="0" w:space="0" w:color="auto"/>
          </w:divBdr>
        </w:div>
        <w:div w:id="1693677657">
          <w:marLeft w:val="0"/>
          <w:marRight w:val="0"/>
          <w:marTop w:val="0"/>
          <w:marBottom w:val="0"/>
          <w:divBdr>
            <w:top w:val="none" w:sz="0" w:space="0" w:color="auto"/>
            <w:left w:val="none" w:sz="0" w:space="0" w:color="auto"/>
            <w:bottom w:val="none" w:sz="0" w:space="0" w:color="auto"/>
            <w:right w:val="none" w:sz="0" w:space="0" w:color="auto"/>
          </w:divBdr>
        </w:div>
        <w:div w:id="207954514">
          <w:marLeft w:val="0"/>
          <w:marRight w:val="0"/>
          <w:marTop w:val="0"/>
          <w:marBottom w:val="0"/>
          <w:divBdr>
            <w:top w:val="none" w:sz="0" w:space="0" w:color="auto"/>
            <w:left w:val="none" w:sz="0" w:space="0" w:color="auto"/>
            <w:bottom w:val="none" w:sz="0" w:space="0" w:color="auto"/>
            <w:right w:val="none" w:sz="0" w:space="0" w:color="auto"/>
          </w:divBdr>
        </w:div>
        <w:div w:id="722752714">
          <w:marLeft w:val="0"/>
          <w:marRight w:val="0"/>
          <w:marTop w:val="0"/>
          <w:marBottom w:val="0"/>
          <w:divBdr>
            <w:top w:val="none" w:sz="0" w:space="0" w:color="auto"/>
            <w:left w:val="none" w:sz="0" w:space="0" w:color="auto"/>
            <w:bottom w:val="none" w:sz="0" w:space="0" w:color="auto"/>
            <w:right w:val="none" w:sz="0" w:space="0" w:color="auto"/>
          </w:divBdr>
        </w:div>
        <w:div w:id="1885827108">
          <w:marLeft w:val="0"/>
          <w:marRight w:val="0"/>
          <w:marTop w:val="0"/>
          <w:marBottom w:val="0"/>
          <w:divBdr>
            <w:top w:val="none" w:sz="0" w:space="0" w:color="auto"/>
            <w:left w:val="none" w:sz="0" w:space="0" w:color="auto"/>
            <w:bottom w:val="none" w:sz="0" w:space="0" w:color="auto"/>
            <w:right w:val="none" w:sz="0" w:space="0" w:color="auto"/>
          </w:divBdr>
        </w:div>
        <w:div w:id="1690327504">
          <w:marLeft w:val="0"/>
          <w:marRight w:val="0"/>
          <w:marTop w:val="0"/>
          <w:marBottom w:val="0"/>
          <w:divBdr>
            <w:top w:val="none" w:sz="0" w:space="0" w:color="auto"/>
            <w:left w:val="none" w:sz="0" w:space="0" w:color="auto"/>
            <w:bottom w:val="none" w:sz="0" w:space="0" w:color="auto"/>
            <w:right w:val="none" w:sz="0" w:space="0" w:color="auto"/>
          </w:divBdr>
        </w:div>
      </w:divsChild>
    </w:div>
    <w:div w:id="777021844">
      <w:bodyDiv w:val="1"/>
      <w:marLeft w:val="0"/>
      <w:marRight w:val="0"/>
      <w:marTop w:val="0"/>
      <w:marBottom w:val="0"/>
      <w:divBdr>
        <w:top w:val="none" w:sz="0" w:space="0" w:color="auto"/>
        <w:left w:val="none" w:sz="0" w:space="0" w:color="auto"/>
        <w:bottom w:val="none" w:sz="0" w:space="0" w:color="auto"/>
        <w:right w:val="none" w:sz="0" w:space="0" w:color="auto"/>
      </w:divBdr>
    </w:div>
    <w:div w:id="809598175">
      <w:bodyDiv w:val="1"/>
      <w:marLeft w:val="0"/>
      <w:marRight w:val="0"/>
      <w:marTop w:val="0"/>
      <w:marBottom w:val="0"/>
      <w:divBdr>
        <w:top w:val="none" w:sz="0" w:space="0" w:color="auto"/>
        <w:left w:val="none" w:sz="0" w:space="0" w:color="auto"/>
        <w:bottom w:val="none" w:sz="0" w:space="0" w:color="auto"/>
        <w:right w:val="none" w:sz="0" w:space="0" w:color="auto"/>
      </w:divBdr>
    </w:div>
    <w:div w:id="1090467774">
      <w:bodyDiv w:val="1"/>
      <w:marLeft w:val="0"/>
      <w:marRight w:val="0"/>
      <w:marTop w:val="0"/>
      <w:marBottom w:val="0"/>
      <w:divBdr>
        <w:top w:val="none" w:sz="0" w:space="0" w:color="auto"/>
        <w:left w:val="none" w:sz="0" w:space="0" w:color="auto"/>
        <w:bottom w:val="none" w:sz="0" w:space="0" w:color="auto"/>
        <w:right w:val="none" w:sz="0" w:space="0" w:color="auto"/>
      </w:divBdr>
      <w:divsChild>
        <w:div w:id="1021904861">
          <w:marLeft w:val="0"/>
          <w:marRight w:val="0"/>
          <w:marTop w:val="0"/>
          <w:marBottom w:val="0"/>
          <w:divBdr>
            <w:top w:val="none" w:sz="0" w:space="0" w:color="auto"/>
            <w:left w:val="none" w:sz="0" w:space="0" w:color="auto"/>
            <w:bottom w:val="none" w:sz="0" w:space="0" w:color="auto"/>
            <w:right w:val="none" w:sz="0" w:space="0" w:color="auto"/>
          </w:divBdr>
        </w:div>
        <w:div w:id="1028800451">
          <w:marLeft w:val="0"/>
          <w:marRight w:val="0"/>
          <w:marTop w:val="0"/>
          <w:marBottom w:val="0"/>
          <w:divBdr>
            <w:top w:val="none" w:sz="0" w:space="0" w:color="auto"/>
            <w:left w:val="none" w:sz="0" w:space="0" w:color="auto"/>
            <w:bottom w:val="none" w:sz="0" w:space="0" w:color="auto"/>
            <w:right w:val="none" w:sz="0" w:space="0" w:color="auto"/>
          </w:divBdr>
        </w:div>
        <w:div w:id="1797946707">
          <w:marLeft w:val="0"/>
          <w:marRight w:val="0"/>
          <w:marTop w:val="0"/>
          <w:marBottom w:val="0"/>
          <w:divBdr>
            <w:top w:val="none" w:sz="0" w:space="0" w:color="auto"/>
            <w:left w:val="none" w:sz="0" w:space="0" w:color="auto"/>
            <w:bottom w:val="none" w:sz="0" w:space="0" w:color="auto"/>
            <w:right w:val="none" w:sz="0" w:space="0" w:color="auto"/>
          </w:divBdr>
        </w:div>
        <w:div w:id="512770198">
          <w:marLeft w:val="0"/>
          <w:marRight w:val="0"/>
          <w:marTop w:val="0"/>
          <w:marBottom w:val="0"/>
          <w:divBdr>
            <w:top w:val="none" w:sz="0" w:space="0" w:color="auto"/>
            <w:left w:val="none" w:sz="0" w:space="0" w:color="auto"/>
            <w:bottom w:val="none" w:sz="0" w:space="0" w:color="auto"/>
            <w:right w:val="none" w:sz="0" w:space="0" w:color="auto"/>
          </w:divBdr>
        </w:div>
        <w:div w:id="535629907">
          <w:marLeft w:val="0"/>
          <w:marRight w:val="0"/>
          <w:marTop w:val="0"/>
          <w:marBottom w:val="0"/>
          <w:divBdr>
            <w:top w:val="none" w:sz="0" w:space="0" w:color="auto"/>
            <w:left w:val="none" w:sz="0" w:space="0" w:color="auto"/>
            <w:bottom w:val="none" w:sz="0" w:space="0" w:color="auto"/>
            <w:right w:val="none" w:sz="0" w:space="0" w:color="auto"/>
          </w:divBdr>
        </w:div>
        <w:div w:id="1759208226">
          <w:marLeft w:val="0"/>
          <w:marRight w:val="0"/>
          <w:marTop w:val="0"/>
          <w:marBottom w:val="0"/>
          <w:divBdr>
            <w:top w:val="none" w:sz="0" w:space="0" w:color="auto"/>
            <w:left w:val="none" w:sz="0" w:space="0" w:color="auto"/>
            <w:bottom w:val="none" w:sz="0" w:space="0" w:color="auto"/>
            <w:right w:val="none" w:sz="0" w:space="0" w:color="auto"/>
          </w:divBdr>
        </w:div>
      </w:divsChild>
    </w:div>
    <w:div w:id="1134062240">
      <w:bodyDiv w:val="1"/>
      <w:marLeft w:val="0"/>
      <w:marRight w:val="0"/>
      <w:marTop w:val="0"/>
      <w:marBottom w:val="0"/>
      <w:divBdr>
        <w:top w:val="none" w:sz="0" w:space="0" w:color="auto"/>
        <w:left w:val="none" w:sz="0" w:space="0" w:color="auto"/>
        <w:bottom w:val="none" w:sz="0" w:space="0" w:color="auto"/>
        <w:right w:val="none" w:sz="0" w:space="0" w:color="auto"/>
      </w:divBdr>
    </w:div>
    <w:div w:id="1224827685">
      <w:bodyDiv w:val="1"/>
      <w:marLeft w:val="0"/>
      <w:marRight w:val="0"/>
      <w:marTop w:val="0"/>
      <w:marBottom w:val="0"/>
      <w:divBdr>
        <w:top w:val="none" w:sz="0" w:space="0" w:color="auto"/>
        <w:left w:val="none" w:sz="0" w:space="0" w:color="auto"/>
        <w:bottom w:val="none" w:sz="0" w:space="0" w:color="auto"/>
        <w:right w:val="none" w:sz="0" w:space="0" w:color="auto"/>
      </w:divBdr>
    </w:div>
    <w:div w:id="1293176092">
      <w:bodyDiv w:val="1"/>
      <w:marLeft w:val="0"/>
      <w:marRight w:val="0"/>
      <w:marTop w:val="0"/>
      <w:marBottom w:val="0"/>
      <w:divBdr>
        <w:top w:val="none" w:sz="0" w:space="0" w:color="auto"/>
        <w:left w:val="none" w:sz="0" w:space="0" w:color="auto"/>
        <w:bottom w:val="none" w:sz="0" w:space="0" w:color="auto"/>
        <w:right w:val="none" w:sz="0" w:space="0" w:color="auto"/>
      </w:divBdr>
    </w:div>
    <w:div w:id="1401632738">
      <w:bodyDiv w:val="1"/>
      <w:marLeft w:val="0"/>
      <w:marRight w:val="0"/>
      <w:marTop w:val="0"/>
      <w:marBottom w:val="0"/>
      <w:divBdr>
        <w:top w:val="none" w:sz="0" w:space="0" w:color="auto"/>
        <w:left w:val="none" w:sz="0" w:space="0" w:color="auto"/>
        <w:bottom w:val="none" w:sz="0" w:space="0" w:color="auto"/>
        <w:right w:val="none" w:sz="0" w:space="0" w:color="auto"/>
      </w:divBdr>
    </w:div>
    <w:div w:id="1473866723">
      <w:bodyDiv w:val="1"/>
      <w:marLeft w:val="0"/>
      <w:marRight w:val="0"/>
      <w:marTop w:val="0"/>
      <w:marBottom w:val="0"/>
      <w:divBdr>
        <w:top w:val="none" w:sz="0" w:space="0" w:color="auto"/>
        <w:left w:val="none" w:sz="0" w:space="0" w:color="auto"/>
        <w:bottom w:val="none" w:sz="0" w:space="0" w:color="auto"/>
        <w:right w:val="none" w:sz="0" w:space="0" w:color="auto"/>
      </w:divBdr>
    </w:div>
    <w:div w:id="1527864414">
      <w:bodyDiv w:val="1"/>
      <w:marLeft w:val="0"/>
      <w:marRight w:val="0"/>
      <w:marTop w:val="0"/>
      <w:marBottom w:val="0"/>
      <w:divBdr>
        <w:top w:val="none" w:sz="0" w:space="0" w:color="auto"/>
        <w:left w:val="none" w:sz="0" w:space="0" w:color="auto"/>
        <w:bottom w:val="none" w:sz="0" w:space="0" w:color="auto"/>
        <w:right w:val="none" w:sz="0" w:space="0" w:color="auto"/>
      </w:divBdr>
    </w:div>
    <w:div w:id="1589726156">
      <w:bodyDiv w:val="1"/>
      <w:marLeft w:val="0"/>
      <w:marRight w:val="0"/>
      <w:marTop w:val="0"/>
      <w:marBottom w:val="0"/>
      <w:divBdr>
        <w:top w:val="none" w:sz="0" w:space="0" w:color="auto"/>
        <w:left w:val="none" w:sz="0" w:space="0" w:color="auto"/>
        <w:bottom w:val="none" w:sz="0" w:space="0" w:color="auto"/>
        <w:right w:val="none" w:sz="0" w:space="0" w:color="auto"/>
      </w:divBdr>
    </w:div>
    <w:div w:id="1594851119">
      <w:bodyDiv w:val="1"/>
      <w:marLeft w:val="0"/>
      <w:marRight w:val="0"/>
      <w:marTop w:val="0"/>
      <w:marBottom w:val="0"/>
      <w:divBdr>
        <w:top w:val="none" w:sz="0" w:space="0" w:color="auto"/>
        <w:left w:val="none" w:sz="0" w:space="0" w:color="auto"/>
        <w:bottom w:val="none" w:sz="0" w:space="0" w:color="auto"/>
        <w:right w:val="none" w:sz="0" w:space="0" w:color="auto"/>
      </w:divBdr>
    </w:div>
    <w:div w:id="1615166273">
      <w:bodyDiv w:val="1"/>
      <w:marLeft w:val="0"/>
      <w:marRight w:val="0"/>
      <w:marTop w:val="0"/>
      <w:marBottom w:val="0"/>
      <w:divBdr>
        <w:top w:val="none" w:sz="0" w:space="0" w:color="auto"/>
        <w:left w:val="none" w:sz="0" w:space="0" w:color="auto"/>
        <w:bottom w:val="none" w:sz="0" w:space="0" w:color="auto"/>
        <w:right w:val="none" w:sz="0" w:space="0" w:color="auto"/>
      </w:divBdr>
    </w:div>
    <w:div w:id="1624649102">
      <w:bodyDiv w:val="1"/>
      <w:marLeft w:val="0"/>
      <w:marRight w:val="0"/>
      <w:marTop w:val="0"/>
      <w:marBottom w:val="0"/>
      <w:divBdr>
        <w:top w:val="none" w:sz="0" w:space="0" w:color="auto"/>
        <w:left w:val="none" w:sz="0" w:space="0" w:color="auto"/>
        <w:bottom w:val="none" w:sz="0" w:space="0" w:color="auto"/>
        <w:right w:val="none" w:sz="0" w:space="0" w:color="auto"/>
      </w:divBdr>
    </w:div>
    <w:div w:id="1810442270">
      <w:bodyDiv w:val="1"/>
      <w:marLeft w:val="0"/>
      <w:marRight w:val="0"/>
      <w:marTop w:val="0"/>
      <w:marBottom w:val="0"/>
      <w:divBdr>
        <w:top w:val="none" w:sz="0" w:space="0" w:color="auto"/>
        <w:left w:val="none" w:sz="0" w:space="0" w:color="auto"/>
        <w:bottom w:val="none" w:sz="0" w:space="0" w:color="auto"/>
        <w:right w:val="none" w:sz="0" w:space="0" w:color="auto"/>
      </w:divBdr>
    </w:div>
    <w:div w:id="1852648042">
      <w:bodyDiv w:val="1"/>
      <w:marLeft w:val="0"/>
      <w:marRight w:val="0"/>
      <w:marTop w:val="0"/>
      <w:marBottom w:val="0"/>
      <w:divBdr>
        <w:top w:val="none" w:sz="0" w:space="0" w:color="auto"/>
        <w:left w:val="none" w:sz="0" w:space="0" w:color="auto"/>
        <w:bottom w:val="none" w:sz="0" w:space="0" w:color="auto"/>
        <w:right w:val="none" w:sz="0" w:space="0" w:color="auto"/>
      </w:divBdr>
    </w:div>
    <w:div w:id="1934589625">
      <w:bodyDiv w:val="1"/>
      <w:marLeft w:val="0"/>
      <w:marRight w:val="0"/>
      <w:marTop w:val="0"/>
      <w:marBottom w:val="0"/>
      <w:divBdr>
        <w:top w:val="none" w:sz="0" w:space="0" w:color="auto"/>
        <w:left w:val="none" w:sz="0" w:space="0" w:color="auto"/>
        <w:bottom w:val="none" w:sz="0" w:space="0" w:color="auto"/>
        <w:right w:val="none" w:sz="0" w:space="0" w:color="auto"/>
      </w:divBdr>
    </w:div>
    <w:div w:id="2004238774">
      <w:bodyDiv w:val="1"/>
      <w:marLeft w:val="0"/>
      <w:marRight w:val="0"/>
      <w:marTop w:val="0"/>
      <w:marBottom w:val="0"/>
      <w:divBdr>
        <w:top w:val="none" w:sz="0" w:space="0" w:color="auto"/>
        <w:left w:val="none" w:sz="0" w:space="0" w:color="auto"/>
        <w:bottom w:val="none" w:sz="0" w:space="0" w:color="auto"/>
        <w:right w:val="none" w:sz="0" w:space="0" w:color="auto"/>
      </w:divBdr>
    </w:div>
    <w:div w:id="2096239520">
      <w:bodyDiv w:val="1"/>
      <w:marLeft w:val="0"/>
      <w:marRight w:val="0"/>
      <w:marTop w:val="0"/>
      <w:marBottom w:val="0"/>
      <w:divBdr>
        <w:top w:val="none" w:sz="0" w:space="0" w:color="auto"/>
        <w:left w:val="none" w:sz="0" w:space="0" w:color="auto"/>
        <w:bottom w:val="none" w:sz="0" w:space="0" w:color="auto"/>
        <w:right w:val="none" w:sz="0" w:space="0" w:color="auto"/>
      </w:divBdr>
    </w:div>
    <w:div w:id="212965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C30C-F3A3-417D-B7E8-0FD11329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alden a. quinones</cp:lastModifiedBy>
  <cp:revision>11</cp:revision>
  <dcterms:created xsi:type="dcterms:W3CDTF">2025-04-14T09:06:00Z</dcterms:created>
  <dcterms:modified xsi:type="dcterms:W3CDTF">2025-04-15T09:00:00Z</dcterms:modified>
</cp:coreProperties>
</file>