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Relacionamentos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se relacionam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Entidades: Hospital, Ambulatório, Especialidade, Paciente, Médico.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Hospital: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identificador único,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 fantasia,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localização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ano de fundação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Ambulatório: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código único,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andar da localização dentro do hospital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Especialidade: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código;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descrição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Paciente: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código SUS,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 completo,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cpf,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salário,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endereço completo (CEP, número, complemento e referência) composto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telefones (multivalorado 1:n)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Médico: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nome,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CRM,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cpf,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endereço simples,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dois telefones de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