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Научное</w:t>
      </w:r>
      <w:r>
        <w:t xml:space="preserve"> </w:t>
      </w:r>
      <w:r>
        <w:t xml:space="preserve">программирование</w:t>
      </w:r>
    </w:p>
    <w:p>
      <w:pPr>
        <w:pStyle w:val="Author"/>
      </w:pPr>
      <w:r>
        <w:t xml:space="preserve">Дэнэилэ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Дмитриевич,</w:t>
      </w:r>
      <w:r>
        <w:t xml:space="preserve"> </w:t>
      </w:r>
      <w:r>
        <w:t xml:space="preserve">НПМмд-02-23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Ознакомиться с основами работы с системами линейных уравнений в GNU Octave.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Ознакомиться с реализацией метода Гаусса.</w:t>
      </w:r>
    </w:p>
    <w:p>
      <w:pPr>
        <w:numPr>
          <w:ilvl w:val="0"/>
          <w:numId w:val="1001"/>
        </w:numPr>
        <w:pStyle w:val="Compact"/>
      </w:pPr>
      <w:r>
        <w:t xml:space="preserve">Изучить метод левого деления.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LU-разложением и LUP-разложением.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Ознакомился с методами обращения как к отдельному элементу, так и к целой строке/столбцу матрицы. Реализовал матод Гаусса. Вывел получившуюся треугольную матрицу в коротком и длинном формате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5482395"/>
            <wp:effectExtent b="0" l="0" r="0" t="0"/>
            <wp:docPr descr="Figure 1: Метод Гаусс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2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Метод Гаусса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Реализуем метод левого деления, разбив расширенную матрицу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на квадратную матрицу</w:t>
      </w:r>
      <w:r>
        <w:t xml:space="preserve"> </w:t>
      </w:r>
      <w:r>
        <w:rPr>
          <w:i/>
        </w:rPr>
        <w:t xml:space="preserve">A</w:t>
      </w:r>
      <w:r>
        <w:t xml:space="preserve"> </w:t>
      </w:r>
      <w:r>
        <w:t xml:space="preserve">и вектор-столбец</w:t>
      </w:r>
      <w:r>
        <w:t xml:space="preserve"> </w:t>
      </w:r>
      <w:r>
        <w:rPr>
          <w:i/>
        </w:rPr>
        <w:t xml:space="preserve">b</w:t>
      </w:r>
      <w:r>
        <w:t xml:space="preserve"> </w:t>
      </w:r>
      <w:r>
        <w:t xml:space="preserve">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3492500" cy="4165600"/>
            <wp:effectExtent b="0" l="0" r="0" t="0"/>
            <wp:docPr descr="Figure 2: Левое делени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Левое деление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Реализуем LU-разложение матрицы</w:t>
      </w:r>
      <w:r>
        <w:t xml:space="preserve"> </w:t>
      </w:r>
      <w:r>
        <w:rPr>
          <w:i/>
        </w:rPr>
        <w:t xml:space="preserve">С</w:t>
      </w:r>
      <w:r>
        <w:t xml:space="preserve"> </w:t>
      </w:r>
      <w:r>
        <w:t xml:space="preserve">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3771900" cy="4203700"/>
            <wp:effectExtent b="0" l="0" r="0" t="0"/>
            <wp:docPr descr="Figure 3: LU-разложение матриц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420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LU-разложение матрицы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Реализуем LUP-разложение матрицы</w:t>
      </w:r>
      <w:r>
        <w:t xml:space="preserve"> </w:t>
      </w:r>
      <w:r>
        <w:rPr>
          <w:i/>
        </w:rPr>
        <w:t xml:space="preserve">С</w:t>
      </w:r>
      <w:r>
        <w:t xml:space="preserve"> </w:t>
      </w:r>
      <w:r>
        <w:t xml:space="preserve">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3403600" cy="4279900"/>
            <wp:effectExtent b="0" l="0" r="0" t="0"/>
            <wp:docPr descr="Figure 4: LUP-разложение матриц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4279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LUP-разложение матрицы</w:t>
      </w:r>
    </w:p>
    <w:bookmarkEnd w:id="0"/>
    <w:p>
      <w:pPr>
        <w:pStyle w:val="Heading1"/>
      </w:pPr>
      <w:bookmarkStart w:id="31" w:name="выводы"/>
      <w:r>
        <w:t xml:space="preserve">Выводы</w:t>
      </w:r>
      <w:bookmarkEnd w:id="31"/>
    </w:p>
    <w:p>
      <w:pPr>
        <w:pStyle w:val="FirstParagraph"/>
      </w:pPr>
      <w:r>
        <w:t xml:space="preserve">Научился работе с системами линейных алгебраических уравнений в Octave.</w:t>
      </w:r>
    </w:p>
    <w:p>
      <w:pPr>
        <w:pStyle w:val="Heading1"/>
      </w:pPr>
      <w:bookmarkStart w:id="32" w:name="список-литературы"/>
      <w:r>
        <w:t xml:space="preserve">Список литературы</w:t>
      </w:r>
      <w:bookmarkEnd w:id="32"/>
    </w:p>
    <w:bookmarkStart w:id="33" w:name="refs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Дэнэилэ Александр Дмитриевич, НПМмд-02-23</dc:creator>
  <dc:language>ru-RU</dc:language>
  <cp:keywords/>
  <dcterms:created xsi:type="dcterms:W3CDTF">2023-10-28T13:48:13Z</dcterms:created>
  <dcterms:modified xsi:type="dcterms:W3CDTF">2023-10-28T13:48:13Z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Научное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