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FE6248" w14:textId="24A774E0" w:rsidR="000D7269" w:rsidRPr="00E73CDB" w:rsidRDefault="001B4134" w:rsidP="00CD2943">
      <w:pPr>
        <w:pStyle w:val="GeniusHeadingstyle1"/>
        <w:spacing w:line="240" w:lineRule="auto"/>
        <w:jc w:val="center"/>
        <w:rPr>
          <w:rFonts w:ascii="Aptos" w:hAnsi="Aptos"/>
          <w:b/>
          <w:bCs/>
          <w:color w:val="009999"/>
          <w:kern w:val="0"/>
          <w:sz w:val="18"/>
          <w:szCs w:val="18"/>
        </w:rPr>
      </w:pPr>
      <w:bookmarkStart w:id="0" w:name="a235782"/>
      <w:r>
        <w:rPr>
          <w:rFonts w:ascii="Aptos" w:hAnsi="Aptos"/>
          <w:b/>
          <w:bCs/>
          <w:color w:val="009999"/>
          <w:kern w:val="0"/>
          <w:sz w:val="18"/>
          <w:szCs w:val="18"/>
        </w:rPr>
        <w:t>DATA PROCESSING AGREEMENT</w:t>
      </w:r>
    </w:p>
    <w:p w14:paraId="33E6044C" w14:textId="077FE370" w:rsidR="00E73CDB" w:rsidRPr="00E73CDB" w:rsidRDefault="00BB3E5C" w:rsidP="00E73CDB">
      <w:pPr>
        <w:pStyle w:val="Heading"/>
      </w:pPr>
      <w:r>
        <w:t xml:space="preserve">Version 1.0 – effective 20 July 2026</w:t>
      </w:r>
    </w:p>
    <w:p w14:paraId="1A3FA4CA" w14:textId="77777777" w:rsidR="00E73CDB" w:rsidRPr="00E73CDB" w:rsidRDefault="00E73CDB" w:rsidP="00E73CDB">
      <w:pPr>
        <w:pStyle w:val="1stclause"/>
      </w:pPr>
      <w:r>
        <w:t>PARTIES</w:t>
      </w:r>
    </w:p>
    <w:p w14:paraId="16A1904F" w14:textId="55CBC53F" w:rsidR="00E73CDB" w:rsidRPr="00E73CDB" w:rsidRDefault="00E73CDB" w:rsidP="00E73CDB">
      <w:pPr>
        <w:pStyle w:val="2ndclause"/>
      </w:pPr>
      <w:r>
        <w:t xml:space="preserve">The customer identified in the Order Form (“</w:t>
      </w:r>
      <w:r>
        <w:rPr>
          <w:b/>
          <w:bCs/>
        </w:rPr>
        <w:t>Customer</w:t>
      </w:r>
      <w:r>
        <w:t>”)</w:t>
      </w:r>
    </w:p>
    <w:p w14:paraId="4F29DFA5" w14:textId="470FEEDB" w:rsidR="00E73CDB" w:rsidRPr="00E73CDB" w:rsidRDefault="00E73CDB" w:rsidP="00E73CDB">
      <w:pPr>
        <w:pStyle w:val="Untitledsubclause1"/>
        <w:rPr>
          <w:rFonts w:ascii="Aptos" w:hAnsi="Aptos"/>
          <w:sz w:val="18"/>
          <w:szCs w:val="18"/>
        </w:rPr>
      </w:pPr>
      <w:r>
        <w:rPr>
          <w:rFonts w:ascii="Aptos" w:hAnsi="Aptos"/>
          <w:b/>
          <w:bCs/>
          <w:sz w:val="18"/>
          <w:szCs w:val="18"/>
        </w:rPr>
        <w:t>SATORUS GROUP LIMITED</w:t>
      </w:r>
      <w:r>
        <w:rPr>
          <w:rFonts w:ascii="Aptos" w:hAnsi="Aptos"/>
          <w:sz w:val="18"/>
          <w:szCs w:val="18"/>
        </w:rPr>
        <w:t xml:space="preserve"> incorporated and registered in England and Wales with company number 16479677 whose registered office is at 59 Whitelands Crescent, London, England, SW18 5QY (“</w:t>
      </w:r>
      <w:r>
        <w:rPr>
          <w:rFonts w:ascii="Aptos" w:hAnsi="Aptos"/>
          <w:b/>
          <w:bCs/>
          <w:sz w:val="18"/>
          <w:szCs w:val="18"/>
        </w:rPr>
        <w:t>Satorus</w:t>
      </w:r>
      <w:r>
        <w:rPr>
          <w:rFonts w:ascii="Aptos" w:hAnsi="Aptos"/>
          <w:sz w:val="18"/>
          <w:szCs w:val="18"/>
        </w:rPr>
        <w:t>”)</w:t>
      </w:r>
    </w:p>
    <w:p w14:paraId="14759895" w14:textId="77777777" w:rsidR="00E73CDB" w:rsidRPr="00E73CDB" w:rsidRDefault="00E73CDB" w:rsidP="00E73CDB">
      <w:pPr>
        <w:pStyle w:val="TitleClause"/>
        <w:spacing w:line="240" w:lineRule="auto"/>
        <w:rPr>
          <w:rFonts w:ascii="Aptos" w:hAnsi="Aptos"/>
          <w:color w:val="009999"/>
          <w:sz w:val="18"/>
          <w:szCs w:val="18"/>
        </w:rPr>
      </w:pPr>
      <w:r>
        <w:rPr>
          <w:rFonts w:ascii="Aptos" w:hAnsi="Aptos"/>
          <w:color w:val="009999"/>
          <w:sz w:val="18"/>
          <w:szCs w:val="18"/>
        </w:rPr>
        <w:t>BACKGROUND</w:t>
      </w:r>
    </w:p>
    <w:p w14:paraId="744B8547" w14:textId="78401253" w:rsidR="00E73CDB" w:rsidRPr="00E73CDB" w:rsidRDefault="00E73CDB" w:rsidP="00E73CDB">
      <w:pPr>
        <w:pStyle w:val="Untitledsubclause1"/>
        <w:rPr>
          <w:rFonts w:ascii="Aptos" w:hAnsi="Aptos"/>
          <w:sz w:val="18"/>
          <w:szCs w:val="18"/>
        </w:rPr>
      </w:pPr>
      <w:r>
        <w:rPr>
          <w:rFonts w:ascii="Aptos" w:hAnsi="Aptos"/>
          <w:sz w:val="18"/>
          <w:szCs w:val="18"/>
        </w:rPr>
        <w:t xml:space="preserve">The Customer and Satorus have entered into an Agreement, formed by the Customer’s and Satorus’ execution of an order form (the “Order Form”) which incorporates by reference the Satorus Master Services Agreement (“</w:t>
      </w:r>
      <w:r>
        <w:rPr>
          <w:rFonts w:ascii="Aptos" w:hAnsi="Aptos"/>
          <w:b/>
          <w:bCs/>
          <w:sz w:val="18"/>
          <w:szCs w:val="18"/>
        </w:rPr>
        <w:t xml:space="preserve">Master Services Agreement</w:t>
      </w:r>
      <w:r>
        <w:rPr>
          <w:rFonts w:ascii="Aptos" w:hAnsi="Aptos"/>
          <w:sz w:val="18"/>
          <w:szCs w:val="18"/>
        </w:rPr>
        <w:t xml:space="preserve">”) and this DPA, and which may require Satorus to process Personal Data on behalf of the Customer. This DPA is agreed by the Customer, and is deemed executed by both parties, upon signature of the Order Form; no separate signature of this DPA is required. This DPA takes effect on the Effective Date set out in the Order Form, and the version of this DPA in force on the Effective Date applies for the Term unless varied in accordance with the Agreement.</w:t>
      </w:r>
    </w:p>
    <w:p w14:paraId="1044F273" w14:textId="4D150FC0" w:rsidR="00E73CDB" w:rsidRPr="00E73CDB" w:rsidRDefault="00E73CDB" w:rsidP="00E73CDB">
      <w:pPr>
        <w:pStyle w:val="Untitledsubclause1"/>
        <w:rPr>
          <w:rFonts w:ascii="Aptos" w:hAnsi="Aptos"/>
          <w:sz w:val="18"/>
          <w:szCs w:val="18"/>
        </w:rPr>
      </w:pPr>
      <w:r>
        <w:rPr>
          <w:rFonts w:ascii="Aptos" w:hAnsi="Aptos"/>
          <w:sz w:val="18"/>
          <w:szCs w:val="18"/>
        </w:rPr>
        <w:t>This Data Processing Agreement (“</w:t>
      </w:r>
      <w:r>
        <w:rPr>
          <w:rFonts w:ascii="Aptos" w:hAnsi="Aptos"/>
          <w:b/>
          <w:bCs/>
          <w:sz w:val="18"/>
          <w:szCs w:val="18"/>
        </w:rPr>
        <w:t>DPA</w:t>
      </w:r>
      <w:r>
        <w:rPr>
          <w:rFonts w:ascii="Aptos" w:hAnsi="Aptos"/>
          <w:sz w:val="18"/>
          <w:szCs w:val="18"/>
        </w:rPr>
        <w:t xml:space="preserve">”) sets out the additional terms, requirements and conditions on which the parties will process and share Personal Data during the Services under the Master Services Agreement. This DPA contains the mandatory clauses required by Article 28(3) of the UK General Data Protection Regulation and the General Data Protection Regulation ((EU) 2016/679) for contracts between controllers and processors.</w:t>
      </w:r>
    </w:p>
    <w:p w14:paraId="3BF4AB97" w14:textId="4015F0C8" w:rsidR="00E73CDB" w:rsidRPr="00E73CDB" w:rsidRDefault="00E73CDB" w:rsidP="00E73CDB">
      <w:pPr>
        <w:pStyle w:val="TitleClause"/>
        <w:numPr>
          <w:ilvl w:val="0"/>
          <w:numId w:val="0"/>
        </w:numPr>
        <w:spacing w:line="240" w:lineRule="auto"/>
        <w:ind w:left="720"/>
        <w:rPr>
          <w:rFonts w:ascii="Aptos" w:hAnsi="Aptos"/>
          <w:color w:val="009999"/>
          <w:sz w:val="18"/>
          <w:szCs w:val="18"/>
        </w:rPr>
      </w:pPr>
      <w:r>
        <w:rPr>
          <w:rFonts w:ascii="Aptos" w:hAnsi="Aptos"/>
          <w:color w:val="009999"/>
          <w:sz w:val="18"/>
          <w:szCs w:val="18"/>
        </w:rPr>
        <w:t>AGREED TERMS</w:t>
      </w:r>
    </w:p>
    <w:p w14:paraId="2F11A6D8" w14:textId="50CF4E1E" w:rsidR="009B79EC" w:rsidRPr="00E73CDB" w:rsidRDefault="009B79EC" w:rsidP="00F914B9">
      <w:pPr>
        <w:pStyle w:val="TitleClause"/>
        <w:numPr>
          <w:ilvl w:val="0"/>
          <w:numId w:val="22"/>
        </w:numPr>
        <w:spacing w:line="240" w:lineRule="auto"/>
        <w:rPr>
          <w:rFonts w:ascii="Aptos" w:hAnsi="Aptos"/>
          <w:color w:val="009999"/>
          <w:sz w:val="18"/>
          <w:szCs w:val="18"/>
        </w:rPr>
      </w:pPr>
      <w:r>
        <w:rPr>
          <w:rFonts w:ascii="Aptos" w:hAnsi="Aptos"/>
          <w:color w:val="009999"/>
          <w:sz w:val="18"/>
          <w:szCs w:val="18"/>
        </w:rPr>
        <w:t>DEFINITIONS</w:t>
      </w:r>
      <w:bookmarkEnd w:id="0"/>
    </w:p>
    <w:p w14:paraId="2B26DB4E" w14:textId="27CB1493" w:rsidR="00F17DE0" w:rsidRPr="00E73CDB" w:rsidRDefault="00F17DE0" w:rsidP="00AE68A9">
      <w:pPr>
        <w:pStyle w:val="NoNumTitle-Clause"/>
        <w:spacing w:line="240" w:lineRule="auto"/>
        <w:rPr>
          <w:rFonts w:ascii="Aptos" w:hAnsi="Aptos"/>
          <w:b w:val="0"/>
          <w:bCs/>
          <w:sz w:val="18"/>
          <w:szCs w:val="18"/>
          <w:lang w:val="en-US"/>
        </w:rPr>
      </w:pPr>
      <w:r>
        <w:rPr>
          <w:rFonts w:ascii="Aptos" w:hAnsi="Aptos"/>
          <w:b w:val="0"/>
          <w:bCs/>
          <w:sz w:val="18"/>
          <w:szCs w:val="18"/>
        </w:rPr>
        <w:t xml:space="preserve">For the purposes of this DPA, the following definitions shall apply: </w:t>
      </w:r>
    </w:p>
    <w:p w14:paraId="533A846F" w14:textId="77777777" w:rsidR="009B79EC" w:rsidRPr="00E73CDB" w:rsidRDefault="009B79EC" w:rsidP="00AE68A9">
      <w:pPr>
        <w:pStyle w:val="DefinedTermPara"/>
        <w:spacing w:line="240" w:lineRule="auto"/>
        <w:rPr>
          <w:rFonts w:ascii="Aptos" w:hAnsi="Aptos"/>
          <w:sz w:val="18"/>
          <w:szCs w:val="18"/>
        </w:rPr>
      </w:pPr>
      <w:bookmarkStart w:id="1" w:name="a304964"/>
      <w:r>
        <w:rPr>
          <w:rStyle w:val="DefTerm"/>
          <w:rFonts w:ascii="Aptos" w:hAnsi="Aptos"/>
          <w:sz w:val="18"/>
          <w:szCs w:val="18"/>
        </w:rPr>
        <w:t>Applicable Laws</w:t>
      </w:r>
      <w:r>
        <w:rPr>
          <w:rFonts w:ascii="Aptos" w:hAnsi="Aptos"/>
          <w:sz w:val="18"/>
          <w:szCs w:val="18"/>
        </w:rPr>
        <w:t>: means:</w:t>
      </w:r>
      <w:bookmarkEnd w:id="1"/>
    </w:p>
    <w:p w14:paraId="06F7799C" w14:textId="77777777" w:rsidR="009B79EC" w:rsidRPr="00E73CDB" w:rsidRDefault="009B79EC" w:rsidP="00CD2943">
      <w:pPr>
        <w:pStyle w:val="DefinedTermNumber"/>
        <w:tabs>
          <w:tab w:val="clear" w:pos="1554"/>
          <w:tab w:val="num" w:pos="993"/>
        </w:tabs>
        <w:spacing w:line="240" w:lineRule="auto"/>
        <w:ind w:left="993" w:hanging="284"/>
        <w:rPr>
          <w:rFonts w:ascii="Aptos" w:hAnsi="Aptos"/>
          <w:sz w:val="18"/>
          <w:szCs w:val="18"/>
        </w:rPr>
      </w:pPr>
      <w:r>
        <w:rPr>
          <w:rFonts w:ascii="Aptos" w:hAnsi="Aptos"/>
          <w:sz w:val="18"/>
          <w:szCs w:val="18"/>
        </w:rPr>
        <w:t>To the extent the UK GDPR applies, the law of the United Kingdom or of a part of the United Kingdom.</w:t>
      </w:r>
    </w:p>
    <w:p w14:paraId="5F00FCA2" w14:textId="6994FE4B" w:rsidR="009B79EC" w:rsidRPr="00E73CDB" w:rsidRDefault="009B79EC" w:rsidP="00CD2943">
      <w:pPr>
        <w:pStyle w:val="DefinedTermNumber"/>
        <w:tabs>
          <w:tab w:val="clear" w:pos="1554"/>
          <w:tab w:val="num" w:pos="993"/>
        </w:tabs>
        <w:spacing w:line="240" w:lineRule="auto"/>
        <w:ind w:left="993" w:hanging="284"/>
        <w:rPr>
          <w:rFonts w:ascii="Aptos" w:hAnsi="Aptos"/>
          <w:sz w:val="18"/>
          <w:szCs w:val="18"/>
        </w:rPr>
      </w:pPr>
      <w:r>
        <w:rPr>
          <w:rFonts w:ascii="Aptos" w:hAnsi="Aptos"/>
          <w:sz w:val="18"/>
          <w:szCs w:val="18"/>
        </w:rPr>
        <w:t xml:space="preserve">To the extent the EU GDPR applies, the law of the European Union or any member state of the European Union to which Satorus is subject.</w:t>
      </w:r>
    </w:p>
    <w:p w14:paraId="43E8BE13" w14:textId="77777777" w:rsidR="009B79EC" w:rsidRPr="00E73CDB" w:rsidRDefault="009B79EC" w:rsidP="00AE68A9">
      <w:pPr>
        <w:pStyle w:val="DefinedTermPara"/>
        <w:spacing w:line="240" w:lineRule="auto"/>
        <w:rPr>
          <w:rFonts w:ascii="Aptos" w:hAnsi="Aptos"/>
          <w:sz w:val="18"/>
          <w:szCs w:val="18"/>
        </w:rPr>
      </w:pPr>
      <w:bookmarkStart w:id="2" w:name="a952964"/>
      <w:r>
        <w:rPr>
          <w:rStyle w:val="DefTerm"/>
          <w:rFonts w:ascii="Aptos" w:hAnsi="Aptos"/>
          <w:sz w:val="18"/>
          <w:szCs w:val="18"/>
        </w:rPr>
        <w:t>Applicable Data Protection Laws</w:t>
      </w:r>
      <w:r>
        <w:rPr>
          <w:rFonts w:ascii="Aptos" w:hAnsi="Aptos"/>
          <w:sz w:val="18"/>
          <w:szCs w:val="18"/>
        </w:rPr>
        <w:t>: means:</w:t>
      </w:r>
      <w:bookmarkEnd w:id="2"/>
    </w:p>
    <w:p w14:paraId="52D0B5F8" w14:textId="1EEE6F2D" w:rsidR="009B79EC" w:rsidRPr="00E73CDB" w:rsidRDefault="009B79EC" w:rsidP="00CD2943">
      <w:pPr>
        <w:pStyle w:val="DefinedTermNumber"/>
        <w:tabs>
          <w:tab w:val="clear" w:pos="1554"/>
          <w:tab w:val="num" w:pos="993"/>
        </w:tabs>
        <w:spacing w:line="240" w:lineRule="auto"/>
        <w:ind w:left="993" w:hanging="284"/>
        <w:rPr>
          <w:rFonts w:ascii="Aptos" w:hAnsi="Aptos"/>
          <w:sz w:val="18"/>
          <w:szCs w:val="18"/>
        </w:rPr>
      </w:pPr>
      <w:r>
        <w:rPr>
          <w:rFonts w:ascii="Aptos" w:hAnsi="Aptos"/>
          <w:sz w:val="18"/>
          <w:szCs w:val="18"/>
        </w:rPr>
        <w:t xml:space="preserve">To the extent the UK GDPR applies, the law of the United Kingdom or of a part of the United Kingdom which relates to the protection of Personal Data. </w:t>
      </w:r>
    </w:p>
    <w:p w14:paraId="2BE1C77B" w14:textId="5AB82952" w:rsidR="009B79EC" w:rsidRPr="00E73CDB" w:rsidRDefault="009B79EC" w:rsidP="00CD2943">
      <w:pPr>
        <w:pStyle w:val="DefinedTermNumber"/>
        <w:tabs>
          <w:tab w:val="clear" w:pos="1554"/>
          <w:tab w:val="num" w:pos="993"/>
        </w:tabs>
        <w:spacing w:line="240" w:lineRule="auto"/>
        <w:ind w:left="993" w:hanging="284"/>
        <w:rPr>
          <w:rFonts w:ascii="Aptos" w:hAnsi="Aptos"/>
          <w:sz w:val="18"/>
          <w:szCs w:val="18"/>
        </w:rPr>
      </w:pPr>
      <w:r>
        <w:rPr>
          <w:rFonts w:ascii="Aptos" w:hAnsi="Aptos"/>
          <w:sz w:val="18"/>
          <w:szCs w:val="18"/>
        </w:rPr>
        <w:t xml:space="preserve">To the extent the EU GDPR applies, the law of the European Union or any member state of the European Union to which Satorus is subject, which relates to the protection of Personal Data.</w:t>
      </w:r>
    </w:p>
    <w:p w14:paraId="41D9E64E" w14:textId="77777777" w:rsidR="00346F88" w:rsidRPr="00346F88" w:rsidRDefault="00346F88" w:rsidP="00346F88">
      <w:pPr>
        <w:pStyle w:val="DefinedTermPara"/>
        <w:rPr>
          <w:rStyle w:val="DefTerm"/>
          <w:rFonts w:ascii="Aptos" w:hAnsi="Aptos"/>
          <w:b w:val="0"/>
          <w:sz w:val="18"/>
          <w:szCs w:val="18"/>
        </w:rPr>
      </w:pPr>
      <w:bookmarkStart w:id="3" w:name="a441496"/>
      <w:r>
        <w:rPr>
          <w:rStyle w:val="DefTerm"/>
          <w:rFonts w:ascii="Aptos" w:hAnsi="Aptos"/>
          <w:bCs/>
          <w:sz w:val="18"/>
          <w:szCs w:val="18"/>
        </w:rPr>
        <w:t>Business Day</w:t>
      </w:r>
      <w:r>
        <w:rPr>
          <w:rStyle w:val="DefTerm"/>
          <w:rFonts w:ascii="Aptos" w:hAnsi="Aptos"/>
          <w:b w:val="0"/>
          <w:sz w:val="18"/>
          <w:szCs w:val="18"/>
        </w:rPr>
        <w:t>:  a day, other than a Saturday, Sunday or public holiday in England, when banks in London are open for business.</w:t>
      </w:r>
    </w:p>
    <w:p w14:paraId="009E89AC" w14:textId="0A2EE00C" w:rsidR="00346F88" w:rsidRPr="00346F88" w:rsidRDefault="00346F88" w:rsidP="00346F88">
      <w:pPr>
        <w:pStyle w:val="DefinedTermPara"/>
        <w:rPr>
          <w:rStyle w:val="DefTerm"/>
          <w:rFonts w:ascii="Aptos" w:hAnsi="Aptos"/>
          <w:b w:val="0"/>
          <w:sz w:val="18"/>
          <w:szCs w:val="18"/>
        </w:rPr>
      </w:pPr>
      <w:r>
        <w:rPr>
          <w:rStyle w:val="DefTerm"/>
          <w:rFonts w:ascii="Aptos" w:hAnsi="Aptos"/>
          <w:bCs/>
          <w:sz w:val="18"/>
          <w:szCs w:val="18"/>
        </w:rPr>
        <w:t>Business Hours</w:t>
      </w:r>
      <w:r>
        <w:rPr>
          <w:rStyle w:val="DefTerm"/>
          <w:rFonts w:ascii="Aptos" w:hAnsi="Aptos"/>
          <w:b w:val="0"/>
          <w:sz w:val="18"/>
          <w:szCs w:val="18"/>
        </w:rPr>
        <w:t xml:space="preserve">:  the period from 9.00 am to 5.00 pm on a Business Day.</w:t>
      </w:r>
    </w:p>
    <w:p w14:paraId="09243921" w14:textId="530EFA46" w:rsidR="001B4134" w:rsidRPr="00E73CDB" w:rsidRDefault="001B4134" w:rsidP="00AE68A9">
      <w:pPr>
        <w:pStyle w:val="DefinedTermPara"/>
        <w:spacing w:line="240" w:lineRule="auto"/>
        <w:rPr>
          <w:rStyle w:val="DefTerm"/>
          <w:rFonts w:ascii="Aptos" w:hAnsi="Aptos"/>
          <w:b w:val="0"/>
          <w:sz w:val="18"/>
          <w:szCs w:val="18"/>
        </w:rPr>
      </w:pPr>
      <w:r>
        <w:rPr>
          <w:rStyle w:val="DefTerm"/>
          <w:rFonts w:ascii="Aptos" w:hAnsi="Aptos"/>
          <w:bCs/>
          <w:sz w:val="18"/>
          <w:szCs w:val="18"/>
        </w:rPr>
        <w:t>Services</w:t>
      </w:r>
      <w:r>
        <w:rPr>
          <w:rStyle w:val="DefTerm"/>
          <w:rFonts w:ascii="Aptos" w:hAnsi="Aptos"/>
          <w:b w:val="0"/>
          <w:sz w:val="18"/>
          <w:szCs w:val="18"/>
        </w:rPr>
        <w:t xml:space="preserve">: means the services provided by Satorus via the Sidney platform (“</w:t>
      </w:r>
      <w:r>
        <w:rPr>
          <w:rStyle w:val="DefTerm"/>
          <w:rFonts w:ascii="Aptos" w:hAnsi="Aptos"/>
          <w:bCs/>
          <w:sz w:val="18"/>
          <w:szCs w:val="18"/>
        </w:rPr>
        <w:t>Platform</w:t>
      </w:r>
      <w:r>
        <w:rPr>
          <w:rStyle w:val="DefTerm"/>
          <w:rFonts w:ascii="Aptos" w:hAnsi="Aptos"/>
          <w:b w:val="0"/>
          <w:sz w:val="18"/>
          <w:szCs w:val="18"/>
        </w:rPr>
        <w:t>”) under the Master Services Agreement.</w:t>
      </w:r>
    </w:p>
    <w:p w14:paraId="0FAE921A" w14:textId="0384B08F" w:rsidR="009B79EC" w:rsidRPr="00E73CDB" w:rsidRDefault="00A63699" w:rsidP="00AE68A9">
      <w:pPr>
        <w:pStyle w:val="DefinedTermPara"/>
        <w:spacing w:line="240" w:lineRule="auto"/>
        <w:rPr>
          <w:rFonts w:ascii="Aptos" w:hAnsi="Aptos"/>
          <w:sz w:val="18"/>
          <w:szCs w:val="18"/>
        </w:rPr>
      </w:pPr>
      <w:r>
        <w:rPr>
          <w:rStyle w:val="DefTerm"/>
          <w:rFonts w:ascii="Aptos" w:hAnsi="Aptos"/>
          <w:sz w:val="18"/>
          <w:szCs w:val="18"/>
        </w:rPr>
        <w:t xml:space="preserve">Shared Personal Data</w:t>
      </w:r>
      <w:r>
        <w:rPr>
          <w:rFonts w:ascii="Aptos" w:hAnsi="Aptos"/>
          <w:sz w:val="18"/>
          <w:szCs w:val="18"/>
        </w:rPr>
        <w:t xml:space="preserve">: any Personal Data which the Customer transfers to Satorus; any Personal Data which Satorus Processes in connection with the Master Services Agreement; and as set out in </w:t>
        <w:fldChar w:fldCharType="begin"/>
        <w:instrText xml:space="preserve"> REF _Ref185411052 \r \h </w:instrText>
        <w:instrText xml:space="preserve"> \* MERGEFORMAT </w:instrText>
        <w:fldChar w:fldCharType="separate"/>
        <w:t>ANNEX A</w:t>
        <w:fldChar w:fldCharType="end"/>
        <w:t>.</w:t>
      </w:r>
      <w:bookmarkEnd w:id="3"/>
    </w:p>
    <w:p w14:paraId="2D6BF0A1" w14:textId="17FD8398" w:rsidR="00F717B5" w:rsidRPr="00E73CDB" w:rsidRDefault="00F717B5" w:rsidP="00AE68A9">
      <w:pPr>
        <w:pStyle w:val="DefinedTermPara"/>
        <w:spacing w:line="240" w:lineRule="auto"/>
        <w:rPr>
          <w:rFonts w:ascii="Aptos" w:hAnsi="Aptos"/>
          <w:sz w:val="18"/>
          <w:szCs w:val="18"/>
        </w:rPr>
      </w:pPr>
      <w:r>
        <w:rPr>
          <w:rStyle w:val="DefTerm"/>
          <w:rFonts w:ascii="Aptos" w:hAnsi="Aptos"/>
          <w:sz w:val="18"/>
          <w:szCs w:val="18"/>
        </w:rPr>
        <w:t xml:space="preserve">Term: </w:t>
      </w:r>
      <w:r>
        <w:rPr>
          <w:rFonts w:ascii="Aptos" w:hAnsi="Aptos"/>
          <w:bCs/>
          <w:sz w:val="18"/>
          <w:szCs w:val="18"/>
        </w:rPr>
        <w:t xml:space="preserve">this DPA's term as defined in Clause </w:t>
        <w:fldChar w:fldCharType="begin"/>
        <w:instrText xml:space="preserve"> REF _Ref232709792 \r \h </w:instrText>
        <w:fldChar w:fldCharType="separate"/>
        <w:t>10</w:t>
        <w:fldChar w:fldCharType="end"/>
        <w:t xml:space="preserve">. </w:t>
      </w:r>
    </w:p>
    <w:p w14:paraId="3727AFCF" w14:textId="77777777" w:rsidR="009B79EC" w:rsidRPr="00E73CDB" w:rsidRDefault="009B79EC" w:rsidP="00AE68A9">
      <w:pPr>
        <w:pStyle w:val="DefinedTermPara"/>
        <w:spacing w:line="240" w:lineRule="auto"/>
        <w:rPr>
          <w:rFonts w:ascii="Aptos" w:hAnsi="Aptos"/>
          <w:sz w:val="18"/>
          <w:szCs w:val="18"/>
        </w:rPr>
      </w:pPr>
      <w:bookmarkStart w:id="4" w:name="a600724"/>
      <w:r>
        <w:rPr>
          <w:rStyle w:val="DefTerm"/>
          <w:rFonts w:ascii="Aptos" w:hAnsi="Aptos"/>
          <w:sz w:val="18"/>
          <w:szCs w:val="18"/>
        </w:rPr>
        <w:t>EU GDPR</w:t>
      </w:r>
      <w:r>
        <w:rPr>
          <w:rFonts w:ascii="Aptos" w:hAnsi="Aptos"/>
          <w:sz w:val="18"/>
          <w:szCs w:val="18"/>
        </w:rPr>
        <w:t>: the General Data Protection Regulation (</w:t>
      </w:r>
      <w:r>
        <w:rPr>
          <w:rFonts w:ascii="Aptos" w:hAnsi="Aptos"/>
          <w:i/>
          <w:iCs/>
          <w:sz w:val="18"/>
          <w:szCs w:val="18"/>
        </w:rPr>
        <w:t>(EU) 2016/679</w:t>
      </w:r>
      <w:r>
        <w:rPr>
          <w:rFonts w:ascii="Aptos" w:hAnsi="Aptos"/>
          <w:sz w:val="18"/>
          <w:szCs w:val="18"/>
        </w:rPr>
        <w:t>).</w:t>
      </w:r>
      <w:bookmarkEnd w:id="4"/>
    </w:p>
    <w:p w14:paraId="10726AE6" w14:textId="5B435AB3" w:rsidR="00A63699" w:rsidRPr="00E73CDB" w:rsidRDefault="009B79EC" w:rsidP="00AE68A9">
      <w:pPr>
        <w:pStyle w:val="Untitledsubclause1"/>
        <w:numPr>
          <w:ilvl w:val="0"/>
          <w:numId w:val="0"/>
        </w:numPr>
        <w:spacing w:line="240" w:lineRule="auto"/>
        <w:ind w:left="720"/>
        <w:rPr>
          <w:rFonts w:ascii="Aptos" w:hAnsi="Aptos"/>
          <w:sz w:val="18"/>
          <w:szCs w:val="18"/>
        </w:rPr>
      </w:pPr>
      <w:bookmarkStart w:id="5" w:name="a293962"/>
      <w:r>
        <w:rPr>
          <w:rStyle w:val="DefTerm"/>
          <w:rFonts w:ascii="Aptos" w:hAnsi="Aptos"/>
          <w:sz w:val="18"/>
          <w:szCs w:val="18"/>
        </w:rPr>
        <w:t>UK GDPR</w:t>
      </w:r>
      <w:r>
        <w:rPr>
          <w:rFonts w:ascii="Aptos" w:hAnsi="Aptos"/>
          <w:sz w:val="18"/>
          <w:szCs w:val="18"/>
        </w:rPr>
        <w:t xml:space="preserve">: has the meaning given to it in section 3(10) (as supplemented by section 205(4)) of the Data Protection Act 2018. </w:t>
      </w:r>
      <w:bookmarkEnd w:id="5"/>
    </w:p>
    <w:p w14:paraId="7E6341B9" w14:textId="3847FA04" w:rsidR="00A63699" w:rsidRDefault="00A63699" w:rsidP="00AE68A9">
      <w:pPr>
        <w:pStyle w:val="Untitledsubclause1"/>
        <w:numPr>
          <w:ilvl w:val="0"/>
          <w:numId w:val="0"/>
        </w:numPr>
        <w:spacing w:line="240" w:lineRule="auto"/>
        <w:ind w:left="720"/>
        <w:rPr>
          <w:rFonts w:ascii="Aptos" w:hAnsi="Aptos"/>
          <w:sz w:val="18"/>
          <w:szCs w:val="18"/>
        </w:rPr>
      </w:pPr>
      <w:r>
        <w:rPr>
          <w:rFonts w:ascii="Aptos" w:hAnsi="Aptos"/>
          <w:sz w:val="18"/>
          <w:szCs w:val="18"/>
        </w:rPr>
        <w:t>For the purposes of this DPA, the terms</w:t>
      </w:r>
      <w:r>
        <w:rPr>
          <w:rFonts w:ascii="Aptos" w:hAnsi="Aptos"/>
          <w:b/>
          <w:bCs/>
          <w:sz w:val="18"/>
          <w:szCs w:val="18"/>
        </w:rPr>
        <w:t>, Controller</w:t>
      </w:r>
      <w:r>
        <w:rPr>
          <w:rFonts w:ascii="Aptos" w:hAnsi="Aptos"/>
          <w:sz w:val="18"/>
          <w:szCs w:val="18"/>
        </w:rPr>
        <w:t xml:space="preserve">, </w:t>
      </w:r>
      <w:r>
        <w:rPr>
          <w:rFonts w:ascii="Aptos" w:hAnsi="Aptos"/>
          <w:b/>
          <w:bCs/>
          <w:sz w:val="18"/>
          <w:szCs w:val="18"/>
        </w:rPr>
        <w:t>Data Subject</w:t>
      </w:r>
      <w:r>
        <w:rPr>
          <w:rFonts w:ascii="Aptos" w:hAnsi="Aptos"/>
          <w:sz w:val="18"/>
          <w:szCs w:val="18"/>
        </w:rPr>
        <w:t xml:space="preserve">, </w:t>
      </w:r>
      <w:r>
        <w:rPr>
          <w:rFonts w:ascii="Aptos" w:hAnsi="Aptos"/>
          <w:b/>
          <w:bCs/>
          <w:sz w:val="18"/>
          <w:szCs w:val="18"/>
        </w:rPr>
        <w:t>Personal Data</w:t>
      </w:r>
      <w:r>
        <w:rPr>
          <w:rFonts w:ascii="Aptos" w:hAnsi="Aptos"/>
          <w:sz w:val="18"/>
          <w:szCs w:val="18"/>
        </w:rPr>
        <w:t xml:space="preserve">, </w:t>
      </w:r>
      <w:r>
        <w:rPr>
          <w:rFonts w:ascii="Aptos" w:hAnsi="Aptos"/>
          <w:b/>
          <w:bCs/>
          <w:sz w:val="18"/>
          <w:szCs w:val="18"/>
        </w:rPr>
        <w:t xml:space="preserve">Personal Data Breach, Processor </w:t>
      </w:r>
      <w:r>
        <w:rPr>
          <w:rFonts w:ascii="Aptos" w:hAnsi="Aptos"/>
          <w:sz w:val="18"/>
          <w:szCs w:val="18"/>
        </w:rPr>
        <w:t xml:space="preserve">and  </w:t>
      </w:r>
      <w:r>
        <w:rPr>
          <w:rFonts w:ascii="Aptos" w:hAnsi="Aptos"/>
          <w:b/>
          <w:bCs/>
          <w:sz w:val="18"/>
          <w:szCs w:val="18"/>
        </w:rPr>
        <w:t>Processing,</w:t>
      </w:r>
      <w:r>
        <w:rPr>
          <w:rFonts w:ascii="Aptos" w:hAnsi="Aptos"/>
          <w:sz w:val="18"/>
          <w:szCs w:val="18"/>
        </w:rPr>
        <w:t xml:space="preserve"> shall have the meaning given to them in Applicable Data Protection Laws, </w:t>
      </w:r>
      <w:r>
        <w:rPr>
          <w:rFonts w:ascii="Aptos" w:hAnsi="Aptos"/>
          <w:b/>
          <w:bCs/>
          <w:sz w:val="18"/>
          <w:szCs w:val="18"/>
        </w:rPr>
        <w:t>Commissioner</w:t>
      </w:r>
      <w:r>
        <w:rPr>
          <w:rFonts w:ascii="Aptos" w:hAnsi="Aptos"/>
          <w:sz w:val="18"/>
          <w:szCs w:val="18"/>
        </w:rPr>
        <w:t xml:space="preserve"> shall have the meaning given to it in the UK GDPR and </w:t>
      </w:r>
      <w:r>
        <w:rPr>
          <w:rFonts w:ascii="Aptos" w:hAnsi="Aptos"/>
          <w:b/>
          <w:bCs/>
          <w:sz w:val="18"/>
          <w:szCs w:val="18"/>
        </w:rPr>
        <w:t>Supervisory Authority</w:t>
      </w:r>
      <w:r>
        <w:rPr>
          <w:rFonts w:ascii="Aptos" w:hAnsi="Aptos"/>
          <w:sz w:val="18"/>
          <w:szCs w:val="18"/>
        </w:rPr>
        <w:t xml:space="preserve"> shall have the meaning given to it in the EU GDPR. </w:t>
      </w:r>
    </w:p>
    <w:p w14:paraId="2A8BE41E" w14:textId="60B91FB2" w:rsidR="005F25C4" w:rsidRPr="00424188" w:rsidRDefault="005F25C4" w:rsidP="005F25C4">
      <w:pPr>
        <w:pStyle w:val="Untitledsubclause1"/>
        <w:rPr>
          <w:rFonts w:ascii="Aptos" w:hAnsi="Aptos"/>
          <w:sz w:val="18"/>
          <w:szCs w:val="18"/>
        </w:rPr>
      </w:pPr>
      <w:r>
        <w:rPr>
          <w:rFonts w:ascii="Aptos" w:hAnsi="Aptos"/>
          <w:sz w:val="18"/>
          <w:szCs w:val="18"/>
        </w:rPr>
        <w:lastRenderedPageBreak/>
        <w:t xml:space="preserve">This DPA is subject to the terms of the Master Services Agreement and is incorporated into the Master Services Agreement. Interpretations and defined terms set forth in the Master Services Agreement apply to the interpretation of this DPA.</w:t>
      </w:r>
    </w:p>
    <w:p w14:paraId="4A15955B" w14:textId="799BF6EB" w:rsidR="005F25C4" w:rsidRPr="00424188" w:rsidRDefault="005F25C4" w:rsidP="005F25C4">
      <w:pPr>
        <w:pStyle w:val="Untitledsubclause1"/>
        <w:rPr>
          <w:rFonts w:ascii="Aptos" w:hAnsi="Aptos"/>
          <w:sz w:val="18"/>
          <w:szCs w:val="18"/>
        </w:rPr>
      </w:pPr>
      <w:r>
        <w:rPr>
          <w:rFonts w:ascii="Aptos" w:hAnsi="Aptos"/>
          <w:sz w:val="18"/>
          <w:szCs w:val="18"/>
        </w:rPr>
        <w:t>The Annexes form part of this DPA and will have effect as if set out in full in the body of this DPA. Any reference to this DPA includes the Annexes.</w:t>
      </w:r>
    </w:p>
    <w:p w14:paraId="27575029" w14:textId="0CB20472" w:rsidR="005F25C4" w:rsidRPr="005F25C4" w:rsidRDefault="005F25C4" w:rsidP="005F25C4">
      <w:pPr>
        <w:pStyle w:val="Untitledsubclause1"/>
        <w:rPr>
          <w:rFonts w:ascii="Aptos" w:hAnsi="Aptos"/>
          <w:sz w:val="18"/>
          <w:szCs w:val="18"/>
        </w:rPr>
      </w:pPr>
      <w:r>
        <w:rPr>
          <w:rFonts w:ascii="Aptos" w:hAnsi="Aptos"/>
          <w:sz w:val="18"/>
          <w:szCs w:val="18"/>
        </w:rPr>
        <w:t xml:space="preserve">A reference to writing or written excludes fax but not email.</w:t>
      </w:r>
    </w:p>
    <w:p w14:paraId="28693760" w14:textId="77777777" w:rsidR="005F25C4" w:rsidRPr="005F25C4" w:rsidRDefault="005F25C4" w:rsidP="005F25C4">
      <w:pPr>
        <w:pStyle w:val="Untitledsubclause1"/>
        <w:rPr>
          <w:rFonts w:ascii="Aptos" w:hAnsi="Aptos"/>
          <w:sz w:val="18"/>
          <w:szCs w:val="18"/>
        </w:rPr>
      </w:pPr>
      <w:r>
        <w:rPr>
          <w:rFonts w:ascii="Aptos" w:hAnsi="Aptos"/>
          <w:sz w:val="18"/>
          <w:szCs w:val="18"/>
        </w:rPr>
        <w:t>In the case of conflict or ambiguity between:</w:t>
      </w:r>
    </w:p>
    <w:p w14:paraId="677E396F" w14:textId="7C113B7B" w:rsidR="005F25C4" w:rsidRPr="00424188" w:rsidRDefault="005F25C4" w:rsidP="00424188">
      <w:pPr>
        <w:pStyle w:val="Untitledsubclause2"/>
        <w:rPr>
          <w:rFonts w:ascii="Aptos" w:hAnsi="Aptos"/>
          <w:sz w:val="18"/>
          <w:szCs w:val="18"/>
        </w:rPr>
      </w:pPr>
      <w:r>
        <w:rPr>
          <w:rFonts w:ascii="Aptos" w:hAnsi="Aptos"/>
          <w:sz w:val="18"/>
          <w:szCs w:val="18"/>
        </w:rPr>
        <w:t xml:space="preserve">any provision contained in the body of this DPA and any provision contained in the Annexes (excluding </w:t>
        <w:fldChar w:fldCharType="begin"/>
        <w:instrText xml:space="preserve"> REF _Ref185248749 \r \h  \* MERGEFORMAT </w:instrText>
        <w:fldChar w:fldCharType="separate"/>
        <w:t>ANNEX B</w:t>
        <w:fldChar w:fldCharType="end"/>
        <w:t>), the provision in the body of this DPA will prevail;</w:t>
      </w:r>
    </w:p>
    <w:p w14:paraId="706E562D" w14:textId="50E28A0C" w:rsidR="005F25C4" w:rsidRPr="00424188" w:rsidRDefault="005F25C4" w:rsidP="00424188">
      <w:pPr>
        <w:pStyle w:val="Untitledsubclause2"/>
        <w:rPr>
          <w:rFonts w:ascii="Aptos" w:hAnsi="Aptos"/>
          <w:sz w:val="18"/>
          <w:szCs w:val="18"/>
        </w:rPr>
      </w:pPr>
      <w:r>
        <w:rPr>
          <w:rFonts w:ascii="Aptos" w:hAnsi="Aptos"/>
          <w:sz w:val="18"/>
          <w:szCs w:val="18"/>
        </w:rPr>
        <w:t>the terms of any accompanying invoice or other documents annexed to this DPA and any provision contained in the Annexes, the provision contained in the Annexes will prevail;</w:t>
      </w:r>
    </w:p>
    <w:p w14:paraId="53ECEA0B" w14:textId="61AF7ADB" w:rsidR="005F25C4" w:rsidRPr="00424188" w:rsidRDefault="005F25C4" w:rsidP="00424188">
      <w:pPr>
        <w:pStyle w:val="Untitledsubclause2"/>
        <w:rPr>
          <w:rFonts w:ascii="Aptos" w:hAnsi="Aptos"/>
          <w:sz w:val="18"/>
          <w:szCs w:val="18"/>
        </w:rPr>
      </w:pPr>
      <w:r>
        <w:rPr>
          <w:rFonts w:ascii="Aptos" w:hAnsi="Aptos"/>
          <w:sz w:val="18"/>
          <w:szCs w:val="18"/>
        </w:rPr>
        <w:t xml:space="preserve">any of the provisions of this DPA and the provisions of the Master Services Agreement, the provisions of this DPA will prevail; and</w:t>
      </w:r>
    </w:p>
    <w:p w14:paraId="42DB7ED7" w14:textId="15902C12" w:rsidR="005F25C4" w:rsidRPr="00424188" w:rsidRDefault="005F25C4" w:rsidP="00424188">
      <w:pPr>
        <w:pStyle w:val="Untitledsubclause2"/>
        <w:rPr>
          <w:rFonts w:ascii="Aptos" w:hAnsi="Aptos"/>
          <w:sz w:val="18"/>
          <w:szCs w:val="18"/>
        </w:rPr>
      </w:pPr>
      <w:r>
        <w:rPr>
          <w:rFonts w:ascii="Aptos" w:hAnsi="Aptos"/>
          <w:sz w:val="18"/>
          <w:szCs w:val="18"/>
        </w:rPr>
        <w:t xml:space="preserve">any of the provisions of this DPA (or any other provision contained in the Annexes or any of the documents referred to in (b) and (c) above) and any </w:t>
        <w:fldChar w:fldCharType="begin"/>
        <w:instrText xml:space="preserve"> REF _Ref185248749 \r \h  \* MERGEFORMAT </w:instrText>
        <w:fldChar w:fldCharType="separate"/>
        <w:t>ANNEX B</w:t>
        <w:fldChar w:fldCharType="end"/>
        <w:t xml:space="preserve">, the provisions of the </w:t>
        <w:fldChar w:fldCharType="begin"/>
        <w:instrText xml:space="preserve"> REF _Ref185248749 \r \h  \* MERGEFORMAT </w:instrText>
        <w:fldChar w:fldCharType="separate"/>
        <w:t>ANNEX B</w:t>
        <w:fldChar w:fldCharType="end"/>
        <w:t xml:space="preserve"> will prevail.</w:t>
      </w:r>
    </w:p>
    <w:p w14:paraId="7105AD15" w14:textId="1B96AFF6" w:rsidR="009B79EC" w:rsidRPr="00E73CDB" w:rsidRDefault="000D7269" w:rsidP="00F914B9">
      <w:pPr>
        <w:pStyle w:val="TitleClause"/>
        <w:numPr>
          <w:ilvl w:val="0"/>
          <w:numId w:val="22"/>
        </w:numPr>
        <w:spacing w:line="240" w:lineRule="auto"/>
        <w:rPr>
          <w:rFonts w:ascii="Aptos" w:hAnsi="Aptos"/>
          <w:color w:val="009999"/>
          <w:sz w:val="18"/>
          <w:szCs w:val="18"/>
        </w:rPr>
      </w:pPr>
      <w:r>
        <w:rPr>
          <w:rFonts w:ascii="Aptos" w:hAnsi="Aptos"/>
          <w:color w:val="009999"/>
          <w:sz w:val="18"/>
          <w:szCs w:val="18"/>
        </w:rPr>
        <w:t xml:space="preserve">CONTROLLERS AND PROCESSORS </w:t>
      </w:r>
    </w:p>
    <w:p w14:paraId="55D00D79" w14:textId="14214A33" w:rsidR="009B79EC" w:rsidRPr="00E73CDB" w:rsidRDefault="009B79EC" w:rsidP="00F914B9">
      <w:pPr>
        <w:pStyle w:val="Untitledsubclause1"/>
        <w:numPr>
          <w:ilvl w:val="1"/>
          <w:numId w:val="22"/>
        </w:numPr>
        <w:spacing w:line="240" w:lineRule="auto"/>
        <w:rPr>
          <w:rFonts w:ascii="Aptos" w:hAnsi="Aptos"/>
          <w:sz w:val="18"/>
          <w:szCs w:val="18"/>
        </w:rPr>
      </w:pPr>
      <w:bookmarkStart w:id="6" w:name="a805358"/>
      <w:r>
        <w:rPr>
          <w:rFonts w:ascii="Aptos" w:hAnsi="Aptos"/>
          <w:sz w:val="18"/>
          <w:szCs w:val="18"/>
        </w:rPr>
        <w:t xml:space="preserve">Both parties will comply with all applicable requirements of Applicable Data Protection Laws. This </w:t>
      </w:r>
      <w:r>
        <w:rPr>
          <w:rFonts w:ascii="Aptos" w:hAnsi="Aptos"/>
          <w:bCs/>
          <w:sz w:val="18"/>
          <w:szCs w:val="18"/>
        </w:rPr>
        <w:t xml:space="preserve">DPA </w:t>
      </w:r>
      <w:r>
        <w:rPr>
          <w:rFonts w:ascii="Aptos" w:hAnsi="Aptos"/>
          <w:sz w:val="18"/>
          <w:szCs w:val="18"/>
        </w:rPr>
        <w:t xml:space="preserve">is in addition to, and does not relieve, remove or replace, a party's obligations or rights under Applicable Data Protection Laws. </w:t>
      </w:r>
      <w:bookmarkEnd w:id="6"/>
    </w:p>
    <w:p w14:paraId="3F18377C" w14:textId="40820AED" w:rsidR="009B79EC" w:rsidRPr="00E73CDB" w:rsidRDefault="009B79EC" w:rsidP="00756CDB">
      <w:pPr>
        <w:pStyle w:val="Untitledsubclause1"/>
        <w:numPr>
          <w:ilvl w:val="1"/>
          <w:numId w:val="22"/>
        </w:numPr>
        <w:spacing w:line="240" w:lineRule="auto"/>
        <w:rPr>
          <w:rFonts w:ascii="Aptos" w:hAnsi="Aptos"/>
          <w:sz w:val="18"/>
          <w:szCs w:val="18"/>
        </w:rPr>
      </w:pPr>
      <w:bookmarkStart w:id="7" w:name="a963735"/>
      <w:r>
        <w:rPr>
          <w:rFonts w:ascii="Aptos" w:hAnsi="Aptos"/>
          <w:sz w:val="18"/>
          <w:szCs w:val="18"/>
        </w:rPr>
        <w:t>The parties have determined that, for the purposes of Applicable Data Protection Laws</w:t>
      </w:r>
      <w:bookmarkStart w:id="8" w:name="a740710"/>
      <w:bookmarkEnd w:id="7"/>
      <w:r>
        <w:rPr>
          <w:rFonts w:ascii="Aptos" w:hAnsi="Aptos"/>
          <w:sz w:val="18"/>
          <w:szCs w:val="18"/>
        </w:rPr>
        <w:t xml:space="preserve">, Satorus shall process the Shared Personal Data, as a Processor on behalf of the Customer and the Customer shall act as a Controller </w:t>
      </w:r>
      <w:bookmarkEnd w:id="8"/>
      <w:r>
        <w:rPr>
          <w:rFonts w:ascii="Aptos" w:hAnsi="Aptos"/>
          <w:sz w:val="18"/>
          <w:szCs w:val="18"/>
        </w:rPr>
        <w:t>in respect of the Services.</w:t>
      </w:r>
    </w:p>
    <w:p w14:paraId="1F155FD9" w14:textId="6CF933CB" w:rsidR="009B79EC" w:rsidRPr="00E73CDB" w:rsidRDefault="009B79EC" w:rsidP="00F914B9">
      <w:pPr>
        <w:pStyle w:val="Untitledsubclause1"/>
        <w:numPr>
          <w:ilvl w:val="1"/>
          <w:numId w:val="22"/>
        </w:numPr>
        <w:spacing w:line="240" w:lineRule="auto"/>
        <w:rPr>
          <w:rFonts w:ascii="Aptos" w:hAnsi="Aptos"/>
          <w:sz w:val="18"/>
          <w:szCs w:val="18"/>
        </w:rPr>
      </w:pPr>
      <w:bookmarkStart w:id="9" w:name="a124598"/>
      <w:r>
        <w:rPr>
          <w:rFonts w:ascii="Aptos" w:hAnsi="Aptos"/>
          <w:sz w:val="18"/>
          <w:szCs w:val="18"/>
        </w:rPr>
        <w:t xml:space="preserve">Should the determination in paragraph </w:t>
        <w:fldChar w:fldCharType="begin"/>
        <w:instrText>REF a963735 \h \w</w:instrText>
        <w:instrText xml:space="preserve"> \* MERGEFORMAT </w:instrText>
        <w:fldChar w:fldCharType="separate"/>
        <w:t>4.2</w:t>
        <w:fldChar w:fldCharType="end"/>
        <w:t xml:space="preserve"> change, then each party shall work together in good faith to make any changes which are necessary to this </w:t>
      </w:r>
      <w:r>
        <w:rPr>
          <w:rFonts w:ascii="Aptos" w:hAnsi="Aptos"/>
          <w:bCs/>
          <w:sz w:val="18"/>
          <w:szCs w:val="18"/>
        </w:rPr>
        <w:t>DPA</w:t>
      </w:r>
      <w:r>
        <w:rPr>
          <w:rFonts w:ascii="Aptos" w:hAnsi="Aptos"/>
          <w:sz w:val="18"/>
          <w:szCs w:val="18"/>
        </w:rPr>
        <w:t>.</w:t>
      </w:r>
      <w:bookmarkEnd w:id="9"/>
    </w:p>
    <w:p w14:paraId="4F65C8CF" w14:textId="746F899B" w:rsidR="009B79EC" w:rsidRPr="00E73CDB" w:rsidRDefault="000D7269" w:rsidP="00F914B9">
      <w:pPr>
        <w:pStyle w:val="TitleClause"/>
        <w:numPr>
          <w:ilvl w:val="0"/>
          <w:numId w:val="22"/>
        </w:numPr>
        <w:spacing w:line="240" w:lineRule="auto"/>
        <w:rPr>
          <w:rFonts w:ascii="Aptos" w:hAnsi="Aptos"/>
          <w:color w:val="009999"/>
          <w:sz w:val="18"/>
          <w:szCs w:val="18"/>
        </w:rPr>
      </w:pPr>
      <w:bookmarkStart w:id="10" w:name="_Ref185410818"/>
      <w:r>
        <w:rPr>
          <w:rFonts w:ascii="Aptos" w:hAnsi="Aptos"/>
          <w:color w:val="009999"/>
          <w:sz w:val="18"/>
          <w:szCs w:val="18"/>
        </w:rPr>
        <w:t>PROCESSING TERMS</w:t>
      </w:r>
      <w:bookmarkEnd w:id="10"/>
      <w:r>
        <w:rPr>
          <w:rFonts w:ascii="Aptos" w:hAnsi="Aptos"/>
          <w:color w:val="009999"/>
          <w:sz w:val="18"/>
          <w:szCs w:val="18"/>
        </w:rPr>
        <w:t xml:space="preserve"> </w:t>
      </w:r>
    </w:p>
    <w:p w14:paraId="33ACB9A5" w14:textId="24232B2D" w:rsidR="009B79EC" w:rsidRPr="00E73CDB" w:rsidRDefault="009B79EC" w:rsidP="00F914B9">
      <w:pPr>
        <w:pStyle w:val="Untitledsubclause1"/>
        <w:numPr>
          <w:ilvl w:val="1"/>
          <w:numId w:val="22"/>
        </w:numPr>
        <w:spacing w:line="240" w:lineRule="auto"/>
        <w:rPr>
          <w:rFonts w:ascii="Aptos" w:hAnsi="Aptos"/>
          <w:sz w:val="18"/>
          <w:szCs w:val="18"/>
        </w:rPr>
      </w:pPr>
      <w:bookmarkStart w:id="11" w:name="a641103"/>
      <w:r>
        <w:rPr>
          <w:rFonts w:ascii="Aptos" w:hAnsi="Aptos"/>
          <w:sz w:val="18"/>
          <w:szCs w:val="18"/>
        </w:rPr>
        <w:t xml:space="preserve">In relation to the Shared Personal Data, </w:t>
        <w:fldChar w:fldCharType="begin"/>
        <w:instrText xml:space="preserve"> REF _Ref185411052 \r \h </w:instrText>
        <w:instrText xml:space="preserve"> \* MERGEFORMAT </w:instrText>
        <w:fldChar w:fldCharType="separate"/>
        <w:t>ANNEX A</w:t>
        <w:fldChar w:fldCharType="end"/>
        <w:t xml:space="preserve"> sets out the scope, nature and purpose of Processing by Satorus, the duration of the Processing and the types of Shared Personal Data and categories of Data Subject.</w:t>
      </w:r>
      <w:bookmarkEnd w:id="11"/>
    </w:p>
    <w:p w14:paraId="045AD06D" w14:textId="403B9E53" w:rsidR="009B79EC" w:rsidRPr="00E73CDB" w:rsidRDefault="009B79EC" w:rsidP="00F914B9">
      <w:pPr>
        <w:pStyle w:val="Untitledsubclause1"/>
        <w:numPr>
          <w:ilvl w:val="1"/>
          <w:numId w:val="22"/>
        </w:numPr>
        <w:spacing w:line="240" w:lineRule="auto"/>
        <w:rPr>
          <w:rFonts w:ascii="Aptos" w:hAnsi="Aptos"/>
          <w:sz w:val="18"/>
          <w:szCs w:val="18"/>
        </w:rPr>
      </w:pPr>
      <w:bookmarkStart w:id="12" w:name="a820833"/>
      <w:r>
        <w:rPr>
          <w:rFonts w:ascii="Aptos" w:hAnsi="Aptos"/>
          <w:sz w:val="18"/>
          <w:szCs w:val="18"/>
        </w:rPr>
        <w:t xml:space="preserve">Without prejudice to the generality of paragraph </w:t>
        <w:fldChar w:fldCharType="begin"/>
        <w:instrText>REF a805358 \h \w</w:instrText>
        <w:instrText xml:space="preserve"> \* MERGEFORMAT </w:instrText>
        <w:fldChar w:fldCharType="separate"/>
        <w:t>4.1</w:t>
        <w:fldChar w:fldCharType="end"/>
        <w:t xml:space="preserve"> Satorus shall, in relation to Shared Personal Data Processed for the purposes of Services:</w:t>
      </w:r>
      <w:bookmarkEnd w:id="12"/>
    </w:p>
    <w:p w14:paraId="2AFAA523" w14:textId="22C741F3" w:rsidR="009B79EC" w:rsidRPr="00E73CDB" w:rsidRDefault="009B79EC" w:rsidP="00F914B9">
      <w:pPr>
        <w:pStyle w:val="Untitledsubclause2"/>
        <w:numPr>
          <w:ilvl w:val="2"/>
          <w:numId w:val="22"/>
        </w:numPr>
        <w:spacing w:line="240" w:lineRule="auto"/>
        <w:rPr>
          <w:rFonts w:ascii="Aptos" w:hAnsi="Aptos"/>
          <w:sz w:val="18"/>
          <w:szCs w:val="18"/>
        </w:rPr>
      </w:pPr>
      <w:bookmarkStart w:id="13" w:name="a684078"/>
      <w:r>
        <w:rPr>
          <w:rFonts w:ascii="Aptos" w:hAnsi="Aptos"/>
          <w:sz w:val="18"/>
          <w:szCs w:val="18"/>
        </w:rPr>
        <w:t xml:space="preserve">process that Shared Personal Data only on the documented instructions of the Customer, set out in </w:t>
        <w:fldChar w:fldCharType="begin"/>
        <w:instrText xml:space="preserve"> REF _Ref185411052 \r \h </w:instrText>
        <w:instrText xml:space="preserve"> \* MERGEFORMAT </w:instrText>
        <w:fldChar w:fldCharType="separate"/>
        <w:t>ANNEX A</w:t>
        <w:fldChar w:fldCharType="end"/>
        <w:t xml:space="preserve">, unless Satorus is required by Applicable Laws to otherwise process that Shared Personal Data. Where Satorus is relying on Applicable Laws as the basis for processing Shared Personal Data, Satorus shall promptly notify the Customer of this unless those Applicable Laws prohibit Satorus from so notifying the Customer on important grounds of public interest. Satorus shall immediately inform the Customer if, in the opinion of Satorus, the instructions of the Customer infringe Applicable Data Protection Laws;</w:t>
      </w:r>
      <w:bookmarkEnd w:id="13"/>
    </w:p>
    <w:p w14:paraId="6C9E0AC0" w14:textId="0165A0DA" w:rsidR="009B79EC" w:rsidRPr="00E73CDB" w:rsidRDefault="009B79EC" w:rsidP="00F914B9">
      <w:pPr>
        <w:pStyle w:val="Untitledsubclause2"/>
        <w:numPr>
          <w:ilvl w:val="2"/>
          <w:numId w:val="22"/>
        </w:numPr>
        <w:spacing w:line="240" w:lineRule="auto"/>
        <w:rPr>
          <w:rFonts w:ascii="Aptos" w:hAnsi="Aptos"/>
          <w:sz w:val="18"/>
          <w:szCs w:val="18"/>
        </w:rPr>
      </w:pPr>
      <w:bookmarkStart w:id="14" w:name="a798515"/>
      <w:r>
        <w:rPr>
          <w:rFonts w:ascii="Aptos" w:hAnsi="Aptos"/>
          <w:sz w:val="18"/>
          <w:szCs w:val="18"/>
        </w:rPr>
        <w:t xml:space="preserve">implement appropriate technical and organisational measures to protect against unauthorised or unlawful processing of Shared Personal Data and against its accidental loss, damage or destruction, including inter alia as appropriate:</w:t>
      </w:r>
      <w:bookmarkEnd w:id="14"/>
    </w:p>
    <w:p w14:paraId="060F5C31" w14:textId="500B67BE" w:rsidR="009B79EC" w:rsidRPr="00E73CDB" w:rsidRDefault="009B79EC" w:rsidP="00F914B9">
      <w:pPr>
        <w:pStyle w:val="Untitledsubclause3"/>
        <w:numPr>
          <w:ilvl w:val="3"/>
          <w:numId w:val="22"/>
        </w:numPr>
        <w:spacing w:line="240" w:lineRule="auto"/>
        <w:rPr>
          <w:rFonts w:ascii="Aptos" w:hAnsi="Aptos"/>
          <w:sz w:val="18"/>
          <w:szCs w:val="18"/>
        </w:rPr>
      </w:pPr>
      <w:bookmarkStart w:id="15" w:name="a309168"/>
      <w:r>
        <w:rPr>
          <w:rFonts w:ascii="Aptos" w:hAnsi="Aptos"/>
          <w:sz w:val="18"/>
          <w:szCs w:val="18"/>
        </w:rPr>
        <w:t xml:space="preserve"> the pseudonymisation and encryption of Shared Personal Data; </w:t>
      </w:r>
      <w:bookmarkEnd w:id="15"/>
    </w:p>
    <w:p w14:paraId="165081C5" w14:textId="05A22245" w:rsidR="009B79EC" w:rsidRPr="00E73CDB" w:rsidRDefault="009B79EC" w:rsidP="00F914B9">
      <w:pPr>
        <w:pStyle w:val="Untitledsubclause3"/>
        <w:numPr>
          <w:ilvl w:val="3"/>
          <w:numId w:val="22"/>
        </w:numPr>
        <w:spacing w:line="240" w:lineRule="auto"/>
        <w:rPr>
          <w:rFonts w:ascii="Aptos" w:hAnsi="Aptos"/>
          <w:sz w:val="18"/>
          <w:szCs w:val="18"/>
        </w:rPr>
      </w:pPr>
      <w:bookmarkStart w:id="16" w:name="a257891"/>
      <w:r>
        <w:rPr>
          <w:rFonts w:ascii="Aptos" w:hAnsi="Aptos"/>
          <w:sz w:val="18"/>
          <w:szCs w:val="18"/>
        </w:rPr>
        <w:t xml:space="preserve">the ability to ensure the ongoing confidentiality, integrity, availability and resilience of processing systems and  Services;</w:t>
      </w:r>
      <w:bookmarkEnd w:id="16"/>
    </w:p>
    <w:p w14:paraId="298F1E5C" w14:textId="7B1ED49D" w:rsidR="009B79EC" w:rsidRPr="00E73CDB" w:rsidRDefault="009B79EC" w:rsidP="00F914B9">
      <w:pPr>
        <w:pStyle w:val="Untitledsubclause3"/>
        <w:numPr>
          <w:ilvl w:val="3"/>
          <w:numId w:val="22"/>
        </w:numPr>
        <w:spacing w:line="240" w:lineRule="auto"/>
        <w:rPr>
          <w:rFonts w:ascii="Aptos" w:hAnsi="Aptos"/>
          <w:sz w:val="18"/>
          <w:szCs w:val="18"/>
        </w:rPr>
      </w:pPr>
      <w:bookmarkStart w:id="17" w:name="a742164"/>
      <w:r>
        <w:rPr>
          <w:rFonts w:ascii="Aptos" w:hAnsi="Aptos"/>
          <w:sz w:val="18"/>
          <w:szCs w:val="18"/>
        </w:rPr>
        <w:t xml:space="preserve">the ability to restore the availability and access to Shared Personal Data in a timely manner in the event of a physical or technical incident; and</w:t>
      </w:r>
      <w:bookmarkEnd w:id="17"/>
    </w:p>
    <w:p w14:paraId="728C874F" w14:textId="77777777" w:rsidR="009B79EC" w:rsidRPr="00E73CDB" w:rsidRDefault="009B79EC" w:rsidP="00F914B9">
      <w:pPr>
        <w:pStyle w:val="Untitledsubclause3"/>
        <w:numPr>
          <w:ilvl w:val="3"/>
          <w:numId w:val="22"/>
        </w:numPr>
        <w:spacing w:line="240" w:lineRule="auto"/>
        <w:rPr>
          <w:rFonts w:ascii="Aptos" w:hAnsi="Aptos"/>
          <w:sz w:val="18"/>
          <w:szCs w:val="18"/>
        </w:rPr>
      </w:pPr>
      <w:bookmarkStart w:id="18" w:name="a377475"/>
      <w:r>
        <w:rPr>
          <w:rFonts w:ascii="Aptos" w:hAnsi="Aptos"/>
          <w:sz w:val="18"/>
          <w:szCs w:val="18"/>
        </w:rPr>
        <w:lastRenderedPageBreak/>
        <w:t>a process for regularly testing, assessing and evaluating the effectiveness of technical and organisational measures for ensuring the security of the processing.</w:t>
      </w:r>
      <w:bookmarkEnd w:id="18"/>
    </w:p>
    <w:p w14:paraId="142FE461" w14:textId="5F50276E" w:rsidR="009B79EC" w:rsidRPr="00E73CDB" w:rsidRDefault="009B79EC" w:rsidP="00AE68A9">
      <w:pPr>
        <w:pStyle w:val="Parasubclause2"/>
        <w:spacing w:line="240" w:lineRule="auto"/>
        <w:rPr>
          <w:rFonts w:ascii="Aptos" w:hAnsi="Aptos"/>
          <w:sz w:val="18"/>
          <w:szCs w:val="18"/>
        </w:rPr>
      </w:pPr>
      <w:r>
        <w:rPr>
          <w:rFonts w:ascii="Aptos" w:hAnsi="Aptos"/>
          <w:sz w:val="18"/>
          <w:szCs w:val="18"/>
        </w:rPr>
        <w:t xml:space="preserve">In assessing the appropriate level of security Satorus shall take into account in particular of the risks that are presented by the processing, in particular from accidental or unlawful destruction, loss, alteration, unauthorised disclosure of, or access to Shared Personal Data transmitted, stored or otherwise processed.</w:t>
      </w:r>
    </w:p>
    <w:p w14:paraId="0C590853" w14:textId="6E6CA4A3" w:rsidR="009B79EC" w:rsidRPr="00E73CDB" w:rsidRDefault="009B79EC" w:rsidP="00F914B9">
      <w:pPr>
        <w:pStyle w:val="Untitledsubclause2"/>
        <w:numPr>
          <w:ilvl w:val="2"/>
          <w:numId w:val="22"/>
        </w:numPr>
        <w:spacing w:line="240" w:lineRule="auto"/>
        <w:rPr>
          <w:rFonts w:ascii="Aptos" w:hAnsi="Aptos"/>
          <w:sz w:val="18"/>
          <w:szCs w:val="18"/>
        </w:rPr>
      </w:pPr>
      <w:bookmarkStart w:id="19" w:name="a289003"/>
      <w:r>
        <w:rPr>
          <w:rFonts w:ascii="Aptos" w:hAnsi="Aptos"/>
          <w:sz w:val="18"/>
          <w:szCs w:val="18"/>
        </w:rPr>
        <w:t xml:space="preserve">ensure, and procure, that any personnel engaged and authorised by Satorus to process Shared Personal Data are subject to appropriate obligations of confidentiality; </w:t>
      </w:r>
      <w:bookmarkEnd w:id="19"/>
    </w:p>
    <w:p w14:paraId="4EA11CA3" w14:textId="4C601832" w:rsidR="009B79EC" w:rsidRPr="00E73CDB" w:rsidRDefault="00B65059" w:rsidP="00F914B9">
      <w:pPr>
        <w:pStyle w:val="Untitledsubclause2"/>
        <w:numPr>
          <w:ilvl w:val="2"/>
          <w:numId w:val="22"/>
        </w:numPr>
        <w:spacing w:line="240" w:lineRule="auto"/>
        <w:rPr>
          <w:rFonts w:ascii="Aptos" w:hAnsi="Aptos"/>
          <w:sz w:val="18"/>
          <w:szCs w:val="18"/>
        </w:rPr>
      </w:pPr>
      <w:bookmarkStart w:id="20" w:name="a981204"/>
      <w:r>
        <w:rPr>
          <w:rFonts w:ascii="Aptos" w:hAnsi="Aptos"/>
          <w:sz w:val="18"/>
          <w:szCs w:val="18"/>
        </w:rPr>
        <w:t xml:space="preserve">subject to clause </w:t>
        <w:fldChar w:fldCharType="begin"/>
        <w:instrText xml:space="preserve"> REF _Ref232712985 \r \h </w:instrText>
        <w:fldChar w:fldCharType="separate"/>
        <w:t>5.3(f)</w:t>
        <w:fldChar w:fldCharType="end"/>
        <w:t xml:space="preserve">, where the Customer is unable to use the Platform, taking into account the nature of processing and the information available to Satorus, to assist the Customer, at the Customer’s own expense, in responding to requests from a Data Subject under Applicable Data Protection Laws and in ensuring compliance with the Customer's obligations under Applicable Data Protection Laws with respect to security, Personal Data Breach notifications, data protection impact assessments and consultations with the Commissioner, Supervisory Authorities or other regulators and, in particular, Satorus shall promptly notify the Customer if it receives any complaint, notice or communication (whether from the Commissioner, any Data Subject, Supervisory Authority or other third party) which relates to processing of Shared Personal Data;</w:t>
      </w:r>
      <w:bookmarkEnd w:id="20"/>
    </w:p>
    <w:p w14:paraId="15D473CE" w14:textId="7248F147" w:rsidR="009B79EC" w:rsidRPr="00E73CDB" w:rsidRDefault="009B79EC" w:rsidP="00F914B9">
      <w:pPr>
        <w:pStyle w:val="Untitledsubclause2"/>
        <w:numPr>
          <w:ilvl w:val="2"/>
          <w:numId w:val="22"/>
        </w:numPr>
        <w:spacing w:line="240" w:lineRule="auto"/>
        <w:rPr>
          <w:rFonts w:ascii="Aptos" w:hAnsi="Aptos"/>
          <w:sz w:val="18"/>
          <w:szCs w:val="18"/>
        </w:rPr>
      </w:pPr>
      <w:bookmarkStart w:id="21" w:name="a280696"/>
      <w:r>
        <w:rPr>
          <w:rFonts w:ascii="Aptos" w:hAnsi="Aptos"/>
          <w:sz w:val="18"/>
          <w:szCs w:val="18"/>
        </w:rPr>
        <w:t xml:space="preserve">notify the Customer without undue delay on becoming aware of a Personal Data Breach; </w:t>
      </w:r>
      <w:bookmarkEnd w:id="21"/>
    </w:p>
    <w:p w14:paraId="126B7078" w14:textId="503B65E1" w:rsidR="009B79EC" w:rsidRPr="00E73CDB" w:rsidRDefault="009B79EC" w:rsidP="00F914B9">
      <w:pPr>
        <w:pStyle w:val="Untitledsubclause2"/>
        <w:numPr>
          <w:ilvl w:val="2"/>
          <w:numId w:val="22"/>
        </w:numPr>
        <w:spacing w:line="240" w:lineRule="auto"/>
        <w:rPr>
          <w:rFonts w:ascii="Aptos" w:hAnsi="Aptos"/>
          <w:sz w:val="18"/>
          <w:szCs w:val="18"/>
        </w:rPr>
      </w:pPr>
      <w:bookmarkStart w:id="22" w:name="a567101"/>
      <w:r>
        <w:rPr>
          <w:rFonts w:ascii="Aptos" w:hAnsi="Aptos"/>
          <w:sz w:val="18"/>
          <w:szCs w:val="18"/>
        </w:rPr>
        <w:t xml:space="preserve">at the written direction of the Customer, delete or return to the Customer all Shared Personal Data on termination or expiry of this DPA, and certify to the Customer in writing it has done so, unless Satorus is required by Applicable Law to continue to process that Shared Personal Data, in which case Satorus shall promptly notify the Customer, in writing, of what that Applicable Law is and shall only be permitted to process that Shared Personal Data for the specific purpose so-notified, and all other requirements set out in this </w:t>
      </w:r>
      <w:r>
        <w:rPr>
          <w:rFonts w:ascii="Aptos" w:hAnsi="Aptos"/>
          <w:bCs/>
          <w:sz w:val="18"/>
          <w:szCs w:val="18"/>
        </w:rPr>
        <w:t>DPA</w:t>
      </w:r>
      <w:r>
        <w:rPr>
          <w:rFonts w:ascii="Aptos" w:hAnsi="Aptos"/>
          <w:sz w:val="18"/>
          <w:szCs w:val="18"/>
        </w:rPr>
        <w:t xml:space="preserve"> shall continue to apply to such Shared Personal Data notwithstanding the termination or expiry of this DPA for as long as such Shared Personal Data is processed by Satorus; and</w:t>
      </w:r>
      <w:bookmarkEnd w:id="22"/>
    </w:p>
    <w:p w14:paraId="3EC65BC6" w14:textId="1D8D17A6" w:rsidR="009B79EC" w:rsidRPr="00E73CDB" w:rsidRDefault="009B79EC" w:rsidP="00F914B9">
      <w:pPr>
        <w:pStyle w:val="Untitledsubclause2"/>
        <w:numPr>
          <w:ilvl w:val="2"/>
          <w:numId w:val="22"/>
        </w:numPr>
        <w:spacing w:line="240" w:lineRule="auto"/>
        <w:rPr>
          <w:rFonts w:ascii="Aptos" w:hAnsi="Aptos"/>
          <w:sz w:val="18"/>
          <w:szCs w:val="18"/>
        </w:rPr>
      </w:pPr>
      <w:bookmarkStart w:id="23" w:name="a479167"/>
      <w:r>
        <w:rPr>
          <w:rFonts w:ascii="Aptos" w:hAnsi="Aptos"/>
          <w:sz w:val="18"/>
          <w:szCs w:val="18"/>
        </w:rPr>
        <w:t xml:space="preserve">on the Customer's request, makes available such information to demonstrate compliance with the obligations in this </w:t>
      </w:r>
      <w:r>
        <w:rPr>
          <w:rFonts w:ascii="Aptos" w:hAnsi="Aptos"/>
          <w:bCs/>
          <w:sz w:val="18"/>
          <w:szCs w:val="18"/>
        </w:rPr>
        <w:t>DPA</w:t>
      </w:r>
      <w:r>
        <w:rPr>
          <w:rFonts w:ascii="Aptos" w:hAnsi="Aptos"/>
          <w:sz w:val="18"/>
          <w:szCs w:val="18"/>
        </w:rPr>
        <w:t xml:space="preserve"> as the Customer may reasonably request with 3 months’ written notice, and allow for one audit per calendar year at the Customer’s own costs, including inspections, by the Customer or the Customer's designated auditor, to demonstrate its compliance with Applicable Data Protection Laws and this paragraph </w:t>
        <w:fldChar w:fldCharType="begin"/>
        <w:instrText xml:space="preserve"> REF _Ref185410818 \r \h </w:instrText>
        <w:instrText xml:space="preserve"> \* MERGEFORMAT </w:instrText>
        <w:fldChar w:fldCharType="separate"/>
        <w:t>5</w:t>
        <w:fldChar w:fldCharType="end"/>
        <w:t>.</w:t>
      </w:r>
      <w:bookmarkEnd w:id="23"/>
      <w:r>
        <w:rPr>
          <w:rFonts w:ascii="Aptos" w:hAnsi="Aptos"/>
          <w:sz w:val="18"/>
          <w:szCs w:val="18"/>
        </w:rPr>
        <w:t xml:space="preserve"> The Customer and the Customer’s designated auditor shall enter into a confidentiality agreement prior to the audit commencing and shall make all of the relevant audit reports available to Satorus for review.</w:t>
      </w:r>
    </w:p>
    <w:p w14:paraId="4235FACA" w14:textId="7C9A04C6" w:rsidR="00746829" w:rsidRPr="00E73CDB" w:rsidRDefault="00B51744" w:rsidP="00F914B9">
      <w:pPr>
        <w:pStyle w:val="Untitledsubclause1"/>
        <w:numPr>
          <w:ilvl w:val="1"/>
          <w:numId w:val="22"/>
        </w:numPr>
        <w:spacing w:line="240" w:lineRule="auto"/>
        <w:rPr>
          <w:rFonts w:ascii="Aptos" w:hAnsi="Aptos"/>
          <w:sz w:val="18"/>
          <w:szCs w:val="18"/>
        </w:rPr>
      </w:pPr>
      <w:r>
        <w:rPr>
          <w:rFonts w:ascii="Aptos" w:hAnsi="Aptos"/>
          <w:sz w:val="18"/>
          <w:szCs w:val="18"/>
        </w:rPr>
        <w:t>In relation to the Shared Personal Data, the Customer shall:</w:t>
      </w:r>
    </w:p>
    <w:p w14:paraId="299B06CC" w14:textId="41CD5774" w:rsidR="00B51744" w:rsidRPr="00E73CDB" w:rsidRDefault="00B51744" w:rsidP="00F914B9">
      <w:pPr>
        <w:pStyle w:val="Untitledsubclause2"/>
        <w:numPr>
          <w:ilvl w:val="2"/>
          <w:numId w:val="22"/>
        </w:numPr>
        <w:spacing w:line="240" w:lineRule="auto"/>
        <w:rPr>
          <w:rFonts w:ascii="Aptos" w:hAnsi="Aptos"/>
          <w:sz w:val="18"/>
          <w:szCs w:val="18"/>
        </w:rPr>
      </w:pPr>
      <w:r>
        <w:rPr>
          <w:rFonts w:ascii="Aptos" w:hAnsi="Aptos"/>
          <w:sz w:val="18"/>
          <w:szCs w:val="18"/>
        </w:rPr>
        <w:t xml:space="preserve">comply with all obligations and requirements to which they are subject as a Controller under the Applicable Data Protection Laws;</w:t>
      </w:r>
    </w:p>
    <w:p w14:paraId="1CC8E67E" w14:textId="6AFDF3AE" w:rsidR="00B51744" w:rsidRPr="00F232A3" w:rsidRDefault="009371CE" w:rsidP="00F914B9">
      <w:pPr>
        <w:pStyle w:val="Untitledsubclause2"/>
        <w:numPr>
          <w:ilvl w:val="2"/>
          <w:numId w:val="22"/>
        </w:numPr>
        <w:spacing w:line="240" w:lineRule="auto"/>
        <w:rPr>
          <w:rFonts w:ascii="Aptos" w:hAnsi="Aptos"/>
          <w:sz w:val="18"/>
          <w:szCs w:val="18"/>
        </w:rPr>
      </w:pPr>
      <w:r>
        <w:rPr>
          <w:rFonts w:ascii="Aptos" w:hAnsi="Aptos"/>
          <w:sz w:val="18"/>
          <w:szCs w:val="18"/>
        </w:rPr>
        <w:t xml:space="preserve">ensure it has a lawful basis under the Applicable Data Protection Laws for the use of the Services and the collecting, Processing and sharing of Shared Personal Data with Satorus for the purposes of the Services and as set out in this </w:t>
      </w:r>
      <w:r>
        <w:rPr>
          <w:rFonts w:ascii="Aptos" w:hAnsi="Aptos"/>
          <w:bCs/>
          <w:sz w:val="18"/>
          <w:szCs w:val="18"/>
        </w:rPr>
        <w:t xml:space="preserve">DPA; </w:t>
      </w:r>
    </w:p>
    <w:p w14:paraId="5D0379A6" w14:textId="77777777" w:rsidR="00F232A3" w:rsidRPr="00F232A3" w:rsidRDefault="00F232A3" w:rsidP="00F232A3">
      <w:pPr>
        <w:pStyle w:val="Untitledsubclause2"/>
        <w:numPr>
          <w:ilvl w:val="2"/>
          <w:numId w:val="22"/>
        </w:numPr>
        <w:spacing w:line="240" w:lineRule="auto"/>
        <w:rPr>
          <w:rFonts w:ascii="Aptos" w:hAnsi="Aptos"/>
          <w:sz w:val="18"/>
          <w:szCs w:val="18"/>
        </w:rPr>
      </w:pPr>
      <w:r>
        <w:rPr>
          <w:rFonts w:ascii="Aptos" w:hAnsi="Aptos"/>
          <w:bCs/>
          <w:sz w:val="18"/>
          <w:szCs w:val="18"/>
        </w:rPr>
        <w:t xml:space="preserve">ensure it has carried all required assessments including but not limited to data protection impact assessments, legitimate interests assessments and appropriate policy documents as required under Applicable Data Protection Laws for the use of the Services and the </w:t>
      </w:r>
      <w:r>
        <w:rPr>
          <w:rFonts w:ascii="Aptos" w:hAnsi="Aptos"/>
          <w:sz w:val="18"/>
          <w:szCs w:val="18"/>
        </w:rPr>
        <w:t xml:space="preserve">collecting, Processing and sharing of Shared Personal Data with Satorus for the purposes of the Services and as set out in this </w:t>
      </w:r>
      <w:r>
        <w:rPr>
          <w:rFonts w:ascii="Aptos" w:hAnsi="Aptos"/>
          <w:bCs/>
          <w:sz w:val="18"/>
          <w:szCs w:val="18"/>
        </w:rPr>
        <w:t xml:space="preserve">DPA; </w:t>
      </w:r>
    </w:p>
    <w:p>
      <w:pPr>
        <w:pStyle w:val="Untitledsubclause2"/>
        <w:numPr>
          <w:ilvl w:val="2"/>
          <w:numId w:val="22"/>
        </w:numPr>
        <w:spacing w:line="240" w:lineRule="auto"/>
        <w:rPr>
          <w:rFonts w:ascii="Aptos" w:hAnsi="Aptos"/>
          <w:sz w:val="18"/>
          <w:szCs w:val="18"/>
        </w:rPr>
      </w:pPr>
      <w:r>
        <w:rPr>
          <w:rFonts w:ascii="Aptos" w:hAnsi="Aptos"/>
          <w:sz w:val="18"/>
          <w:szCs w:val="18"/>
        </w:rPr>
        <w:t xml:space="preserve">where the Shared Personal Data includes special categories of personal data or personal data relating to criminal convictions and offences, ensure that a condition for Processing under Article 9 and/or Article 10 of the UK GDPR (or the equivalent provisions of the EU GDPR) and, where required, Schedule 1 to the Data Protection Act 2018 is satisfied in respect of that Processing, and maintain any appropriate policy document required in connection with that condition;</w:t>
      </w:r>
    </w:p>
    <w:p w14:paraId="2BE2F86B" w14:textId="3FD70A71" w:rsidR="00746829" w:rsidRPr="00E73CDB" w:rsidRDefault="009371CE" w:rsidP="00F914B9">
      <w:pPr>
        <w:pStyle w:val="Untitledsubclause2"/>
        <w:numPr>
          <w:ilvl w:val="2"/>
          <w:numId w:val="22"/>
        </w:numPr>
        <w:spacing w:line="240" w:lineRule="auto"/>
        <w:rPr>
          <w:rFonts w:ascii="Aptos" w:hAnsi="Aptos"/>
          <w:sz w:val="18"/>
          <w:szCs w:val="18"/>
        </w:rPr>
      </w:pPr>
      <w:r>
        <w:rPr>
          <w:rFonts w:ascii="Aptos" w:hAnsi="Aptos"/>
          <w:sz w:val="18"/>
          <w:szCs w:val="18"/>
        </w:rPr>
        <w:t xml:space="preserve">in respect of any Personal Data which the Customer itself provides or transfers to Satorus, ensure it has all necessary and appropriate valid consents and notices, or another valid lawful basis, under Applicable Data Protection Laws to enable the lawful transfer of such Personal Data to Satorus for the duration of and purposes of the Services and as set out in this </w:t>
      </w:r>
      <w:r>
        <w:rPr>
          <w:rFonts w:ascii="Aptos" w:hAnsi="Aptos"/>
          <w:bCs/>
          <w:sz w:val="18"/>
          <w:szCs w:val="18"/>
        </w:rPr>
        <w:t>DPA</w:t>
      </w:r>
      <w:r>
        <w:rPr>
          <w:rFonts w:ascii="Aptos" w:hAnsi="Aptos"/>
          <w:sz w:val="18"/>
          <w:szCs w:val="18"/>
        </w:rPr>
        <w:t xml:space="preserve">; </w:t>
      </w:r>
    </w:p>
    <w:p w14:paraId="7876877E" w14:textId="4C1D0349" w:rsidR="00B51744" w:rsidRPr="00E73CDB" w:rsidRDefault="00B51744" w:rsidP="00F914B9">
      <w:pPr>
        <w:pStyle w:val="Untitledsubclause2"/>
        <w:numPr>
          <w:ilvl w:val="2"/>
          <w:numId w:val="22"/>
        </w:numPr>
        <w:spacing w:line="240" w:lineRule="auto"/>
        <w:rPr>
          <w:rFonts w:ascii="Aptos" w:hAnsi="Aptos"/>
          <w:sz w:val="18"/>
          <w:szCs w:val="18"/>
        </w:rPr>
      </w:pPr>
      <w:r>
        <w:rPr>
          <w:rFonts w:ascii="Aptos" w:hAnsi="Aptos"/>
          <w:sz w:val="18"/>
          <w:szCs w:val="18"/>
        </w:rPr>
        <w:t xml:space="preserve">provide clear and sufficient information to Data Subjects, in accordance with the Applicable Data Protection Laws, including but not limited to, the purposes for which it will process their Personal Data, the legal basis for such purposes, the sharing of Shared Personal Data with recipients and such other information as is required by Applicable Data Protection Laws, save to the extent that an exemption from such transparency obligations applies under Applicable Data Protection Laws (including where the provision of such information to the Data Subject proves impossible or would involve a disproportionate effort, or would be likely to render impossible or seriously impair the achievement of the objectives of the Processing), in which case the Customer shall document its reliance on that exemption and take appropriate measures to protect the Data Subject’s rights, freedoms and legitimate interests;</w:t>
      </w:r>
    </w:p>
    <w:p w14:paraId="1859E1F2" w14:textId="3B88087B" w:rsidR="00B65059" w:rsidRDefault="00B65059" w:rsidP="00F914B9">
      <w:pPr>
        <w:pStyle w:val="Untitledsubclause2"/>
        <w:numPr>
          <w:ilvl w:val="2"/>
          <w:numId w:val="22"/>
        </w:numPr>
        <w:spacing w:line="240" w:lineRule="auto"/>
        <w:rPr>
          <w:rFonts w:ascii="Aptos" w:hAnsi="Aptos"/>
          <w:sz w:val="18"/>
          <w:szCs w:val="18"/>
        </w:rPr>
      </w:pPr>
      <w:bookmarkStart w:id="24" w:name="_Ref232712985"/>
      <w:r>
        <w:rPr>
          <w:rFonts w:ascii="Aptos" w:hAnsi="Aptos"/>
          <w:sz w:val="18"/>
          <w:szCs w:val="18"/>
        </w:rPr>
        <w:t xml:space="preserve">that taking into account the nature of processing and the information available to Satorus, the Customer shall use the Platform to assist itself in relation to responding to requests from a Data Subject under Applicable Data Protection Laws and in ensuring compliance with the Customer's obligations under Applicable Data Protection Laws with respect to security, Personal Data Breach notifications, data protection impact assessments and consultations with the Commissioner, Supervisory Authorities or other regulators;</w:t>
      </w:r>
      <w:bookmarkEnd w:id="24"/>
      <w:r>
        <w:rPr>
          <w:rFonts w:ascii="Aptos" w:hAnsi="Aptos"/>
          <w:sz w:val="18"/>
          <w:szCs w:val="18"/>
        </w:rPr>
        <w:t xml:space="preserve"> </w:t>
      </w:r>
    </w:p>
    <w:p w14:paraId="05F258B2" w14:textId="5AE4F7B0" w:rsidR="003F5F2C" w:rsidRPr="003F5F2C" w:rsidRDefault="003F5F2C" w:rsidP="003F5F2C">
      <w:pPr>
        <w:pStyle w:val="Untitledsubclause2"/>
        <w:rPr>
          <w:rFonts w:ascii="Aptos" w:hAnsi="Aptos"/>
          <w:sz w:val="18"/>
          <w:szCs w:val="18"/>
        </w:rPr>
      </w:pPr>
      <w:r>
        <w:rPr>
          <w:rFonts w:ascii="Aptos" w:hAnsi="Aptos"/>
          <w:sz w:val="18"/>
          <w:szCs w:val="18"/>
        </w:rPr>
        <w:t xml:space="preserve"> ensure that meaningful human review and intervention is applied to any decisions or actions taken based on the outputs of the Platform; </w:t>
      </w:r>
    </w:p>
    <w:p w14:paraId="1DAB466E" w14:textId="5C1F8D5A" w:rsidR="003F5F2C" w:rsidRDefault="003F5F2C" w:rsidP="003F5F2C">
      <w:pPr>
        <w:pStyle w:val="Untitledsubclause2"/>
        <w:rPr>
          <w:rFonts w:ascii="Aptos" w:hAnsi="Aptos"/>
          <w:sz w:val="18"/>
          <w:szCs w:val="18"/>
        </w:rPr>
      </w:pPr>
      <w:r>
        <w:rPr>
          <w:rFonts w:ascii="Aptos" w:hAnsi="Aptos"/>
          <w:sz w:val="18"/>
          <w:szCs w:val="18"/>
        </w:rPr>
        <w:lastRenderedPageBreak/>
        <w:t xml:space="preserve">maintain policies and procedures to ensure that decisions involving legal, financial, reputational, or other significant impacts on individuals or organisations are subject to meaningful human oversight and review;</w:t>
      </w:r>
    </w:p>
    <w:p w14:paraId="4EF39B1B" w14:textId="3F40145C" w:rsidR="00B51744" w:rsidRPr="00E73CDB" w:rsidRDefault="00B51744" w:rsidP="00F914B9">
      <w:pPr>
        <w:pStyle w:val="Untitledsubclause2"/>
        <w:numPr>
          <w:ilvl w:val="2"/>
          <w:numId w:val="22"/>
        </w:numPr>
        <w:spacing w:line="240" w:lineRule="auto"/>
        <w:rPr>
          <w:rFonts w:ascii="Aptos" w:hAnsi="Aptos"/>
          <w:sz w:val="18"/>
          <w:szCs w:val="18"/>
        </w:rPr>
      </w:pPr>
      <w:r>
        <w:rPr>
          <w:rFonts w:ascii="Aptos" w:hAnsi="Aptos"/>
          <w:sz w:val="18"/>
          <w:szCs w:val="18"/>
        </w:rPr>
        <w:t xml:space="preserve">provide such assistance as is reasonably required to enable Satorus to comply with Applicable Data Protection Laws in relation to any Shared Personal Data within the time limits imposed by the Data Protection Laws;</w:t>
      </w:r>
    </w:p>
    <w:p w14:paraId="14C36B57" w14:textId="4B01D513" w:rsidR="009371CE" w:rsidRPr="00E73CDB" w:rsidRDefault="009371CE" w:rsidP="00F914B9">
      <w:pPr>
        <w:pStyle w:val="Untitledsubclause2"/>
        <w:numPr>
          <w:ilvl w:val="2"/>
          <w:numId w:val="22"/>
        </w:numPr>
        <w:spacing w:line="240" w:lineRule="auto"/>
        <w:rPr>
          <w:rFonts w:ascii="Aptos" w:hAnsi="Aptos"/>
          <w:sz w:val="18"/>
          <w:szCs w:val="18"/>
        </w:rPr>
      </w:pPr>
      <w:r>
        <w:rPr>
          <w:rFonts w:ascii="Aptos" w:hAnsi="Aptos"/>
          <w:sz w:val="18"/>
          <w:szCs w:val="18"/>
        </w:rPr>
        <w:t xml:space="preserve">where the Customer provides Shared Personal Data to Satorus directly, only do so by using secure methods as agreed between the Parties; </w:t>
      </w:r>
    </w:p>
    <w:p w14:paraId="65419E77" w14:textId="6848BA9B" w:rsidR="009371CE" w:rsidRPr="00E73CDB" w:rsidRDefault="009371CE" w:rsidP="00F914B9">
      <w:pPr>
        <w:pStyle w:val="Untitledsubclause2"/>
        <w:numPr>
          <w:ilvl w:val="2"/>
          <w:numId w:val="22"/>
        </w:numPr>
        <w:spacing w:line="240" w:lineRule="auto"/>
        <w:rPr>
          <w:rFonts w:ascii="Aptos" w:hAnsi="Aptos"/>
          <w:sz w:val="18"/>
          <w:szCs w:val="18"/>
        </w:rPr>
      </w:pPr>
      <w:r>
        <w:rPr>
          <w:rFonts w:ascii="Aptos" w:hAnsi="Aptos"/>
          <w:sz w:val="18"/>
          <w:szCs w:val="18"/>
        </w:rPr>
        <w:t xml:space="preserve">have in place throughout the </w:t>
      </w:r>
      <w:r>
        <w:rPr>
          <w:rFonts w:ascii="Aptos" w:hAnsi="Aptos"/>
          <w:bCs/>
          <w:sz w:val="18"/>
          <w:szCs w:val="18"/>
        </w:rPr>
        <w:t xml:space="preserve">Term, </w:t>
      </w:r>
      <w:r>
        <w:rPr>
          <w:rFonts w:ascii="Aptos" w:hAnsi="Aptos"/>
          <w:sz w:val="18"/>
          <w:szCs w:val="18"/>
        </w:rPr>
        <w:t xml:space="preserve">appropriate technical and organisational security measures to prevent unauthorised or unlawful Processing of the Shared Personal Data or the accidental loss or destruction of, or damage to Shared Personal Data; </w:t>
      </w:r>
    </w:p>
    <w:p w14:paraId="451A94CD" w14:textId="07144C55" w:rsidR="009371CE" w:rsidRPr="00E73CDB" w:rsidRDefault="009371CE" w:rsidP="009371CE">
      <w:pPr>
        <w:pStyle w:val="Untitledsubclause2"/>
        <w:rPr>
          <w:rFonts w:ascii="Aptos" w:hAnsi="Aptos"/>
          <w:sz w:val="18"/>
          <w:szCs w:val="18"/>
        </w:rPr>
      </w:pPr>
      <w:r>
        <w:rPr>
          <w:rFonts w:ascii="Aptos" w:hAnsi="Aptos"/>
          <w:sz w:val="18"/>
          <w:szCs w:val="18"/>
        </w:rPr>
        <w:t xml:space="preserve">comply with its obligations to report a Personal Data Breach to the Information Commissioner or any Supervisory Authority and/or Data Subjects under Applicable Data Protection Laws and shall inform the Satorus of any Personal Data Breach; </w:t>
      </w:r>
    </w:p>
    <w:p w14:paraId="2CA66CFB" w14:textId="5513B6A7" w:rsidR="00F232A3" w:rsidRPr="00F232A3" w:rsidRDefault="009371CE" w:rsidP="00F232A3">
      <w:pPr>
        <w:pStyle w:val="Untitledsubclause2"/>
        <w:rPr>
          <w:rFonts w:ascii="Aptos" w:hAnsi="Aptos"/>
          <w:sz w:val="18"/>
          <w:szCs w:val="18"/>
        </w:rPr>
      </w:pPr>
      <w:r>
        <w:rPr>
          <w:rFonts w:ascii="Aptos" w:hAnsi="Aptos"/>
          <w:sz w:val="18"/>
          <w:szCs w:val="18"/>
        </w:rPr>
        <w:t xml:space="preserve">provide reasonable assistance as is requested by Satorus to facilitate the handling of any Personal Data Breach in an expeditious and compliant manner; and </w:t>
      </w:r>
    </w:p>
    <w:p w14:paraId="3D60DCF7" w14:textId="70273EF0" w:rsidR="00746829" w:rsidRPr="00E73CDB" w:rsidRDefault="00CE739D" w:rsidP="00F914B9">
      <w:pPr>
        <w:pStyle w:val="Untitledsubclause2"/>
        <w:numPr>
          <w:ilvl w:val="2"/>
          <w:numId w:val="22"/>
        </w:numPr>
        <w:spacing w:line="240" w:lineRule="auto"/>
        <w:rPr>
          <w:rFonts w:ascii="Aptos" w:hAnsi="Aptos"/>
          <w:sz w:val="18"/>
          <w:szCs w:val="18"/>
        </w:rPr>
      </w:pPr>
      <w:r>
        <w:rPr>
          <w:rFonts w:ascii="Aptos" w:hAnsi="Aptos"/>
          <w:sz w:val="18"/>
          <w:szCs w:val="18"/>
        </w:rPr>
        <w:t xml:space="preserve">ensure that any Shared Personal Data which the Customer itself provides or transfers to Satorus is accurate at the time of transfer. </w:t>
      </w:r>
    </w:p>
    <w:p w14:paraId="1F833054" w14:textId="080B4F49" w:rsidR="00E45C2E" w:rsidRPr="00E73CDB" w:rsidRDefault="000D7269" w:rsidP="00F914B9">
      <w:pPr>
        <w:pStyle w:val="TitleClause"/>
        <w:numPr>
          <w:ilvl w:val="0"/>
          <w:numId w:val="22"/>
        </w:numPr>
        <w:spacing w:line="240" w:lineRule="auto"/>
        <w:rPr>
          <w:rFonts w:ascii="Aptos" w:hAnsi="Aptos"/>
          <w:color w:val="009999"/>
          <w:sz w:val="18"/>
          <w:szCs w:val="18"/>
        </w:rPr>
      </w:pPr>
      <w:bookmarkStart w:id="25" w:name="a540433"/>
      <w:r>
        <w:rPr>
          <w:rFonts w:ascii="Aptos" w:hAnsi="Aptos"/>
          <w:color w:val="009999"/>
          <w:sz w:val="18"/>
          <w:szCs w:val="18"/>
        </w:rPr>
        <w:t xml:space="preserve">INTERNATIONAL DATA TRANSFERS </w:t>
      </w:r>
    </w:p>
    <w:p w14:paraId="6A401610" w14:textId="11976238" w:rsidR="003D202A" w:rsidRPr="00E73CDB" w:rsidRDefault="00C422E8" w:rsidP="00F914B9">
      <w:pPr>
        <w:pStyle w:val="Untitledsubclause1"/>
        <w:numPr>
          <w:ilvl w:val="1"/>
          <w:numId w:val="22"/>
        </w:numPr>
        <w:spacing w:line="240" w:lineRule="auto"/>
        <w:rPr>
          <w:rFonts w:ascii="Aptos" w:hAnsi="Aptos"/>
          <w:sz w:val="18"/>
          <w:szCs w:val="18"/>
        </w:rPr>
      </w:pPr>
      <w:r>
        <w:rPr>
          <w:rFonts w:ascii="Aptos" w:hAnsi="Aptos"/>
          <w:sz w:val="18"/>
          <w:szCs w:val="18"/>
        </w:rPr>
        <w:t xml:space="preserve">In relation to Shared Personal Data Processed for the purposes of Services, Satorus shall not transfer any Shared Personal Data outside of the European Economic Area or the United Kingdom without ensuring appropriate safeguards in respect of such transfer in accordance with Applicable </w:t>
      </w:r>
      <w:sdt>
        <w:sdtPr>
          <w:rPr>
            <w:rFonts w:ascii="Aptos" w:hAnsi="Aptos"/>
            <w:sz w:val="18"/>
            <w:szCs w:val="18"/>
          </w:rPr>
          <w:tag w:val="goog_rdk_62"/>
          <w:id w:val="1965230762"/>
        </w:sdtPr>
        <w:sdtContent/>
      </w:sdt>
      <w:sdt>
        <w:sdtPr>
          <w:rPr>
            <w:rFonts w:ascii="Aptos" w:hAnsi="Aptos"/>
            <w:sz w:val="18"/>
            <w:szCs w:val="18"/>
          </w:rPr>
          <w:tag w:val="goog_rdk_63"/>
          <w:id w:val="1426375088"/>
        </w:sdtPr>
        <w:sdtContent>
          <w:r>
            <w:rPr>
              <w:rFonts w:ascii="Aptos" w:hAnsi="Aptos"/>
              <w:sz w:val="18"/>
              <w:szCs w:val="18"/>
            </w:rPr>
            <w:t>D</w:t>
          </w:r>
        </w:sdtContent>
      </w:sdt>
      <w:r>
        <w:rPr>
          <w:rFonts w:ascii="Aptos" w:hAnsi="Aptos"/>
          <w:sz w:val="18"/>
          <w:szCs w:val="18"/>
        </w:rPr>
        <w:t xml:space="preserve">ata </w:t>
      </w:r>
      <w:sdt>
        <w:sdtPr>
          <w:rPr>
            <w:rFonts w:ascii="Aptos" w:hAnsi="Aptos"/>
            <w:sz w:val="18"/>
            <w:szCs w:val="18"/>
          </w:rPr>
          <w:tag w:val="goog_rdk_64"/>
          <w:id w:val="-582911359"/>
        </w:sdtPr>
        <w:sdtContent/>
      </w:sdt>
      <w:sdt>
        <w:sdtPr>
          <w:rPr>
            <w:rFonts w:ascii="Aptos" w:hAnsi="Aptos"/>
            <w:sz w:val="18"/>
            <w:szCs w:val="18"/>
          </w:rPr>
          <w:tag w:val="goog_rdk_65"/>
          <w:id w:val="290320398"/>
        </w:sdtPr>
        <w:sdtContent>
          <w:r>
            <w:rPr>
              <w:rFonts w:ascii="Aptos" w:hAnsi="Aptos"/>
              <w:sz w:val="18"/>
              <w:szCs w:val="18"/>
            </w:rPr>
            <w:t>P</w:t>
          </w:r>
        </w:sdtContent>
      </w:sdt>
      <w:r>
        <w:rPr>
          <w:rFonts w:ascii="Aptos" w:hAnsi="Aptos"/>
          <w:sz w:val="18"/>
          <w:szCs w:val="18"/>
        </w:rPr>
        <w:t xml:space="preserve">rotection Laws. </w:t>
      </w:r>
    </w:p>
    <w:p w14:paraId="6B071483" w14:textId="4E524BA3" w:rsidR="00215F11" w:rsidRPr="00E73CDB" w:rsidRDefault="003D202A" w:rsidP="00F914B9">
      <w:pPr>
        <w:pStyle w:val="Untitledsubclause1"/>
        <w:numPr>
          <w:ilvl w:val="1"/>
          <w:numId w:val="22"/>
        </w:numPr>
        <w:spacing w:line="240" w:lineRule="auto"/>
        <w:rPr>
          <w:rFonts w:ascii="Aptos" w:hAnsi="Aptos"/>
          <w:sz w:val="18"/>
          <w:szCs w:val="18"/>
        </w:rPr>
      </w:pPr>
      <w:r>
        <w:rPr>
          <w:rFonts w:ascii="Aptos" w:hAnsi="Aptos"/>
          <w:sz w:val="18"/>
          <w:szCs w:val="18"/>
        </w:rPr>
        <w:t xml:space="preserve">Where applicable to the transfer of Shared Personal Data from the Customer to Satorus, in relation to Shared Personal Data Processed for the purposes of the Services, Satorus is hereby authorised by the Customer to transfer Shared Personal Data outside of the European Economic Area and/or the United Kingdom (where applicable) and the terms of the EU Standard Contractual Clauses, the UK Addendum to the EU Standard Contractual Clauses and UK International Data Transfer Agreement are completed as set out in </w:t>
        <w:fldChar w:fldCharType="begin"/>
        <w:instrText xml:space="preserve"> REF _Ref185248749 \r \h </w:instrText>
        <w:instrText xml:space="preserve"> \* MERGEFORMAT </w:instrText>
        <w:fldChar w:fldCharType="separate"/>
        <w:t>ANNEX B</w:t>
        <w:fldChar w:fldCharType="end"/>
        <w:t xml:space="preserve"> to this </w:t>
      </w:r>
      <w:r>
        <w:rPr>
          <w:rFonts w:ascii="Aptos" w:hAnsi="Aptos"/>
          <w:bCs/>
          <w:sz w:val="18"/>
          <w:szCs w:val="18"/>
        </w:rPr>
        <w:t>DPA</w:t>
      </w:r>
      <w:r>
        <w:rPr>
          <w:rFonts w:ascii="Aptos" w:hAnsi="Aptos"/>
          <w:sz w:val="18"/>
          <w:szCs w:val="18"/>
        </w:rPr>
        <w:t xml:space="preserve"> and apply as where applicable to the transfer of Shared Personal Data.</w:t>
      </w:r>
    </w:p>
    <w:p w14:paraId="31A8796C" w14:textId="77777777" w:rsidR="003D202A" w:rsidRPr="00E73CDB" w:rsidRDefault="003D202A" w:rsidP="00F914B9">
      <w:pPr>
        <w:pStyle w:val="TitleClause"/>
        <w:numPr>
          <w:ilvl w:val="0"/>
          <w:numId w:val="22"/>
        </w:numPr>
        <w:spacing w:line="240" w:lineRule="auto"/>
        <w:rPr>
          <w:rFonts w:ascii="Aptos" w:hAnsi="Aptos"/>
          <w:color w:val="009999"/>
          <w:sz w:val="18"/>
          <w:szCs w:val="18"/>
        </w:rPr>
      </w:pPr>
      <w:bookmarkStart w:id="26" w:name="_Ref185282305"/>
      <w:bookmarkStart w:id="27" w:name="a816326"/>
      <w:bookmarkEnd w:id="25"/>
      <w:r>
        <w:rPr>
          <w:rFonts w:ascii="Aptos" w:hAnsi="Aptos"/>
          <w:color w:val="009999"/>
          <w:sz w:val="18"/>
          <w:szCs w:val="18"/>
        </w:rPr>
        <w:t>SUB-PROCESSORS</w:t>
      </w:r>
      <w:bookmarkEnd w:id="26"/>
      <w:r>
        <w:rPr>
          <w:rFonts w:ascii="Aptos" w:hAnsi="Aptos"/>
          <w:color w:val="009999"/>
          <w:sz w:val="18"/>
          <w:szCs w:val="18"/>
        </w:rPr>
        <w:t xml:space="preserve"> </w:t>
      </w:r>
    </w:p>
    <w:p w14:paraId="2746F56C" w14:textId="1571242A" w:rsidR="003D202A" w:rsidRPr="00E73CDB" w:rsidRDefault="000348D1" w:rsidP="00AE68A9">
      <w:pPr>
        <w:pStyle w:val="Untitledsubclause1"/>
        <w:spacing w:line="240" w:lineRule="auto"/>
        <w:rPr>
          <w:rFonts w:ascii="Aptos" w:hAnsi="Aptos"/>
          <w:sz w:val="18"/>
          <w:szCs w:val="18"/>
        </w:rPr>
      </w:pPr>
      <w:r>
        <w:rPr>
          <w:rFonts w:ascii="Aptos" w:hAnsi="Aptos"/>
          <w:sz w:val="18"/>
          <w:szCs w:val="18"/>
        </w:rPr>
        <w:t xml:space="preserve">In relation to Shared Personal Data Processed for the purposes of the Services, the Customer hereby provides its authorisation for Satorus to engage other Processors identified in </w:t>
        <w:fldChar w:fldCharType="begin"/>
        <w:instrText xml:space="preserve"> REF _Ref185276088 \r \h </w:instrText>
        <w:instrText xml:space="preserve"> \* MERGEFORMAT </w:instrText>
        <w:fldChar w:fldCharType="separate"/>
        <w:t>Part 5</w:t>
        <w:fldChar w:fldCharType="end"/>
        <w:t xml:space="preserve"> of </w:t>
        <w:fldChar w:fldCharType="begin"/>
        <w:instrText xml:space="preserve"> REF _Ref185254848 \r \h </w:instrText>
        <w:instrText xml:space="preserve"> \* MERGEFORMAT </w:instrText>
        <w:fldChar w:fldCharType="separate"/>
        <w:t>ANNEX A</w:t>
        <w:fldChar w:fldCharType="end"/>
        <w:t xml:space="preserve"> (“</w:t>
      </w:r>
      <w:r>
        <w:rPr>
          <w:rFonts w:ascii="Aptos" w:hAnsi="Aptos"/>
          <w:b/>
          <w:bCs/>
          <w:sz w:val="18"/>
          <w:szCs w:val="18"/>
        </w:rPr>
        <w:t>Sub-Processors</w:t>
      </w:r>
      <w:r>
        <w:rPr>
          <w:rFonts w:ascii="Aptos" w:hAnsi="Aptos"/>
          <w:sz w:val="18"/>
          <w:szCs w:val="18"/>
        </w:rPr>
        <w:t xml:space="preserve">”) as well as its Group Companies to carry out Processing activities on behalf of Customer and Process the Shared Personal Data. Satorus shall inform the Customer of any intended changes concerning the addition or replacement of such Sub-Processors listed in </w:t>
        <w:fldChar w:fldCharType="begin"/>
        <w:instrText xml:space="preserve"> REF _Ref185254848 \r \h </w:instrText>
        <w:instrText xml:space="preserve"> \* MERGEFORMAT </w:instrText>
        <w:fldChar w:fldCharType="separate"/>
        <w:t>ANNEX A</w:t>
        <w:fldChar w:fldCharType="end"/>
        <w:t xml:space="preserve"> and if within 7 Business Days of receipt of that notice, the Customer notifies Satorus in writing of a reasonable objection to such changes, thereby giving the Customer the opportunity to object to such changes, provided that if the Customer objects to the changes, it can demonstrate, to the Satorus’ reasonable satisfaction, that: </w:t>
      </w:r>
    </w:p>
    <w:p w14:paraId="6841EF82" w14:textId="0B04A959" w:rsidR="003D202A" w:rsidRPr="00E73CDB" w:rsidRDefault="003D202A" w:rsidP="00AE68A9">
      <w:pPr>
        <w:pStyle w:val="Untitledsubclause2"/>
        <w:spacing w:line="240" w:lineRule="auto"/>
        <w:rPr>
          <w:rFonts w:ascii="Aptos" w:hAnsi="Aptos"/>
          <w:sz w:val="18"/>
          <w:szCs w:val="18"/>
        </w:rPr>
      </w:pPr>
      <w:r>
        <w:rPr>
          <w:rFonts w:ascii="Aptos" w:hAnsi="Aptos"/>
          <w:sz w:val="18"/>
          <w:szCs w:val="18"/>
        </w:rPr>
        <w:t xml:space="preserve">the objection is due to an actual or likely breach of Applicable Data Protection Laws; and</w:t>
      </w:r>
    </w:p>
    <w:p w14:paraId="448E4A6C" w14:textId="286B8638" w:rsidR="003D202A" w:rsidRPr="00E73CDB" w:rsidRDefault="003D202A" w:rsidP="00AE68A9">
      <w:pPr>
        <w:pStyle w:val="Untitledsubclause2"/>
        <w:spacing w:line="240" w:lineRule="auto"/>
        <w:rPr>
          <w:rFonts w:ascii="Aptos" w:hAnsi="Aptos"/>
          <w:sz w:val="18"/>
          <w:szCs w:val="18"/>
        </w:rPr>
      </w:pPr>
      <w:r>
        <w:rPr>
          <w:rFonts w:ascii="Aptos" w:hAnsi="Aptos"/>
          <w:sz w:val="18"/>
          <w:szCs w:val="18"/>
        </w:rPr>
        <w:t xml:space="preserve">the Customer is acting reasonably and in good faith.  </w:t>
      </w:r>
    </w:p>
    <w:p w14:paraId="21C9DA84" w14:textId="56FA51DC" w:rsidR="003D202A" w:rsidRPr="00E73CDB" w:rsidRDefault="001B4134" w:rsidP="00AE68A9">
      <w:pPr>
        <w:pStyle w:val="Untitledsubclause1"/>
        <w:spacing w:line="240" w:lineRule="auto"/>
        <w:rPr>
          <w:rFonts w:ascii="Aptos" w:hAnsi="Aptos"/>
          <w:sz w:val="18"/>
          <w:szCs w:val="18"/>
        </w:rPr>
      </w:pPr>
      <w:r>
        <w:rPr>
          <w:rFonts w:ascii="Aptos" w:hAnsi="Aptos"/>
          <w:sz w:val="18"/>
          <w:szCs w:val="18"/>
        </w:rPr>
        <w:t xml:space="preserve">Satorus shall use reasonable efforts to address the Customer’s objection or recommend a commercially reasonable change to the Customer’s use of the Services to avoid Processing of Shared Personal Data by the objected-to new processor. After this process, if a resolution has not been agreed to within 7 Business Days, Satorus will proceed with engaging the new Processor.    </w:t>
      </w:r>
    </w:p>
    <w:p w14:paraId="6D99E8A3" w14:textId="292BF63A" w:rsidR="00BD7FC8" w:rsidRPr="00E73CDB" w:rsidRDefault="003D202A" w:rsidP="00F914B9">
      <w:pPr>
        <w:pStyle w:val="Untitledsubclause1"/>
        <w:spacing w:line="240" w:lineRule="auto"/>
        <w:rPr>
          <w:rFonts w:ascii="Aptos" w:hAnsi="Aptos"/>
          <w:sz w:val="18"/>
          <w:szCs w:val="18"/>
        </w:rPr>
      </w:pPr>
      <w:r>
        <w:rPr>
          <w:rFonts w:ascii="Aptos" w:hAnsi="Aptos"/>
          <w:sz w:val="18"/>
          <w:szCs w:val="18"/>
        </w:rPr>
        <w:t xml:space="preserve">Where Satorus engages a Sub-Processor for carrying out specific processing activities on behalf of Customer, materially equivalent data protection obligations as set out herein shall be imposed on that Sub-Processor, in particular providing sufficient guarantees to implement appropriate technical and organisational measures in such a manner that the Processing will meet the requirements of Applicable Data Protection Laws.</w:t>
      </w:r>
    </w:p>
    <w:p w14:paraId="7823213D" w14:textId="77983C7D" w:rsidR="00746829" w:rsidRDefault="003D202A" w:rsidP="00424188">
      <w:pPr>
        <w:pStyle w:val="Untitledsubclause1"/>
        <w:spacing w:line="240" w:lineRule="auto"/>
        <w:rPr>
          <w:rFonts w:ascii="Aptos" w:hAnsi="Aptos"/>
          <w:sz w:val="18"/>
          <w:szCs w:val="18"/>
        </w:rPr>
      </w:pPr>
      <w:r>
        <w:rPr>
          <w:rFonts w:ascii="Aptos" w:hAnsi="Aptos"/>
          <w:sz w:val="18"/>
          <w:szCs w:val="18"/>
        </w:rPr>
        <w:t xml:space="preserve">Where that Sub-Processor fails to fulfil its materially equivalent data protection obligations imposed by Satorus on that Sub-Processor, subject to the limitations and exclusions of liability set out herein, Satorus shall remain fully liable to Customer for the performance of that Sub-Processor’s materially equivalent data protection obligations subject to the limitations set out in this DPA.</w:t>
      </w:r>
      <w:bookmarkEnd w:id="27"/>
    </w:p>
    <w:p>
      <w:pPr>
        <w:pStyle w:val="Untitledsubclause1"/>
        <w:spacing w:line="240" w:lineRule="auto"/>
        <w:rPr>
          <w:rFonts w:ascii="Aptos" w:hAnsi="Aptos"/>
          <w:sz w:val="18"/>
          <w:szCs w:val="18"/>
        </w:rPr>
      </w:pPr>
      <w:r>
        <w:rPr>
          <w:rFonts w:ascii="Aptos" w:hAnsi="Aptos"/>
          <w:sz w:val="18"/>
          <w:szCs w:val="18"/>
        </w:rPr>
        <w:t xml:space="preserve">The Customer acknowledges and agrees that the Other Organisations identified in Part 5 of ANNEX A act as independent Controllers in respect of their Processing of Personal Data and do not Process Shared Personal Data on behalf of the Customer. The Customer hereby instructs and authorises Satorus to disclose Shared Personal Data to such Other Organisations to the extent necessary for the provision of the Services. The obligations in this paragraph relating to Sub-Processors, including the imposition of materially equivalent data protection obligations and Satorus’ liability for the performance of Sub-Processors, shall not apply to Other Organisations acting as independent Controllers.</w:t>
      </w:r>
    </w:p>
    <w:p>
      <w:pPr>
        <w:pStyle w:val="Untitledsubclause1"/>
        <w:spacing w:line="240" w:lineRule="auto"/>
        <w:rPr>
          <w:rFonts w:ascii="Aptos" w:hAnsi="Aptos"/>
          <w:sz w:val="18"/>
          <w:szCs w:val="18"/>
        </w:rPr>
      </w:pPr>
      <w:r>
        <w:rPr>
          <w:rFonts w:ascii="Aptos" w:hAnsi="Aptos"/>
          <w:sz w:val="18"/>
          <w:szCs w:val="18"/>
        </w:rPr>
        <w:t xml:space="preserve">The Customer acknowledges that the identity of the Sub-Processors and Other Organisations, and the descriptions of their processing activities, set out in Part 5 of ANNEX A constitute Confidential Information of Satorus. The Customer may use and disclose such information solely for the purposes of its compliance with Applicable Data Protection Laws and its own vendor due diligence.</w:t>
      </w:r>
    </w:p>
    <w:p w14:paraId="3868F8FE" w14:textId="53B2732F" w:rsidR="00424188" w:rsidRPr="009E5A66" w:rsidRDefault="009E5A66" w:rsidP="00424188">
      <w:pPr>
        <w:pStyle w:val="TitleClause"/>
        <w:rPr>
          <w:rFonts w:ascii="Aptos" w:hAnsi="Aptos"/>
          <w:color w:val="009999"/>
          <w:sz w:val="18"/>
          <w:szCs w:val="18"/>
        </w:rPr>
      </w:pPr>
      <w:r>
        <w:rPr>
          <w:rFonts w:ascii="Aptos" w:hAnsi="Aptos"/>
          <w:color w:val="009999"/>
          <w:sz w:val="18"/>
          <w:szCs w:val="18"/>
        </w:rPr>
        <w:lastRenderedPageBreak/>
        <w:t xml:space="preserve">LIMITATIONS ON LIABILITY </w:t>
      </w:r>
    </w:p>
    <w:p w14:paraId="42236413" w14:textId="0765E630" w:rsidR="009E5A66" w:rsidRPr="009E5A66" w:rsidRDefault="009E5A66" w:rsidP="009E5A66">
      <w:pPr>
        <w:pStyle w:val="Untitledsubclause1"/>
        <w:rPr>
          <w:rFonts w:ascii="Aptos" w:hAnsi="Aptos"/>
          <w:sz w:val="18"/>
          <w:szCs w:val="18"/>
        </w:rPr>
      </w:pPr>
      <w:r>
        <w:rPr>
          <w:rFonts w:ascii="Aptos" w:hAnsi="Aptos"/>
          <w:sz w:val="18"/>
          <w:szCs w:val="18"/>
        </w:rPr>
        <w:t xml:space="preserve">This Clause sets out the entire financial liability of </w:t>
      </w:r>
      <w:r>
        <w:rPr>
          <w:rFonts w:ascii="Aptos" w:hAnsi="Aptos"/>
          <w:bCs/>
          <w:sz w:val="18"/>
          <w:szCs w:val="18"/>
        </w:rPr>
        <w:t>Satorus under this DPA</w:t>
      </w:r>
      <w:r>
        <w:rPr>
          <w:rFonts w:ascii="Aptos" w:hAnsi="Aptos"/>
          <w:b/>
          <w:sz w:val="18"/>
          <w:szCs w:val="18"/>
        </w:rPr>
        <w:t xml:space="preserve"> </w:t>
      </w:r>
      <w:r>
        <w:rPr>
          <w:rFonts w:ascii="Aptos" w:hAnsi="Aptos"/>
          <w:sz w:val="18"/>
          <w:szCs w:val="18"/>
        </w:rPr>
        <w:t>(including any liability for the acts or omissions of its employees, agents and sub-contractors) to the Customer:</w:t>
      </w:r>
    </w:p>
    <w:p w14:paraId="62C2F43B" w14:textId="0B89ACBB" w:rsidR="009E5A66" w:rsidRPr="009E5A66" w:rsidRDefault="009E5A66" w:rsidP="009E5A66">
      <w:pPr>
        <w:pStyle w:val="Untitledsubclause2"/>
        <w:rPr>
          <w:rFonts w:ascii="Aptos" w:hAnsi="Aptos"/>
          <w:sz w:val="18"/>
          <w:szCs w:val="18"/>
        </w:rPr>
      </w:pPr>
      <w:r>
        <w:rPr>
          <w:rFonts w:ascii="Aptos" w:hAnsi="Aptos"/>
          <w:sz w:val="18"/>
          <w:szCs w:val="18"/>
        </w:rPr>
        <w:t>arising under or in connection with this DPA;</w:t>
      </w:r>
    </w:p>
    <w:p w14:paraId="6C2078A3" w14:textId="6B3C6F17" w:rsidR="009E5A66" w:rsidRPr="009E5A66" w:rsidRDefault="009E5A66" w:rsidP="009E5A66">
      <w:pPr>
        <w:pStyle w:val="Untitledsubclause2"/>
        <w:rPr>
          <w:rFonts w:ascii="Aptos" w:hAnsi="Aptos"/>
          <w:sz w:val="18"/>
          <w:szCs w:val="18"/>
        </w:rPr>
      </w:pPr>
      <w:r>
        <w:rPr>
          <w:rFonts w:ascii="Aptos" w:hAnsi="Aptos"/>
          <w:sz w:val="18"/>
          <w:szCs w:val="18"/>
        </w:rPr>
        <w:t>in respect of any use made by the Customer of the Services or any part of them; and</w:t>
      </w:r>
    </w:p>
    <w:p w14:paraId="34C0F310" w14:textId="3CC74300" w:rsidR="009E5A66" w:rsidRPr="009E5A66" w:rsidRDefault="009E5A66" w:rsidP="009E5A66">
      <w:pPr>
        <w:pStyle w:val="Untitledsubclause2"/>
        <w:rPr>
          <w:rFonts w:ascii="Aptos" w:hAnsi="Aptos"/>
          <w:sz w:val="18"/>
          <w:szCs w:val="18"/>
        </w:rPr>
      </w:pPr>
      <w:r>
        <w:rPr>
          <w:rFonts w:ascii="Aptos" w:hAnsi="Aptos"/>
          <w:sz w:val="18"/>
          <w:szCs w:val="18"/>
        </w:rPr>
        <w:t>in respect of any representation, statement or tortious act or omission (including negligence) arising under or in connection with this DPA.</w:t>
      </w:r>
    </w:p>
    <w:p w14:paraId="69396B60" w14:textId="1C660509" w:rsidR="009E5A66" w:rsidRPr="009E5A66" w:rsidRDefault="009E5A66" w:rsidP="009E5A66">
      <w:pPr>
        <w:pStyle w:val="Untitledsubclause1"/>
        <w:rPr>
          <w:rFonts w:ascii="Aptos" w:hAnsi="Aptos"/>
          <w:sz w:val="18"/>
          <w:szCs w:val="18"/>
        </w:rPr>
      </w:pPr>
      <w:bookmarkStart w:id="28" w:name="_Ref232708781"/>
      <w:r>
        <w:rPr>
          <w:rFonts w:ascii="Aptos" w:hAnsi="Aptos"/>
          <w:sz w:val="18"/>
          <w:szCs w:val="18"/>
        </w:rPr>
        <w:t>Except as expressly and specifically provided in this DPA:</w:t>
      </w:r>
      <w:bookmarkEnd w:id="28"/>
    </w:p>
    <w:p w14:paraId="5AD9356A" w14:textId="2ECF2FB4" w:rsidR="009E5A66" w:rsidRPr="009E5A66" w:rsidRDefault="009E5A66" w:rsidP="009E5A66">
      <w:pPr>
        <w:pStyle w:val="Untitledsubclause2"/>
        <w:rPr>
          <w:rFonts w:ascii="Aptos" w:hAnsi="Aptos"/>
          <w:sz w:val="18"/>
          <w:szCs w:val="18"/>
        </w:rPr>
      </w:pPr>
      <w:r>
        <w:rPr>
          <w:rFonts w:ascii="Aptos" w:hAnsi="Aptos"/>
          <w:sz w:val="18"/>
          <w:szCs w:val="18"/>
        </w:rPr>
        <w:t>the Customer assumes sole responsibility for results obtained from the use of the Services by the Customer, and for conclusions drawn from such use. Satorus shall have no liability for any damage caused by errors or omissions in any information, instructions or scripts provided to Satorus by the Customer in connection with the Services, or any actions taken by Satorus at the Customer's direction;</w:t>
      </w:r>
    </w:p>
    <w:p w14:paraId="112633BA" w14:textId="68CA75C2" w:rsidR="009E5A66" w:rsidRPr="009E5A66" w:rsidRDefault="009E5A66" w:rsidP="009E5A66">
      <w:pPr>
        <w:pStyle w:val="Untitledsubclause2"/>
        <w:rPr>
          <w:rFonts w:ascii="Aptos" w:hAnsi="Aptos"/>
          <w:sz w:val="18"/>
          <w:szCs w:val="18"/>
        </w:rPr>
      </w:pPr>
      <w:r>
        <w:rPr>
          <w:rFonts w:ascii="Aptos" w:hAnsi="Aptos"/>
          <w:sz w:val="18"/>
          <w:szCs w:val="18"/>
        </w:rPr>
        <w:t>all warranties, representations, conditions and all other terms of any kind whatsoever implied by statute or common law are, to the fullest extent permitted by applicable law, excluded from this DPA; and</w:t>
      </w:r>
    </w:p>
    <w:p w14:paraId="019B1FBF" w14:textId="7FB0703F" w:rsidR="009E5A66" w:rsidRPr="009E5A66" w:rsidRDefault="009E5A66" w:rsidP="009E5A66">
      <w:pPr>
        <w:pStyle w:val="Untitledsubclause2"/>
        <w:rPr>
          <w:rFonts w:ascii="Aptos" w:hAnsi="Aptos"/>
          <w:sz w:val="18"/>
          <w:szCs w:val="18"/>
        </w:rPr>
      </w:pPr>
      <w:r>
        <w:rPr>
          <w:rFonts w:ascii="Aptos" w:hAnsi="Aptos"/>
          <w:sz w:val="18"/>
          <w:szCs w:val="18"/>
        </w:rPr>
        <w:t xml:space="preserve">the Services are provided to the Customer on an "as is" basis. </w:t>
      </w:r>
    </w:p>
    <w:p w14:paraId="02B24BFE" w14:textId="1850C0DC" w:rsidR="009E5A66" w:rsidRPr="009E5A66" w:rsidRDefault="009E5A66" w:rsidP="009E5A66">
      <w:pPr>
        <w:pStyle w:val="Untitledsubclause1"/>
        <w:rPr>
          <w:rFonts w:ascii="Aptos" w:hAnsi="Aptos"/>
          <w:sz w:val="18"/>
          <w:szCs w:val="18"/>
        </w:rPr>
      </w:pPr>
      <w:bookmarkStart w:id="29" w:name="_Ref232708784"/>
      <w:r>
        <w:rPr>
          <w:rFonts w:ascii="Aptos" w:hAnsi="Aptos"/>
          <w:sz w:val="18"/>
          <w:szCs w:val="18"/>
        </w:rPr>
        <w:t xml:space="preserve">Nothing in this DPA excludes the liability of Satorus:</w:t>
      </w:r>
      <w:bookmarkEnd w:id="29"/>
    </w:p>
    <w:p w14:paraId="0D19F8B6" w14:textId="575BFBF7" w:rsidR="009E5A66" w:rsidRPr="009E5A66" w:rsidRDefault="009E5A66" w:rsidP="009E5A66">
      <w:pPr>
        <w:pStyle w:val="Untitledsubclause2"/>
        <w:rPr>
          <w:rFonts w:ascii="Aptos" w:hAnsi="Aptos"/>
          <w:sz w:val="18"/>
          <w:szCs w:val="18"/>
        </w:rPr>
      </w:pPr>
      <w:r>
        <w:rPr>
          <w:rFonts w:ascii="Aptos" w:hAnsi="Aptos"/>
          <w:sz w:val="18"/>
          <w:szCs w:val="18"/>
        </w:rPr>
        <w:t>for death or personal injury caused by the Satorus’ negligence; or</w:t>
      </w:r>
    </w:p>
    <w:p w14:paraId="386722C1" w14:textId="1E3850AD" w:rsidR="009E5A66" w:rsidRPr="009E5A66" w:rsidRDefault="009E5A66" w:rsidP="009E5A66">
      <w:pPr>
        <w:pStyle w:val="Untitledsubclause2"/>
        <w:rPr>
          <w:rFonts w:ascii="Aptos" w:hAnsi="Aptos"/>
          <w:sz w:val="18"/>
          <w:szCs w:val="18"/>
        </w:rPr>
      </w:pPr>
      <w:r>
        <w:rPr>
          <w:rFonts w:ascii="Aptos" w:hAnsi="Aptos"/>
          <w:sz w:val="18"/>
          <w:szCs w:val="18"/>
        </w:rPr>
        <w:t>for fraud or fraudulent misrepresentation.</w:t>
      </w:r>
    </w:p>
    <w:p w14:paraId="67AD1F44" w14:textId="48C51200" w:rsidR="009E5A66" w:rsidRPr="009E5A66" w:rsidRDefault="009E5A66" w:rsidP="009E5A66">
      <w:pPr>
        <w:pStyle w:val="Untitledsubclause1"/>
        <w:rPr>
          <w:rFonts w:ascii="Aptos" w:hAnsi="Aptos"/>
          <w:sz w:val="18"/>
          <w:szCs w:val="18"/>
        </w:rPr>
      </w:pPr>
      <w:r>
        <w:rPr>
          <w:rFonts w:ascii="Aptos" w:hAnsi="Aptos"/>
          <w:sz w:val="18"/>
          <w:szCs w:val="18"/>
        </w:rPr>
        <w:t xml:space="preserve">Subject to Clauses </w:t>
        <w:fldChar w:fldCharType="begin"/>
        <w:instrText xml:space="preserve"> REF _Ref232708781 \r \h </w:instrText>
        <w:fldChar w:fldCharType="separate"/>
        <w:t>8.2</w:t>
        <w:fldChar w:fldCharType="end"/>
        <w:t xml:space="preserve"> and </w:t>
        <w:fldChar w:fldCharType="begin"/>
        <w:instrText xml:space="preserve"> REF _Ref232708784 \r \h </w:instrText>
        <w:fldChar w:fldCharType="separate"/>
        <w:t>8.3</w:t>
        <w:fldChar w:fldCharType="end"/>
        <w:t>:</w:t>
      </w:r>
    </w:p>
    <w:p w14:paraId="77956A76" w14:textId="5EF9F6CA" w:rsidR="009E5A66" w:rsidRPr="009E5A66" w:rsidRDefault="009E5A66" w:rsidP="009E5A66">
      <w:pPr>
        <w:pStyle w:val="Untitledsubclause2"/>
        <w:rPr>
          <w:rFonts w:ascii="Aptos" w:hAnsi="Aptos"/>
          <w:sz w:val="18"/>
          <w:szCs w:val="18"/>
        </w:rPr>
      </w:pPr>
      <w:r>
        <w:rPr>
          <w:rFonts w:ascii="Aptos" w:hAnsi="Aptos"/>
          <w:sz w:val="18"/>
          <w:szCs w:val="18"/>
        </w:rPr>
        <w:t xml:space="preserve">Satorus shall not be liable whether in tort (including for negligence or breach of statutory duty), contract, misrepresentation, restitution or otherwise for any loss of profits, loss of business, depletion of goodwill and/or similar losses or loss or corruption of data or information, or for any special, indirect or consequential loss, costs, damages, charges or expenses however arising under this DPA; and</w:t>
      </w:r>
    </w:p>
    <w:p w14:paraId="282842FA" w14:textId="755AC6A3" w:rsidR="009E5A66" w:rsidRPr="009E5A66" w:rsidRDefault="009E5A66" w:rsidP="009E5A66">
      <w:pPr>
        <w:pStyle w:val="Untitledsubclause2"/>
        <w:rPr>
          <w:rFonts w:ascii="Aptos" w:hAnsi="Aptos"/>
          <w:b/>
          <w:kern w:val="28"/>
          <w:sz w:val="18"/>
          <w:szCs w:val="18"/>
        </w:rPr>
      </w:pPr>
      <w:r>
        <w:rPr>
          <w:rFonts w:ascii="Aptos" w:hAnsi="Aptos"/>
          <w:sz w:val="18"/>
          <w:szCs w:val="18"/>
        </w:rPr>
        <w:t xml:space="preserve">Satorus’ total aggregate liability in contract, tort (including negligence or breach of statutory duty), misrepresentation, restitution or otherwise, arising in connection with the performance or contemplated performance of this DPA shall form part of and be subject to Clause 11.5 of the Master Services Agreement.</w:t>
      </w:r>
    </w:p>
    <w:p w14:paraId="54B079E4" w14:textId="6D3F4524" w:rsidR="00424188" w:rsidRPr="009E5A66" w:rsidRDefault="009E5A66" w:rsidP="009E5A66">
      <w:pPr>
        <w:pStyle w:val="TitleClause"/>
        <w:rPr>
          <w:rFonts w:ascii="Aptos" w:hAnsi="Aptos"/>
          <w:color w:val="009999"/>
          <w:sz w:val="18"/>
          <w:szCs w:val="18"/>
        </w:rPr>
      </w:pPr>
      <w:r>
        <w:rPr>
          <w:rFonts w:ascii="Aptos" w:hAnsi="Aptos"/>
          <w:color w:val="009999"/>
          <w:sz w:val="18"/>
          <w:szCs w:val="18"/>
        </w:rPr>
        <w:t>NOTICE</w:t>
      </w:r>
    </w:p>
    <w:p w14:paraId="0341379C" w14:textId="118F28D0" w:rsidR="00424188" w:rsidRPr="00424188" w:rsidRDefault="00424188" w:rsidP="00424188">
      <w:pPr>
        <w:pStyle w:val="Untitledsubclause1"/>
        <w:rPr>
          <w:rFonts w:ascii="Aptos" w:hAnsi="Aptos"/>
          <w:sz w:val="18"/>
          <w:szCs w:val="18"/>
        </w:rPr>
      </w:pPr>
      <w:r>
        <w:rPr>
          <w:rFonts w:ascii="Aptos" w:hAnsi="Aptos"/>
          <w:sz w:val="18"/>
          <w:szCs w:val="18"/>
        </w:rPr>
        <w:t xml:space="preserve">Any notice given to a party under or in connection with this DPA shall be in writing and shall be:</w:t>
      </w:r>
    </w:p>
    <w:p w14:paraId="0EAFF996" w14:textId="6297E91A" w:rsidR="00424188" w:rsidRPr="00424188" w:rsidRDefault="00424188" w:rsidP="00424188">
      <w:pPr>
        <w:pStyle w:val="Untitledsubclause2"/>
        <w:rPr>
          <w:rFonts w:ascii="Aptos" w:hAnsi="Aptos"/>
          <w:sz w:val="18"/>
          <w:szCs w:val="18"/>
        </w:rPr>
      </w:pPr>
      <w:r>
        <w:rPr>
          <w:rFonts w:ascii="Aptos" w:hAnsi="Aptos"/>
          <w:sz w:val="18"/>
          <w:szCs w:val="18"/>
        </w:rPr>
        <w:t>sent by email to the following addresses (or an address substituted in writing by the party to be served):</w:t>
      </w:r>
    </w:p>
    <w:p w14:paraId="1006A96A" w14:textId="64A87480" w:rsidR="00424188" w:rsidRPr="00424188" w:rsidRDefault="00424188" w:rsidP="00424188">
      <w:pPr>
        <w:pStyle w:val="Untitledsubclause3"/>
        <w:rPr>
          <w:rFonts w:ascii="Aptos" w:hAnsi="Aptos"/>
          <w:sz w:val="18"/>
          <w:szCs w:val="18"/>
        </w:rPr>
      </w:pPr>
      <w:r>
        <w:rPr>
          <w:rFonts w:ascii="Aptos" w:hAnsi="Aptos"/>
          <w:sz w:val="18"/>
          <w:szCs w:val="18"/>
        </w:rPr>
        <w:t xml:space="preserve">For the Customer: the Customer’s contact set out in the Order Form, or such other data privacy contact as the Customer notifies to Satorus in writing</w:t>
      </w:r>
    </w:p>
    <w:p w14:paraId="6A9E0AA4" w14:textId="38073356" w:rsidR="00424188" w:rsidRPr="00424188" w:rsidRDefault="00424188" w:rsidP="00424188">
      <w:pPr>
        <w:pStyle w:val="Untitledsubclause3"/>
        <w:rPr>
          <w:rFonts w:ascii="Aptos" w:hAnsi="Aptos"/>
          <w:sz w:val="18"/>
          <w:szCs w:val="18"/>
        </w:rPr>
      </w:pPr>
      <w:r>
        <w:rPr>
          <w:rFonts w:ascii="Aptos" w:hAnsi="Aptos"/>
          <w:sz w:val="18"/>
          <w:szCs w:val="18"/>
        </w:rPr>
        <w:t xml:space="preserve">For Satorus: </w:t>
      </w:r>
      <w:hyperlink r:id="rId15" w:history="1">
        <w:r>
          <w:rPr>
            <w:rStyle w:val="Hyperlink"/>
            <w:rFonts w:ascii="Aptos" w:hAnsi="Aptos"/>
            <w:sz w:val="18"/>
            <w:szCs w:val="18"/>
          </w:rPr>
          <w:t>beth@satorusgroup.com</w:t>
        </w:r>
      </w:hyperlink>
      <w:r>
        <w:rPr>
          <w:rFonts w:ascii="Aptos" w:hAnsi="Aptos"/>
          <w:sz w:val="18"/>
          <w:szCs w:val="18"/>
        </w:rPr>
        <w:t xml:space="preserve">  </w:t>
      </w:r>
    </w:p>
    <w:p w14:paraId="22196E8E" w14:textId="21731DA6" w:rsidR="00424188" w:rsidRPr="00424188" w:rsidRDefault="00424188" w:rsidP="00424188">
      <w:pPr>
        <w:pStyle w:val="Untitledsubclause1"/>
        <w:rPr>
          <w:rFonts w:ascii="Aptos" w:hAnsi="Aptos"/>
          <w:sz w:val="18"/>
          <w:szCs w:val="18"/>
        </w:rPr>
      </w:pPr>
      <w:r>
        <w:rPr>
          <w:rFonts w:ascii="Aptos" w:hAnsi="Aptos"/>
          <w:sz w:val="18"/>
          <w:szCs w:val="18"/>
        </w:rPr>
        <w:t>Any notice shall be deemed to have been received, where sent by email, at the time of transmission, or, if this time falls outside Business Hours in the place of receipt, when Business Hours resume.</w:t>
      </w:r>
    </w:p>
    <w:p w14:paraId="44B2FFBF" w14:textId="14C399F1" w:rsidR="00424188" w:rsidRDefault="00424188" w:rsidP="00424188">
      <w:pPr>
        <w:pStyle w:val="Untitledsubclause1"/>
        <w:rPr>
          <w:rFonts w:ascii="Aptos" w:hAnsi="Aptos"/>
          <w:sz w:val="18"/>
          <w:szCs w:val="18"/>
        </w:rPr>
      </w:pPr>
      <w:r>
        <w:rPr>
          <w:rFonts w:ascii="Aptos" w:hAnsi="Aptos"/>
          <w:sz w:val="18"/>
          <w:szCs w:val="18"/>
        </w:rPr>
        <w:lastRenderedPageBreak/>
        <w:t>This clause does not apply to the service of any proceedings or other documents in any legal action or, where applicable, any arbitration or other method of dispute resolution.</w:t>
      </w:r>
    </w:p>
    <w:p w14:paraId="4F4A5FE9" w14:textId="02DDE1DD" w:rsidR="00062EE7" w:rsidRPr="009E5A66" w:rsidRDefault="00062EE7" w:rsidP="00062EE7">
      <w:pPr>
        <w:pStyle w:val="TitleClause"/>
        <w:rPr>
          <w:rFonts w:ascii="Aptos" w:eastAsia="Times New Roman" w:hAnsi="Aptos" w:cs="Times New Roman"/>
          <w:color w:val="009999"/>
          <w:sz w:val="18"/>
          <w:szCs w:val="18"/>
        </w:rPr>
      </w:pPr>
      <w:bookmarkStart w:id="30" w:name="_Ref232709792"/>
      <w:r>
        <w:rPr>
          <w:rStyle w:val="khdescription"/>
          <w:rFonts w:ascii="Aptos" w:hAnsi="Aptos"/>
          <w:caps/>
          <w:color w:val="009999"/>
          <w:sz w:val="18"/>
          <w:szCs w:val="18"/>
          <w:bdr w:val="none" w:sz="0" w:space="0" w:color="auto" w:frame="1"/>
        </w:rPr>
        <w:t>Term and termination</w:t>
      </w:r>
      <w:bookmarkEnd w:id="30"/>
    </w:p>
    <w:p w14:paraId="47A26047" w14:textId="099CC57C" w:rsidR="009E5A66" w:rsidRPr="009E5A66" w:rsidRDefault="009E5A66" w:rsidP="009E5A66">
      <w:pPr>
        <w:pStyle w:val="Untitledsubclause1"/>
        <w:rPr>
          <w:rFonts w:ascii="Aptos" w:hAnsi="Aptos"/>
          <w:sz w:val="18"/>
          <w:szCs w:val="18"/>
        </w:rPr>
      </w:pPr>
      <w:r>
        <w:rPr>
          <w:rFonts w:ascii="Aptos" w:hAnsi="Aptos"/>
          <w:sz w:val="18"/>
          <w:szCs w:val="18"/>
        </w:rPr>
        <w:t>This DPA will remain in full force and effect so long as:</w:t>
      </w:r>
    </w:p>
    <w:p w14:paraId="3B5451B8" w14:textId="5E50D806" w:rsidR="009E5A66" w:rsidRPr="009E5A66" w:rsidRDefault="009E5A66" w:rsidP="009E5A66">
      <w:pPr>
        <w:pStyle w:val="Untitledsubclause2"/>
        <w:rPr>
          <w:rFonts w:ascii="Aptos" w:hAnsi="Aptos"/>
          <w:sz w:val="18"/>
          <w:szCs w:val="18"/>
        </w:rPr>
      </w:pPr>
      <w:r>
        <w:rPr>
          <w:rFonts w:ascii="Aptos" w:hAnsi="Aptos"/>
          <w:sz w:val="18"/>
          <w:szCs w:val="18"/>
        </w:rPr>
        <w:t>the Master Services Agreement remains in effect; or</w:t>
      </w:r>
    </w:p>
    <w:p w14:paraId="2CCFD616" w14:textId="35F0D323" w:rsidR="009E5A66" w:rsidRPr="009E5A66" w:rsidRDefault="009E5A66" w:rsidP="009E5A66">
      <w:pPr>
        <w:pStyle w:val="Untitledsubclause2"/>
        <w:rPr>
          <w:rFonts w:ascii="Aptos" w:hAnsi="Aptos"/>
          <w:sz w:val="18"/>
          <w:szCs w:val="18"/>
        </w:rPr>
      </w:pPr>
      <w:r>
        <w:rPr>
          <w:rFonts w:ascii="Aptos" w:hAnsi="Aptos"/>
          <w:sz w:val="18"/>
          <w:szCs w:val="18"/>
        </w:rPr>
        <w:t>Satorus retains any of the Shared Personal Data in its possession or control (“Term”).</w:t>
      </w:r>
    </w:p>
    <w:p w14:paraId="3C54E674" w14:textId="76221429" w:rsidR="009E5A66" w:rsidRPr="009E5A66" w:rsidRDefault="009E5A66" w:rsidP="009E5A66">
      <w:pPr>
        <w:pStyle w:val="Untitledsubclause1"/>
        <w:rPr>
          <w:rFonts w:ascii="Aptos" w:hAnsi="Aptos"/>
          <w:sz w:val="18"/>
          <w:szCs w:val="18"/>
        </w:rPr>
      </w:pPr>
      <w:r>
        <w:rPr>
          <w:rFonts w:ascii="Aptos" w:hAnsi="Aptos"/>
          <w:sz w:val="18"/>
          <w:szCs w:val="18"/>
        </w:rPr>
        <w:t>Any provision of this DPA that expressly or by implication should come into or continue in force on or after termination of the Master Services Agreement in order to protect the Personal Data will remain in full force and effect.</w:t>
      </w:r>
    </w:p>
    <w:p w14:paraId="27116241" w14:textId="16167A46" w:rsidR="00424188" w:rsidRDefault="009E5A66" w:rsidP="009E5A66">
      <w:pPr>
        <w:pStyle w:val="Untitledsubclause1"/>
        <w:rPr>
          <w:rFonts w:ascii="Aptos" w:hAnsi="Aptos"/>
          <w:sz w:val="18"/>
          <w:szCs w:val="18"/>
        </w:rPr>
      </w:pPr>
      <w:r>
        <w:rPr>
          <w:rFonts w:ascii="Aptos" w:hAnsi="Aptos"/>
          <w:sz w:val="18"/>
          <w:szCs w:val="18"/>
        </w:rPr>
        <w:t>Any party’s failure to comply with the terms of this DPA is a material breach of the Master Services Agreement. In such event, either party may terminate any part of the Master Services Agreement involving the processing of the Shared Personal Data effective immediately on written notice to the other party without further liability or obligation of either party.</w:t>
      </w:r>
    </w:p>
    <w:p w14:paraId="7D4083A0" w14:textId="3D584721" w:rsidR="00FC5906" w:rsidRPr="00FC5906" w:rsidRDefault="00FC5906" w:rsidP="00FC5906">
      <w:pPr>
        <w:pStyle w:val="TitleClause"/>
        <w:rPr>
          <w:rFonts w:ascii="Aptos" w:hAnsi="Aptos"/>
          <w:color w:val="009999"/>
          <w:sz w:val="18"/>
          <w:szCs w:val="18"/>
        </w:rPr>
      </w:pPr>
      <w:r>
        <w:rPr>
          <w:rFonts w:ascii="Aptos" w:hAnsi="Aptos"/>
          <w:color w:val="009999"/>
          <w:sz w:val="18"/>
          <w:szCs w:val="18"/>
        </w:rPr>
        <w:t>FORCE MAJEURE</w:t>
      </w:r>
    </w:p>
    <w:p w14:paraId="27393556" w14:textId="370FB5DE" w:rsidR="00FC5906" w:rsidRPr="00FC5906" w:rsidRDefault="00FC5906" w:rsidP="008E4C5A">
      <w:pPr>
        <w:pStyle w:val="Untitledsubclause1"/>
        <w:rPr>
          <w:rFonts w:ascii="Aptos" w:hAnsi="Aptos"/>
          <w:sz w:val="18"/>
          <w:szCs w:val="18"/>
        </w:rPr>
      </w:pPr>
      <w:r>
        <w:rPr>
          <w:rFonts w:ascii="Aptos" w:hAnsi="Aptos"/>
          <w:sz w:val="18"/>
          <w:szCs w:val="18"/>
        </w:rPr>
        <w:t xml:space="preserve">Neither party shall be liable for any delay or failure in the performance of its obligations for so long as and to the extent that such delay or failure results from events, circumstances or causes beyond its reasonable control. </w:t>
      </w:r>
    </w:p>
    <w:p w14:paraId="37D23658" w14:textId="300FAD40" w:rsidR="00FC5906" w:rsidRPr="00FC5906" w:rsidRDefault="00FC5906" w:rsidP="00FC5906">
      <w:pPr>
        <w:pStyle w:val="TitleClause"/>
        <w:rPr>
          <w:rFonts w:ascii="Aptos" w:hAnsi="Aptos"/>
          <w:color w:val="009999"/>
          <w:sz w:val="18"/>
          <w:szCs w:val="18"/>
        </w:rPr>
      </w:pPr>
      <w:r>
        <w:rPr>
          <w:rFonts w:ascii="Aptos" w:hAnsi="Aptos"/>
          <w:color w:val="009999"/>
          <w:sz w:val="18"/>
          <w:szCs w:val="18"/>
        </w:rPr>
        <w:t>VARIATION</w:t>
      </w:r>
    </w:p>
    <w:p w14:paraId="1E3B2065" w14:textId="51E69B32" w:rsidR="00FC5906" w:rsidRPr="00FC5906" w:rsidRDefault="00FC5906" w:rsidP="00322064">
      <w:pPr>
        <w:pStyle w:val="Untitledsubclause1"/>
        <w:rPr>
          <w:rFonts w:ascii="Aptos" w:hAnsi="Aptos"/>
          <w:sz w:val="18"/>
          <w:szCs w:val="18"/>
        </w:rPr>
      </w:pPr>
      <w:r>
        <w:rPr>
          <w:rFonts w:ascii="Aptos" w:hAnsi="Aptos"/>
          <w:sz w:val="18"/>
          <w:szCs w:val="18"/>
        </w:rPr>
        <w:t xml:space="preserve"> No variation of this DPA shall be effective unless it is in writing and signed by the parties (or their authorised representatives).</w:t>
      </w:r>
    </w:p>
    <w:p w14:paraId="5D568334" w14:textId="25C38B89" w:rsidR="00FC5906" w:rsidRPr="001146B0" w:rsidRDefault="00FC5906" w:rsidP="00FC5906">
      <w:pPr>
        <w:pStyle w:val="TitleClause"/>
        <w:rPr>
          <w:rFonts w:ascii="Aptos" w:hAnsi="Aptos"/>
          <w:color w:val="009999"/>
          <w:sz w:val="18"/>
          <w:szCs w:val="18"/>
        </w:rPr>
      </w:pPr>
      <w:r>
        <w:rPr>
          <w:rFonts w:ascii="Aptos" w:hAnsi="Aptos"/>
          <w:color w:val="009999"/>
          <w:sz w:val="18"/>
          <w:szCs w:val="18"/>
        </w:rPr>
        <w:t>WAIVER</w:t>
      </w:r>
    </w:p>
    <w:p w14:paraId="68E60C9C" w14:textId="1F493EA8" w:rsidR="00FC5906" w:rsidRPr="00FC5906" w:rsidRDefault="00FC5906" w:rsidP="009D0E71">
      <w:pPr>
        <w:pStyle w:val="Untitledsubclause1"/>
        <w:rPr>
          <w:rFonts w:ascii="Aptos" w:hAnsi="Aptos"/>
          <w:sz w:val="18"/>
          <w:szCs w:val="18"/>
        </w:rPr>
      </w:pPr>
      <w:r>
        <w:rPr>
          <w:rFonts w:ascii="Aptos" w:hAnsi="Aptos"/>
          <w:sz w:val="18"/>
          <w:szCs w:val="18"/>
        </w:rPr>
        <w:t xml:space="preserve"> A waiver of any right or remedy is only effective if given in writing and shall not be deemed a waiver of any subsequent right or remedy.</w:t>
      </w:r>
    </w:p>
    <w:p w14:paraId="5C7EA5B8" w14:textId="54348FBE" w:rsidR="00FC5906" w:rsidRPr="00FC5906" w:rsidRDefault="00FC5906" w:rsidP="00FC5906">
      <w:pPr>
        <w:pStyle w:val="Untitledsubclause1"/>
        <w:rPr>
          <w:rFonts w:ascii="Aptos" w:hAnsi="Aptos"/>
          <w:sz w:val="18"/>
          <w:szCs w:val="18"/>
        </w:rPr>
      </w:pPr>
      <w:r>
        <w:rPr>
          <w:rFonts w:ascii="Aptos" w:hAnsi="Aptos"/>
          <w:sz w:val="18"/>
          <w:szCs w:val="18"/>
        </w:rPr>
        <w:t>A delay or failure to exercise, or the single or partial exercise of, any right or remedy does not waive that or any other right or remedy, nor does it prevent or restrict the further exercise of that or any other right or remedy.</w:t>
      </w:r>
    </w:p>
    <w:p w14:paraId="01A87703" w14:textId="1EE0CB40" w:rsidR="00FC5906" w:rsidRPr="001146B0" w:rsidRDefault="00FC5906" w:rsidP="00FC5906">
      <w:pPr>
        <w:pStyle w:val="TitleClause"/>
        <w:rPr>
          <w:rFonts w:ascii="Aptos" w:hAnsi="Aptos"/>
          <w:color w:val="009999"/>
          <w:sz w:val="18"/>
          <w:szCs w:val="18"/>
        </w:rPr>
      </w:pPr>
      <w:r>
        <w:rPr>
          <w:rFonts w:ascii="Aptos" w:hAnsi="Aptos"/>
          <w:color w:val="009999"/>
          <w:sz w:val="18"/>
          <w:szCs w:val="18"/>
        </w:rPr>
        <w:t>RIGHTS AND REMEDIES</w:t>
      </w:r>
    </w:p>
    <w:p w14:paraId="59B91D52" w14:textId="154E9950" w:rsidR="00FC5906" w:rsidRPr="00FC5906" w:rsidRDefault="00FC5906" w:rsidP="00FC5906">
      <w:pPr>
        <w:pStyle w:val="Untitledsubclause1"/>
        <w:rPr>
          <w:rFonts w:ascii="Aptos" w:hAnsi="Aptos"/>
          <w:sz w:val="18"/>
          <w:szCs w:val="18"/>
        </w:rPr>
      </w:pPr>
      <w:r>
        <w:rPr>
          <w:rFonts w:ascii="Aptos" w:hAnsi="Aptos"/>
          <w:sz w:val="18"/>
          <w:szCs w:val="18"/>
        </w:rPr>
        <w:t xml:space="preserve">Except as expressly provided in this DPA, the rights and remedies provided under this DPA are in addition to, and not exclusive of, any rights or remedies provided by law.</w:t>
      </w:r>
    </w:p>
    <w:p w14:paraId="2DA6B805" w14:textId="6C11A56D" w:rsidR="00FC5906" w:rsidRPr="001146B0" w:rsidRDefault="00FC5906" w:rsidP="00FC5906">
      <w:pPr>
        <w:pStyle w:val="TitleClause"/>
        <w:rPr>
          <w:rFonts w:ascii="Aptos" w:hAnsi="Aptos"/>
          <w:color w:val="009999"/>
          <w:sz w:val="18"/>
          <w:szCs w:val="18"/>
        </w:rPr>
      </w:pPr>
      <w:r>
        <w:rPr>
          <w:rFonts w:ascii="Aptos" w:hAnsi="Aptos"/>
          <w:color w:val="009999"/>
          <w:sz w:val="18"/>
          <w:szCs w:val="18"/>
        </w:rPr>
        <w:t>SEVERANCE</w:t>
      </w:r>
    </w:p>
    <w:p w14:paraId="2612D3AB" w14:textId="09D86349" w:rsidR="00FC5906" w:rsidRPr="00FC5906" w:rsidRDefault="00FC5906" w:rsidP="00413BA7">
      <w:pPr>
        <w:pStyle w:val="Untitledsubclause1"/>
        <w:rPr>
          <w:rFonts w:ascii="Aptos" w:hAnsi="Aptos"/>
          <w:sz w:val="18"/>
          <w:szCs w:val="18"/>
        </w:rPr>
      </w:pPr>
      <w:r>
        <w:rPr>
          <w:rFonts w:ascii="Aptos" w:hAnsi="Aptos"/>
          <w:sz w:val="18"/>
          <w:szCs w:val="18"/>
        </w:rPr>
        <w:t xml:space="preserve"> If any provision (or part of a provision) of this DPA is found by any court or administrative body of competent jurisdiction to be invalid, unenforceable or illegal, the other provisions shall remain in force.</w:t>
      </w:r>
    </w:p>
    <w:p w14:paraId="3B4F01A4" w14:textId="2604E135" w:rsidR="00FC5906" w:rsidRPr="00FC5906" w:rsidRDefault="00FC5906" w:rsidP="00FC5906">
      <w:pPr>
        <w:pStyle w:val="Untitledsubclause1"/>
        <w:rPr>
          <w:rFonts w:ascii="Aptos" w:hAnsi="Aptos"/>
          <w:sz w:val="18"/>
          <w:szCs w:val="18"/>
        </w:rPr>
      </w:pPr>
      <w:r>
        <w:rPr>
          <w:rFonts w:ascii="Aptos" w:hAnsi="Aptos"/>
          <w:sz w:val="18"/>
          <w:szCs w:val="18"/>
        </w:rPr>
        <w:t>If any invalid, unenforceable or illegal provision would be valid, enforceable or legal if some part of it were deleted, the provision shall apply with whatever modification is necessary to give effect to the commercial intention of the parties.</w:t>
      </w:r>
    </w:p>
    <w:p w14:paraId="60FEC518" w14:textId="4B3F76AB" w:rsidR="00FC5906" w:rsidRPr="001146B0" w:rsidRDefault="00FC5906" w:rsidP="00FC5906">
      <w:pPr>
        <w:pStyle w:val="TitleClause"/>
        <w:rPr>
          <w:rFonts w:ascii="Aptos" w:hAnsi="Aptos"/>
          <w:color w:val="009999"/>
          <w:sz w:val="18"/>
          <w:szCs w:val="18"/>
        </w:rPr>
      </w:pPr>
      <w:r>
        <w:rPr>
          <w:rFonts w:ascii="Aptos" w:hAnsi="Aptos"/>
          <w:color w:val="009999"/>
          <w:sz w:val="18"/>
          <w:szCs w:val="18"/>
        </w:rPr>
        <w:lastRenderedPageBreak/>
        <w:t>ENTIRE AGREEMENT</w:t>
      </w:r>
    </w:p>
    <w:p w14:paraId="20A01BA7" w14:textId="183BEFA5" w:rsidR="00FC5906" w:rsidRPr="00FC5906" w:rsidRDefault="00BB3E5C" w:rsidP="00FC5906">
      <w:pPr>
        <w:pStyle w:val="Untitledsubclause1"/>
        <w:rPr>
          <w:rFonts w:ascii="Aptos" w:hAnsi="Aptos"/>
          <w:sz w:val="18"/>
          <w:szCs w:val="18"/>
        </w:rPr>
      </w:pPr>
      <w:r>
        <w:rPr>
          <w:rFonts w:ascii="Aptos" w:hAnsi="Aptos"/>
          <w:sz w:val="18"/>
          <w:szCs w:val="18"/>
        </w:rPr>
        <w:t xml:space="preserve">This DPA constitutes the entire agreement between the parties in relation to the processing of Shared Personal Data.</w:t>
      </w:r>
    </w:p>
    <w:p w14:paraId="3951894B" w14:textId="068E5CD7" w:rsidR="00FC5906" w:rsidRPr="00FC5906" w:rsidRDefault="00FC5906" w:rsidP="00FC5906">
      <w:pPr>
        <w:pStyle w:val="Untitledsubclause1"/>
        <w:rPr>
          <w:rFonts w:ascii="Aptos" w:hAnsi="Aptos"/>
          <w:sz w:val="18"/>
          <w:szCs w:val="18"/>
        </w:rPr>
      </w:pPr>
      <w:r>
        <w:rPr>
          <w:rFonts w:ascii="Aptos" w:hAnsi="Aptos"/>
          <w:sz w:val="18"/>
          <w:szCs w:val="18"/>
        </w:rPr>
        <w:t xml:space="preserve">Each party acknowledges that in entering into this DPA it does not rely on any statement, representation, assurance or warranty (whether made innocently or negligently) that is not set out in this DPA. Each party agrees that it has no claim for innocent or negligent misrepresentation or negligent misstatement based on any statement in this DPA.</w:t>
      </w:r>
    </w:p>
    <w:p w14:paraId="080CE1DC" w14:textId="6284845B" w:rsidR="00FC5906" w:rsidRPr="001146B0" w:rsidRDefault="00FC5906" w:rsidP="00FC5906">
      <w:pPr>
        <w:pStyle w:val="TitleClause"/>
        <w:rPr>
          <w:rFonts w:ascii="Aptos" w:hAnsi="Aptos"/>
          <w:color w:val="009999"/>
          <w:sz w:val="18"/>
          <w:szCs w:val="18"/>
        </w:rPr>
      </w:pPr>
      <w:r>
        <w:rPr>
          <w:rFonts w:ascii="Aptos" w:hAnsi="Aptos"/>
          <w:color w:val="009999"/>
          <w:sz w:val="18"/>
          <w:szCs w:val="18"/>
        </w:rPr>
        <w:t>ASSIGNMENT</w:t>
      </w:r>
    </w:p>
    <w:p w14:paraId="740171BA" w14:textId="0A1F9442" w:rsidR="00FC5906" w:rsidRPr="00FC5906" w:rsidRDefault="00FC5906" w:rsidP="00FC5906">
      <w:pPr>
        <w:pStyle w:val="Untitledsubclause1"/>
        <w:rPr>
          <w:rFonts w:ascii="Aptos" w:hAnsi="Aptos"/>
          <w:sz w:val="18"/>
          <w:szCs w:val="18"/>
        </w:rPr>
      </w:pPr>
      <w:r>
        <w:rPr>
          <w:rFonts w:ascii="Aptos" w:hAnsi="Aptos"/>
          <w:sz w:val="18"/>
          <w:szCs w:val="18"/>
        </w:rPr>
        <w:t xml:space="preserve">The Customer shall not, without the prior written consent of Satorus, assign, transfer, mortgage, charge, subcontract, delegate, declare a trust over or deal in any other manner with any of its rights and obligations under this DPA.</w:t>
      </w:r>
    </w:p>
    <w:p w14:paraId="7674D7CA" w14:textId="441BDED4" w:rsidR="00FC5906" w:rsidRPr="00FC5906" w:rsidRDefault="001146B0" w:rsidP="00FC5906">
      <w:pPr>
        <w:pStyle w:val="Untitledsubclause1"/>
        <w:rPr>
          <w:rFonts w:ascii="Aptos" w:hAnsi="Aptos"/>
          <w:sz w:val="18"/>
          <w:szCs w:val="18"/>
        </w:rPr>
      </w:pPr>
      <w:r>
        <w:rPr>
          <w:rFonts w:ascii="Aptos" w:hAnsi="Aptos"/>
          <w:sz w:val="18"/>
          <w:szCs w:val="18"/>
        </w:rPr>
        <w:t xml:space="preserve">Satorus may at any time assign, mortgage, charge, subcontract, delegate, declare a trust over or deal in any other manner with any or all of its rights and obligations under this DPA, provided that it gives prior written notice of such dealing to the Customer.</w:t>
      </w:r>
    </w:p>
    <w:p w14:paraId="7B875DE2" w14:textId="12CC1EA5" w:rsidR="00FC5906" w:rsidRPr="001146B0" w:rsidRDefault="00FC5906" w:rsidP="00FC5906">
      <w:pPr>
        <w:pStyle w:val="TitleClause"/>
        <w:rPr>
          <w:rFonts w:ascii="Aptos" w:hAnsi="Aptos"/>
          <w:color w:val="009999"/>
          <w:sz w:val="18"/>
          <w:szCs w:val="18"/>
        </w:rPr>
      </w:pPr>
      <w:r>
        <w:rPr>
          <w:rFonts w:ascii="Aptos" w:hAnsi="Aptos"/>
          <w:color w:val="009999"/>
          <w:sz w:val="18"/>
          <w:szCs w:val="18"/>
        </w:rPr>
        <w:t>NO PARTNERSHIP OR AGENCY</w:t>
      </w:r>
    </w:p>
    <w:p w14:paraId="41741C87" w14:textId="7F10BD2D" w:rsidR="00FC5906" w:rsidRPr="00FC5906" w:rsidRDefault="00FC5906" w:rsidP="00FC5906">
      <w:pPr>
        <w:pStyle w:val="Untitledsubclause1"/>
        <w:rPr>
          <w:rFonts w:ascii="Aptos" w:hAnsi="Aptos"/>
          <w:sz w:val="18"/>
          <w:szCs w:val="18"/>
        </w:rPr>
      </w:pPr>
      <w:r>
        <w:rPr>
          <w:rFonts w:ascii="Aptos" w:hAnsi="Aptos"/>
          <w:sz w:val="18"/>
          <w:szCs w:val="18"/>
        </w:rPr>
        <w:t xml:space="preserve">Nothing in this DPA is intended to or shall operate to create a partnership between the parties, or authorise either party to act as agent for the other, and neither party shall have the authority to act in the name or on behalf of or otherwise to bind the other in any way (including the making of any representation or warranty, the assumption of any obligation or liability and the exercise of any right or power).</w:t>
      </w:r>
    </w:p>
    <w:p w14:paraId="1E7750FE" w14:textId="5E2D0BF2" w:rsidR="00FC5906" w:rsidRPr="001146B0" w:rsidRDefault="00FC5906" w:rsidP="00FC5906">
      <w:pPr>
        <w:pStyle w:val="TitleClause"/>
        <w:rPr>
          <w:rFonts w:ascii="Aptos" w:hAnsi="Aptos"/>
          <w:color w:val="009999"/>
          <w:sz w:val="18"/>
          <w:szCs w:val="18"/>
        </w:rPr>
      </w:pPr>
      <w:r>
        <w:rPr>
          <w:rFonts w:ascii="Aptos" w:hAnsi="Aptos"/>
          <w:color w:val="009999"/>
          <w:sz w:val="18"/>
          <w:szCs w:val="18"/>
        </w:rPr>
        <w:t>THIRD PARTY RIGHTS</w:t>
      </w:r>
    </w:p>
    <w:p w14:paraId="3C1E46D0" w14:textId="347D9744" w:rsidR="00FC5906" w:rsidRPr="00FC5906" w:rsidRDefault="00BB3E5C" w:rsidP="00FC5906">
      <w:pPr>
        <w:pStyle w:val="Untitledsubclause1"/>
        <w:rPr>
          <w:rFonts w:ascii="Aptos" w:hAnsi="Aptos"/>
          <w:sz w:val="18"/>
          <w:szCs w:val="18"/>
        </w:rPr>
      </w:pPr>
      <w:r>
        <w:rPr>
          <w:rFonts w:ascii="Aptos" w:hAnsi="Aptos"/>
          <w:sz w:val="18"/>
          <w:szCs w:val="18"/>
        </w:rPr>
        <w:t xml:space="preserve">This DPA does not confer any rights on any person or party (other than the parties to this DPA and, where applicable, their successors and permitted assigns) pursuant to the Contracts (Rights of Third Parties) Act 1999.</w:t>
      </w:r>
    </w:p>
    <w:p w14:paraId="708F6B9B" w14:textId="2E13C68E" w:rsidR="00FC5906" w:rsidRPr="001146B0" w:rsidRDefault="00FC5906" w:rsidP="00FC5906">
      <w:pPr>
        <w:pStyle w:val="TitleClause"/>
        <w:rPr>
          <w:rFonts w:ascii="Aptos" w:hAnsi="Aptos"/>
          <w:color w:val="009999"/>
          <w:sz w:val="18"/>
          <w:szCs w:val="18"/>
        </w:rPr>
      </w:pPr>
      <w:r>
        <w:rPr>
          <w:rFonts w:ascii="Aptos" w:hAnsi="Aptos"/>
          <w:color w:val="009999"/>
          <w:sz w:val="18"/>
          <w:szCs w:val="18"/>
        </w:rPr>
        <w:t>COUNTERPARTS</w:t>
      </w:r>
    </w:p>
    <w:p w14:paraId="6EE72F43" w14:textId="73D9B0C6" w:rsidR="00FC5906" w:rsidRPr="00FC5906" w:rsidRDefault="00BB3E5C" w:rsidP="00FC5906">
      <w:pPr>
        <w:pStyle w:val="Untitledsubclause1"/>
        <w:rPr>
          <w:rFonts w:ascii="Aptos" w:hAnsi="Aptos"/>
          <w:sz w:val="18"/>
          <w:szCs w:val="18"/>
        </w:rPr>
      </w:pPr>
      <w:r>
        <w:rPr>
          <w:rFonts w:ascii="Aptos" w:hAnsi="Aptos"/>
          <w:sz w:val="18"/>
          <w:szCs w:val="18"/>
        </w:rPr>
        <w:t xml:space="preserve">This DPA may be executed in any number of counterparts, each of which constitutes a duplicate original, but all the counterparts together constitute the one agreement.</w:t>
      </w:r>
    </w:p>
    <w:p w14:paraId="64A6CB0A" w14:textId="041B73F2" w:rsidR="00FC5906" w:rsidRPr="001146B0" w:rsidRDefault="00FC5906" w:rsidP="00FC5906">
      <w:pPr>
        <w:pStyle w:val="TitleClause"/>
        <w:rPr>
          <w:rFonts w:ascii="Aptos" w:hAnsi="Aptos"/>
          <w:color w:val="009999"/>
          <w:sz w:val="18"/>
          <w:szCs w:val="18"/>
        </w:rPr>
      </w:pPr>
      <w:r>
        <w:rPr>
          <w:rFonts w:ascii="Aptos" w:hAnsi="Aptos"/>
          <w:color w:val="009999"/>
          <w:sz w:val="18"/>
          <w:szCs w:val="18"/>
        </w:rPr>
        <w:t>GOVERNING LAW</w:t>
      </w:r>
    </w:p>
    <w:p w14:paraId="3211B81A" w14:textId="47B1473E" w:rsidR="00FC5906" w:rsidRPr="00FC5906" w:rsidRDefault="00BB3E5C" w:rsidP="00FC5906">
      <w:pPr>
        <w:pStyle w:val="Untitledsubclause1"/>
        <w:rPr>
          <w:rFonts w:ascii="Aptos" w:hAnsi="Aptos"/>
          <w:sz w:val="18"/>
          <w:szCs w:val="18"/>
        </w:rPr>
      </w:pPr>
      <w:r>
        <w:rPr>
          <w:rFonts w:ascii="Aptos" w:hAnsi="Aptos"/>
          <w:sz w:val="18"/>
          <w:szCs w:val="18"/>
        </w:rPr>
        <w:t xml:space="preserve">This DPA and any dispute or claim arising out of or in connection with it or its subject matter or formation (including non-contractual disputes or claims) shall be governed by and interpreted in accordance with the law of England and Wales.</w:t>
      </w:r>
    </w:p>
    <w:p w14:paraId="6CD08E71" w14:textId="0968C67F" w:rsidR="00FC5906" w:rsidRPr="001146B0" w:rsidRDefault="00FC5906" w:rsidP="00FC5906">
      <w:pPr>
        <w:pStyle w:val="TitleClause"/>
        <w:rPr>
          <w:rFonts w:ascii="Aptos" w:hAnsi="Aptos"/>
          <w:color w:val="009999"/>
          <w:sz w:val="18"/>
          <w:szCs w:val="18"/>
        </w:rPr>
      </w:pPr>
      <w:r>
        <w:rPr>
          <w:rFonts w:ascii="Aptos" w:hAnsi="Aptos"/>
          <w:color w:val="009999"/>
          <w:sz w:val="18"/>
          <w:szCs w:val="18"/>
        </w:rPr>
        <w:t>JURISDICTION</w:t>
      </w:r>
    </w:p>
    <w:p w14:paraId="3D4E6B18" w14:textId="600B4091" w:rsidR="00FC5906" w:rsidRPr="00FC5906" w:rsidRDefault="00FC5906" w:rsidP="00D77AED">
      <w:pPr>
        <w:pStyle w:val="Untitledsubclause1"/>
        <w:rPr>
          <w:rFonts w:ascii="Aptos" w:hAnsi="Aptos"/>
          <w:sz w:val="18"/>
          <w:szCs w:val="18"/>
        </w:rPr>
      </w:pPr>
      <w:r>
        <w:rPr>
          <w:rFonts w:ascii="Aptos" w:hAnsi="Aptos"/>
          <w:sz w:val="18"/>
          <w:szCs w:val="18"/>
        </w:rPr>
        <w:t xml:space="preserve">Each party irrevocably agrees that the courts of England and Wales shall have exclusive jurisdiction to settle any dispute or claim arising out of or in connection with this DPA or its subject matter or formation (including non-contractual disputes or claims).</w:t>
      </w:r>
    </w:p>
    <w:p w14:paraId="220A2B23" w14:textId="1195086B" w:rsidR="00424188" w:rsidRDefault="00BB3E5C" w:rsidP="00424188">
      <w:pPr>
        <w:pStyle w:val="TitleClause"/>
        <w:numPr>
          <w:ilvl w:val="0"/>
          <w:numId w:val="0"/>
        </w:numPr>
        <w:rPr>
          <w:rFonts w:ascii="Aptos" w:hAnsi="Aptos"/>
          <w:sz w:val="18"/>
          <w:szCs w:val="18"/>
        </w:rPr>
      </w:pPr>
      <w:r>
        <w:rPr>
          <w:rFonts w:ascii="Aptos" w:hAnsi="Aptos"/>
          <w:sz w:val="18"/>
          <w:szCs w:val="18"/>
        </w:rPr>
        <w:t xml:space="preserve">This DPA is entered into by the parties, and takes effect, in accordance with the Order Form. No signature of this document is required.</w:t>
      </w:r>
    </w:p>
    <w:p w14:paraId="3A57CB7C" w14:textId="77777777" w:rsidR="00424188" w:rsidRDefault="00424188" w:rsidP="00424188"/>
    <w:p w14:paraId="0B6D341F" w14:textId="5D980F81" w:rsidR="00175BE2" w:rsidRPr="00E73CDB" w:rsidRDefault="00175BE2">
      <w:pPr>
        <w:spacing w:line="24" w:lineRule="auto"/>
        <w:rPr>
          <w:rFonts w:ascii="Aptos" w:eastAsia="Arial Unicode MS" w:hAnsi="Aptos"/>
          <w:bCs/>
          <w:sz w:val="18"/>
          <w:szCs w:val="18"/>
          <w:lang w:eastAsia="en-US"/>
        </w:rPr>
      </w:pPr>
    </w:p>
    <w:p w14:paraId="2D979D35" w14:textId="77777777" w:rsidR="00676AA2" w:rsidRDefault="00676AA2" w:rsidP="00BC3B3D">
      <w:pPr>
        <w:pStyle w:val="Annex"/>
        <w:rPr>
          <w:rFonts w:ascii="Aptos" w:hAnsi="Aptos"/>
          <w:color w:val="009999"/>
          <w:sz w:val="18"/>
          <w:szCs w:val="18"/>
        </w:rPr>
        <w:sectPr w:rsidR="00676AA2" w:rsidSect="006D0D62">
          <w:headerReference w:type="even" r:id="rId16"/>
          <w:headerReference w:type="default" r:id="rId17"/>
          <w:footerReference w:type="even" r:id="rId18"/>
          <w:footerReference w:type="default" r:id="rId19"/>
          <w:headerReference w:type="first" r:id="rId20"/>
          <w:footerReference w:type="first" r:id="rId21"/>
          <w:pgSz w:w="11906" w:h="16838"/>
          <w:pgMar w:top="720" w:right="720" w:bottom="720" w:left="720" w:header="720" w:footer="720" w:gutter="0"/>
          <w:pgNumType w:start="1"/>
          <w:cols w:space="720"/>
          <w:docGrid w:linePitch="299"/>
        </w:sectPr>
      </w:pPr>
      <w:bookmarkStart w:id="31" w:name="a323669"/>
      <w:bookmarkStart w:id="32" w:name="_Ref185254848"/>
      <w:bookmarkStart w:id="33" w:name="_Ref185411052"/>
    </w:p>
    <w:p w14:paraId="279008A8" w14:textId="13A1D31E" w:rsidR="009B79EC" w:rsidRPr="00E73CDB" w:rsidRDefault="00175BE2" w:rsidP="00BC3B3D">
      <w:pPr>
        <w:pStyle w:val="Annex"/>
        <w:rPr>
          <w:rFonts w:ascii="Aptos" w:hAnsi="Aptos"/>
          <w:color w:val="009999"/>
          <w:sz w:val="18"/>
          <w:szCs w:val="18"/>
        </w:rPr>
      </w:pPr>
      <w:r>
        <w:rPr>
          <w:rFonts w:ascii="Aptos" w:hAnsi="Aptos"/>
          <w:color w:val="009999"/>
          <w:sz w:val="18"/>
          <w:szCs w:val="18"/>
        </w:rPr>
        <w:lastRenderedPageBreak/>
        <w:t>PARTICULARS OF THE PROCESSING</w:t>
      </w:r>
      <w:bookmarkEnd w:id="31"/>
      <w:bookmarkEnd w:id="32"/>
      <w:bookmarkEnd w:id="33"/>
    </w:p>
    <w:p w14:paraId="792046DB" w14:textId="700D94ED" w:rsidR="009B79EC" w:rsidRPr="00E73CDB" w:rsidRDefault="009B79EC" w:rsidP="00A3506D">
      <w:pPr>
        <w:pStyle w:val="Part"/>
        <w:numPr>
          <w:ilvl w:val="0"/>
          <w:numId w:val="36"/>
        </w:numPr>
        <w:spacing w:line="240" w:lineRule="auto"/>
        <w:ind w:left="714"/>
        <w:rPr>
          <w:rFonts w:ascii="Aptos" w:hAnsi="Aptos"/>
          <w:color w:val="009999"/>
          <w:sz w:val="18"/>
          <w:szCs w:val="18"/>
        </w:rPr>
      </w:pPr>
      <w:bookmarkStart w:id="34" w:name="a996018"/>
      <w:r>
        <w:rPr>
          <w:rFonts w:ascii="Aptos" w:hAnsi="Aptos"/>
          <w:color w:val="009999"/>
          <w:sz w:val="18"/>
          <w:szCs w:val="18"/>
        </w:rPr>
        <w:t>Scope</w:t>
      </w:r>
      <w:bookmarkEnd w:id="34"/>
      <w:r>
        <w:rPr>
          <w:rFonts w:ascii="Aptos" w:hAnsi="Aptos"/>
          <w:color w:val="009999"/>
          <w:sz w:val="18"/>
          <w:szCs w:val="18"/>
          <w:lang w:val="en-US"/>
        </w:rPr>
        <w:t xml:space="preserve">, Nature and Purpose of the Processing </w:t>
      </w:r>
    </w:p>
    <w:p w14:paraId="2DF68889" w14:textId="4F25D66C" w:rsidR="006876EC" w:rsidRPr="00E73CDB" w:rsidRDefault="006876EC" w:rsidP="00175BE2">
      <w:pPr>
        <w:pStyle w:val="ScheduleUntitledsubclause2"/>
        <w:numPr>
          <w:ilvl w:val="0"/>
          <w:numId w:val="0"/>
        </w:numPr>
        <w:spacing w:line="240" w:lineRule="auto"/>
        <w:ind w:left="1418"/>
        <w:rPr>
          <w:rFonts w:ascii="Aptos" w:hAnsi="Aptos"/>
          <w:sz w:val="18"/>
          <w:szCs w:val="18"/>
        </w:rPr>
      </w:pPr>
      <w:bookmarkStart w:id="35" w:name="a109160"/>
      <w:r>
        <w:rPr>
          <w:rFonts w:ascii="Aptos" w:hAnsi="Aptos"/>
          <w:sz w:val="18"/>
          <w:szCs w:val="18"/>
        </w:rPr>
        <w:t xml:space="preserve">Where Satorus is acting as a Processor: </w:t>
      </w:r>
      <w:bookmarkStart w:id="36" w:name="a862216"/>
      <w:bookmarkEnd w:id="35"/>
      <w:r>
        <w:rPr>
          <w:rFonts w:ascii="Aptos" w:hAnsi="Aptos"/>
          <w:sz w:val="18"/>
          <w:szCs w:val="18"/>
        </w:rPr>
        <w:t xml:space="preserve">for the Processing </w:t>
      </w:r>
      <w:bookmarkEnd w:id="36"/>
      <w:r>
        <w:rPr>
          <w:rFonts w:ascii="Aptos" w:hAnsi="Aptos"/>
          <w:sz w:val="18"/>
          <w:szCs w:val="18"/>
        </w:rPr>
        <w:t xml:space="preserve">of Shared Personal Data in order to provide the Services under the Master Services Agreement. The Customer instructs Satorus to Process Shared Personal Data in order to provide the Services, including to: (a) collect publicly available data and licensed third-party data relating to subjects identified by the Customer, including by using automated agents which select, query and retrieve data from the sources operated by the Sub-Processors and Other Organisations identified in Part 5; (b) analyse, enrich, grade, synthesise and summarise such data, including by using the AI model providers identified in Part 5; (c) generate Output and reports for the Customer; and (d) store the foregoing for the Customer’s use. The Customer’s use of the Platform to initiate an investigation or other task constitutes its documented instruction for the Processing associated with that investigation or task. </w:t>
      </w:r>
    </w:p>
    <w:p w14:paraId="5D89F7A6" w14:textId="36C4312D" w:rsidR="00E14261" w:rsidRPr="00E73CDB" w:rsidRDefault="009B79EC" w:rsidP="00A3506D">
      <w:pPr>
        <w:pStyle w:val="Part"/>
        <w:numPr>
          <w:ilvl w:val="0"/>
          <w:numId w:val="33"/>
        </w:numPr>
        <w:spacing w:line="240" w:lineRule="auto"/>
        <w:ind w:firstLine="69"/>
        <w:rPr>
          <w:rFonts w:ascii="Aptos" w:hAnsi="Aptos"/>
          <w:color w:val="009999"/>
          <w:sz w:val="18"/>
          <w:szCs w:val="18"/>
        </w:rPr>
      </w:pPr>
      <w:bookmarkStart w:id="37" w:name="a853829"/>
      <w:r>
        <w:rPr>
          <w:rFonts w:ascii="Aptos" w:hAnsi="Aptos"/>
          <w:color w:val="009999"/>
          <w:sz w:val="18"/>
          <w:szCs w:val="18"/>
        </w:rPr>
        <w:t xml:space="preserve">Duration of the Processing</w:t>
      </w:r>
      <w:bookmarkStart w:id="38" w:name="a697518"/>
      <w:bookmarkEnd w:id="37"/>
    </w:p>
    <w:p w14:paraId="6B2095C0" w14:textId="2948DF9A" w:rsidR="006876EC" w:rsidRPr="00E73CDB" w:rsidRDefault="006876EC" w:rsidP="00175BE2">
      <w:pPr>
        <w:pStyle w:val="Part"/>
        <w:numPr>
          <w:ilvl w:val="0"/>
          <w:numId w:val="0"/>
        </w:numPr>
        <w:spacing w:line="240" w:lineRule="auto"/>
        <w:ind w:left="1276" w:firstLine="142"/>
        <w:rPr>
          <w:rFonts w:ascii="Aptos" w:hAnsi="Aptos"/>
          <w:b w:val="0"/>
          <w:bCs/>
          <w:sz w:val="18"/>
          <w:szCs w:val="18"/>
        </w:rPr>
      </w:pPr>
      <w:r>
        <w:rPr>
          <w:rFonts w:ascii="Aptos" w:hAnsi="Aptos"/>
          <w:b w:val="0"/>
          <w:bCs/>
          <w:sz w:val="18"/>
          <w:szCs w:val="18"/>
        </w:rPr>
        <w:t xml:space="preserve">Where Satorus</w:t>
      </w:r>
      <w:r>
        <w:rPr>
          <w:rFonts w:ascii="Aptos" w:hAnsi="Aptos"/>
          <w:sz w:val="18"/>
          <w:szCs w:val="18"/>
        </w:rPr>
        <w:t xml:space="preserve"> </w:t>
      </w:r>
      <w:r>
        <w:rPr>
          <w:rFonts w:ascii="Aptos" w:hAnsi="Aptos"/>
          <w:b w:val="0"/>
          <w:bCs/>
          <w:sz w:val="18"/>
          <w:szCs w:val="18"/>
        </w:rPr>
        <w:t>is</w:t>
      </w:r>
      <w:r>
        <w:rPr>
          <w:rFonts w:ascii="Aptos" w:hAnsi="Aptos"/>
          <w:sz w:val="18"/>
          <w:szCs w:val="18"/>
        </w:rPr>
        <w:t xml:space="preserve"> </w:t>
      </w:r>
      <w:r>
        <w:rPr>
          <w:rFonts w:ascii="Aptos" w:hAnsi="Aptos"/>
          <w:b w:val="0"/>
          <w:bCs/>
          <w:sz w:val="18"/>
          <w:szCs w:val="18"/>
        </w:rPr>
        <w:t xml:space="preserve">acting as a Processor: For the period of the Term</w:t>
      </w:r>
    </w:p>
    <w:p w14:paraId="7068858D" w14:textId="553F8F45" w:rsidR="009B79EC" w:rsidRPr="00E73CDB" w:rsidRDefault="002D528A" w:rsidP="00A3506D">
      <w:pPr>
        <w:pStyle w:val="Part"/>
        <w:numPr>
          <w:ilvl w:val="0"/>
          <w:numId w:val="33"/>
        </w:numPr>
        <w:spacing w:line="240" w:lineRule="auto"/>
        <w:ind w:firstLine="69"/>
        <w:rPr>
          <w:rFonts w:ascii="Aptos" w:hAnsi="Aptos"/>
          <w:color w:val="009999"/>
          <w:sz w:val="18"/>
          <w:szCs w:val="18"/>
        </w:rPr>
      </w:pPr>
      <w:r>
        <w:rPr>
          <w:rFonts w:ascii="Aptos" w:hAnsi="Aptos"/>
          <w:b w:val="0"/>
          <w:bCs/>
          <w:color w:val="009999"/>
          <w:sz w:val="18"/>
          <w:szCs w:val="18"/>
        </w:rPr>
        <w:t xml:space="preserve"> </w:t>
      </w:r>
      <w:bookmarkStart w:id="39" w:name="a732918"/>
      <w:bookmarkEnd w:id="38"/>
      <w:r>
        <w:rPr>
          <w:rFonts w:ascii="Aptos" w:hAnsi="Aptos"/>
          <w:color w:val="009999"/>
          <w:sz w:val="18"/>
          <w:szCs w:val="18"/>
        </w:rPr>
        <w:t xml:space="preserve">Types of Shared Personal Data</w:t>
      </w:r>
      <w:bookmarkEnd w:id="39"/>
    </w:p>
    <w:p w14:paraId="627DA1C4" w14:textId="54A99CDC" w:rsidR="00F22470" w:rsidRPr="009C6D3D" w:rsidRDefault="00F22470" w:rsidP="00BE5E6E">
      <w:pPr>
        <w:pStyle w:val="ScheduleTitleClause"/>
        <w:numPr>
          <w:ilvl w:val="0"/>
          <w:numId w:val="0"/>
        </w:numPr>
        <w:spacing w:line="240" w:lineRule="auto"/>
        <w:ind w:left="1418"/>
        <w:rPr>
          <w:rFonts w:ascii="Aptos" w:hAnsi="Aptos"/>
          <w:sz w:val="18"/>
          <w:szCs w:val="18"/>
        </w:rPr>
      </w:pPr>
      <w:r>
        <w:rPr>
          <w:rFonts w:ascii="Aptos" w:hAnsi="Aptos"/>
          <w:sz w:val="18"/>
          <w:szCs w:val="18"/>
        </w:rPr>
        <w:t xml:space="preserve">For Individuals whose personal data is inputted by the Customer into the Platform and Individuals whose personal data is generated by the Customer's use of the Platform:</w:t>
      </w:r>
    </w:p>
    <w:p w14:paraId="18AE1656" w14:textId="77777777" w:rsidR="00BE5E6E" w:rsidRDefault="00BE5E6E" w:rsidP="00BE5E6E">
      <w:pPr>
        <w:pStyle w:val="ScheduleTitleClause"/>
        <w:numPr>
          <w:ilvl w:val="1"/>
          <w:numId w:val="35"/>
        </w:numPr>
        <w:spacing w:line="240" w:lineRule="auto"/>
        <w:ind w:left="1843" w:hanging="425"/>
        <w:rPr>
          <w:rFonts w:ascii="Aptos" w:hAnsi="Aptos"/>
          <w:b w:val="0"/>
          <w:bCs/>
          <w:sz w:val="18"/>
          <w:szCs w:val="18"/>
        </w:rPr>
      </w:pPr>
      <w:r>
        <w:rPr>
          <w:rFonts w:ascii="Aptos" w:hAnsi="Aptos"/>
          <w:b w:val="0"/>
          <w:bCs/>
          <w:sz w:val="18"/>
          <w:szCs w:val="18"/>
        </w:rPr>
        <w:t>Name</w:t>
      </w:r>
    </w:p>
    <w:p w14:paraId="18022BDF" w14:textId="77777777" w:rsidR="00BE5E6E" w:rsidRDefault="00BE5E6E" w:rsidP="00BE5E6E">
      <w:pPr>
        <w:pStyle w:val="ScheduleTitleClause"/>
        <w:numPr>
          <w:ilvl w:val="1"/>
          <w:numId w:val="35"/>
        </w:numPr>
        <w:spacing w:line="240" w:lineRule="auto"/>
        <w:ind w:left="1843" w:hanging="425"/>
        <w:rPr>
          <w:rFonts w:ascii="Aptos" w:hAnsi="Aptos"/>
          <w:b w:val="0"/>
          <w:bCs/>
          <w:sz w:val="18"/>
          <w:szCs w:val="18"/>
        </w:rPr>
      </w:pPr>
      <w:r>
        <w:rPr>
          <w:rFonts w:ascii="Aptos" w:hAnsi="Aptos"/>
          <w:b w:val="0"/>
          <w:bCs/>
          <w:sz w:val="18"/>
          <w:szCs w:val="18"/>
        </w:rPr>
        <w:t>Social media handles</w:t>
      </w:r>
    </w:p>
    <w:p w14:paraId="2B088854" w14:textId="77777777" w:rsidR="00BE5E6E" w:rsidRDefault="00BE5E6E" w:rsidP="00BE5E6E">
      <w:pPr>
        <w:pStyle w:val="ScheduleTitleClause"/>
        <w:numPr>
          <w:ilvl w:val="1"/>
          <w:numId w:val="35"/>
        </w:numPr>
        <w:spacing w:line="240" w:lineRule="auto"/>
        <w:ind w:left="1843" w:hanging="425"/>
        <w:rPr>
          <w:rFonts w:ascii="Aptos" w:hAnsi="Aptos"/>
          <w:b w:val="0"/>
          <w:bCs/>
          <w:sz w:val="18"/>
          <w:szCs w:val="18"/>
        </w:rPr>
      </w:pPr>
      <w:r>
        <w:rPr>
          <w:rFonts w:ascii="Aptos" w:hAnsi="Aptos"/>
          <w:b w:val="0"/>
          <w:bCs/>
          <w:sz w:val="18"/>
          <w:szCs w:val="18"/>
        </w:rPr>
        <w:t>Organisation affiliations</w:t>
      </w:r>
    </w:p>
    <w:p w14:paraId="6319F3E0" w14:textId="7BE5428A" w:rsidR="00BE5E6E" w:rsidRPr="00BE5E6E" w:rsidRDefault="00BE5E6E" w:rsidP="00BE5E6E">
      <w:pPr>
        <w:pStyle w:val="ScheduleTitleClause"/>
        <w:numPr>
          <w:ilvl w:val="1"/>
          <w:numId w:val="35"/>
        </w:numPr>
        <w:spacing w:line="240" w:lineRule="auto"/>
        <w:ind w:left="1843" w:hanging="425"/>
        <w:rPr>
          <w:rFonts w:ascii="Aptos" w:hAnsi="Aptos"/>
          <w:b w:val="0"/>
          <w:bCs/>
          <w:sz w:val="18"/>
          <w:szCs w:val="18"/>
        </w:rPr>
      </w:pPr>
      <w:r>
        <w:rPr>
          <w:rFonts w:ascii="Aptos" w:hAnsi="Aptos"/>
          <w:b w:val="0"/>
          <w:bCs/>
          <w:sz w:val="18"/>
          <w:szCs w:val="18"/>
        </w:rPr>
        <w:t>Accounts</w:t>
      </w:r>
    </w:p>
    <w:p w14:paraId="75ADC791" w14:textId="77777777" w:rsidR="00BE5E6E" w:rsidRPr="00BE5E6E" w:rsidRDefault="00BE5E6E" w:rsidP="00BE5E6E">
      <w:pPr>
        <w:pStyle w:val="ScheduleTitleClause"/>
        <w:numPr>
          <w:ilvl w:val="1"/>
          <w:numId w:val="35"/>
        </w:numPr>
        <w:spacing w:line="240" w:lineRule="auto"/>
        <w:ind w:left="1843" w:hanging="425"/>
        <w:rPr>
          <w:rFonts w:ascii="Aptos" w:hAnsi="Aptos"/>
          <w:b w:val="0"/>
          <w:bCs/>
          <w:sz w:val="18"/>
          <w:szCs w:val="18"/>
        </w:rPr>
      </w:pPr>
      <w:r>
        <w:rPr>
          <w:rFonts w:ascii="Aptos" w:hAnsi="Aptos"/>
          <w:b w:val="0"/>
          <w:bCs/>
          <w:sz w:val="18"/>
          <w:szCs w:val="18"/>
        </w:rPr>
        <w:t>Biographical data</w:t>
      </w:r>
    </w:p>
    <w:p w14:paraId="26CDF4CC" w14:textId="43DFDD19" w:rsidR="00BE5E6E" w:rsidRPr="00BE5E6E" w:rsidRDefault="00BE5E6E" w:rsidP="00BE5E6E">
      <w:pPr>
        <w:pStyle w:val="ScheduleTitleClause"/>
        <w:numPr>
          <w:ilvl w:val="1"/>
          <w:numId w:val="35"/>
        </w:numPr>
        <w:spacing w:line="240" w:lineRule="auto"/>
        <w:ind w:left="1843" w:hanging="425"/>
        <w:rPr>
          <w:rFonts w:ascii="Aptos" w:hAnsi="Aptos"/>
          <w:b w:val="0"/>
          <w:bCs/>
          <w:sz w:val="18"/>
          <w:szCs w:val="18"/>
        </w:rPr>
      </w:pPr>
      <w:r>
        <w:rPr>
          <w:rFonts w:ascii="Aptos" w:hAnsi="Aptos"/>
          <w:b w:val="0"/>
          <w:bCs/>
          <w:sz w:val="18"/>
          <w:szCs w:val="18"/>
        </w:rPr>
        <w:t>Professional roles, personal markers (e.g., religious beliefs, family status), and location.</w:t>
      </w:r>
    </w:p>
    <w:p w14:paraId="7919D855" w14:textId="67B3D362" w:rsidR="00BE5E6E" w:rsidRPr="00BE5E6E" w:rsidRDefault="00BE5E6E" w:rsidP="00BE5E6E">
      <w:pPr>
        <w:pStyle w:val="ScheduleTitleClause"/>
        <w:numPr>
          <w:ilvl w:val="1"/>
          <w:numId w:val="35"/>
        </w:numPr>
        <w:spacing w:line="240" w:lineRule="auto"/>
        <w:ind w:left="1843" w:hanging="425"/>
        <w:rPr>
          <w:rFonts w:ascii="Aptos" w:hAnsi="Aptos"/>
          <w:b w:val="0"/>
          <w:bCs/>
          <w:sz w:val="18"/>
          <w:szCs w:val="18"/>
        </w:rPr>
      </w:pPr>
      <w:r>
        <w:rPr>
          <w:rFonts w:ascii="Aptos" w:hAnsi="Aptos"/>
          <w:b w:val="0"/>
          <w:bCs/>
          <w:sz w:val="18"/>
          <w:szCs w:val="18"/>
        </w:rPr>
        <w:t xml:space="preserve">Online activity data such as posting behaviour (volume, themes, and frequency) and platform-specific activity.</w:t>
      </w:r>
    </w:p>
    <w:p w14:paraId="1391228A" w14:textId="563072E3" w:rsidR="00BE5E6E" w:rsidRPr="00BE5E6E" w:rsidRDefault="00BE5E6E" w:rsidP="00BE5E6E">
      <w:pPr>
        <w:pStyle w:val="ScheduleTitleClause"/>
        <w:numPr>
          <w:ilvl w:val="1"/>
          <w:numId w:val="35"/>
        </w:numPr>
        <w:spacing w:line="240" w:lineRule="auto"/>
        <w:ind w:left="1843" w:hanging="425"/>
        <w:rPr>
          <w:rFonts w:ascii="Aptos" w:hAnsi="Aptos"/>
          <w:b w:val="0"/>
          <w:bCs/>
          <w:sz w:val="18"/>
          <w:szCs w:val="18"/>
        </w:rPr>
      </w:pPr>
      <w:r>
        <w:rPr>
          <w:rFonts w:ascii="Aptos" w:hAnsi="Aptos"/>
          <w:b w:val="0"/>
          <w:bCs/>
          <w:sz w:val="18"/>
          <w:szCs w:val="18"/>
        </w:rPr>
        <w:t xml:space="preserve">Audience data such as demographics, engagement patterns, and sentiment analysis from comments.</w:t>
      </w:r>
    </w:p>
    <w:p w14:paraId="4CD1D4AB" w14:textId="541CFCD2" w:rsidR="00BE5E6E" w:rsidRPr="00BE5E6E" w:rsidRDefault="00BE5E6E" w:rsidP="00BE5E6E">
      <w:pPr>
        <w:pStyle w:val="ScheduleTitleClause"/>
        <w:numPr>
          <w:ilvl w:val="1"/>
          <w:numId w:val="35"/>
        </w:numPr>
        <w:spacing w:line="240" w:lineRule="auto"/>
        <w:ind w:left="1843" w:hanging="425"/>
        <w:rPr>
          <w:rFonts w:ascii="Aptos" w:hAnsi="Aptos"/>
          <w:b w:val="0"/>
          <w:bCs/>
          <w:sz w:val="18"/>
          <w:szCs w:val="18"/>
        </w:rPr>
      </w:pPr>
      <w:r>
        <w:rPr>
          <w:rFonts w:ascii="Aptos" w:hAnsi="Aptos"/>
          <w:b w:val="0"/>
          <w:bCs/>
          <w:sz w:val="18"/>
          <w:szCs w:val="18"/>
        </w:rPr>
        <w:t xml:space="preserve">Network and association data such as key collaborators, institutional partners, and affiliated organisations.</w:t>
      </w:r>
    </w:p>
    <w:p w14:paraId="170B7985" w14:textId="0BFCB36F" w:rsidR="00BE5E6E" w:rsidRPr="00BE5E6E" w:rsidRDefault="00BE5E6E" w:rsidP="00BE5E6E">
      <w:pPr>
        <w:pStyle w:val="ScheduleTitleClause"/>
        <w:numPr>
          <w:ilvl w:val="1"/>
          <w:numId w:val="35"/>
        </w:numPr>
        <w:spacing w:line="240" w:lineRule="auto"/>
        <w:ind w:left="1843" w:hanging="425"/>
        <w:rPr>
          <w:rFonts w:ascii="Aptos" w:hAnsi="Aptos"/>
          <w:b w:val="0"/>
          <w:bCs/>
          <w:sz w:val="18"/>
          <w:szCs w:val="18"/>
        </w:rPr>
      </w:pPr>
      <w:r>
        <w:rPr>
          <w:rFonts w:ascii="Aptos" w:hAnsi="Aptos"/>
          <w:b w:val="0"/>
          <w:bCs/>
          <w:sz w:val="18"/>
          <w:szCs w:val="18"/>
        </w:rPr>
        <w:t xml:space="preserve">Travel and location data such as documented international travel patterns and event locations.</w:t>
      </w:r>
    </w:p>
    <w:p w14:paraId="2A0C538C" w14:textId="2FD48A35" w:rsidR="00231914" w:rsidRDefault="00BE5E6E" w:rsidP="00BE5E6E">
      <w:pPr>
        <w:pStyle w:val="ScheduleTitleClause"/>
        <w:numPr>
          <w:ilvl w:val="1"/>
          <w:numId w:val="35"/>
        </w:numPr>
        <w:spacing w:line="240" w:lineRule="auto"/>
        <w:ind w:left="1843" w:hanging="425"/>
        <w:rPr>
          <w:rFonts w:ascii="Aptos" w:hAnsi="Aptos"/>
          <w:b w:val="0"/>
          <w:bCs/>
          <w:sz w:val="18"/>
          <w:szCs w:val="18"/>
        </w:rPr>
      </w:pPr>
      <w:r>
        <w:rPr>
          <w:rFonts w:ascii="Aptos" w:hAnsi="Aptos"/>
          <w:b w:val="0"/>
          <w:bCs/>
          <w:sz w:val="18"/>
          <w:szCs w:val="18"/>
        </w:rPr>
        <w:t xml:space="preserve">Content data such as themes of posts, messaging focus, and promotional materials.</w:t>
      </w:r>
    </w:p>
    <w:p w14:paraId="67771F60" w14:textId="71910212" w:rsidR="009C6D3D" w:rsidRPr="009C6D3D" w:rsidRDefault="009C6D3D" w:rsidP="009C6D3D">
      <w:pPr>
        <w:pStyle w:val="ScheduleTitleClause"/>
        <w:numPr>
          <w:ilvl w:val="1"/>
          <w:numId w:val="35"/>
        </w:numPr>
        <w:spacing w:line="240" w:lineRule="auto"/>
        <w:ind w:left="1843" w:hanging="425"/>
        <w:rPr>
          <w:rFonts w:ascii="Aptos" w:hAnsi="Aptos"/>
          <w:b w:val="0"/>
          <w:bCs/>
          <w:sz w:val="18"/>
          <w:szCs w:val="18"/>
        </w:rPr>
      </w:pPr>
      <w:r>
        <w:rPr>
          <w:rFonts w:ascii="Aptos" w:hAnsi="Aptos"/>
          <w:b w:val="0"/>
          <w:bCs/>
          <w:sz w:val="18"/>
          <w:szCs w:val="18"/>
        </w:rPr>
        <w:t xml:space="preserve">any other Personal Data the Customer’s use of the Platform and/or during the provision of the Services generates.</w:t>
      </w:r>
    </w:p>
    <w:p w14:paraId="74D86143" w14:textId="30EE0DC1" w:rsidR="009B79EC" w:rsidRPr="00E73CDB" w:rsidRDefault="009B79EC" w:rsidP="00A3506D">
      <w:pPr>
        <w:pStyle w:val="Part"/>
        <w:numPr>
          <w:ilvl w:val="0"/>
          <w:numId w:val="33"/>
        </w:numPr>
        <w:spacing w:after="0" w:line="240" w:lineRule="auto"/>
        <w:rPr>
          <w:rFonts w:ascii="Aptos" w:hAnsi="Aptos"/>
          <w:color w:val="009999"/>
          <w:sz w:val="18"/>
          <w:szCs w:val="18"/>
        </w:rPr>
      </w:pPr>
      <w:bookmarkStart w:id="40" w:name="a821766"/>
      <w:r>
        <w:rPr>
          <w:rFonts w:ascii="Aptos" w:hAnsi="Aptos"/>
          <w:color w:val="009999"/>
          <w:sz w:val="18"/>
          <w:szCs w:val="18"/>
        </w:rPr>
        <w:t>Categories of Data Subject</w:t>
      </w:r>
      <w:bookmarkEnd w:id="40"/>
      <w:r>
        <w:rPr>
          <w:rFonts w:ascii="Aptos" w:hAnsi="Aptos"/>
          <w:color w:val="009999"/>
          <w:sz w:val="18"/>
          <w:szCs w:val="18"/>
        </w:rPr>
        <w:t>s</w:t>
      </w:r>
    </w:p>
    <w:p w14:paraId="42CFEF9C" w14:textId="18B83681" w:rsidR="00606375" w:rsidRPr="00E73CDB" w:rsidRDefault="00606375" w:rsidP="00A3506D">
      <w:pPr>
        <w:pStyle w:val="ScheduleTitleClause"/>
        <w:numPr>
          <w:ilvl w:val="1"/>
          <w:numId w:val="35"/>
        </w:numPr>
        <w:spacing w:line="240" w:lineRule="auto"/>
        <w:ind w:left="1843" w:hanging="425"/>
        <w:rPr>
          <w:rFonts w:ascii="Aptos" w:hAnsi="Aptos"/>
          <w:b w:val="0"/>
          <w:bCs/>
          <w:sz w:val="18"/>
          <w:szCs w:val="18"/>
        </w:rPr>
      </w:pPr>
      <w:r>
        <w:rPr>
          <w:rFonts w:ascii="Aptos" w:hAnsi="Aptos"/>
          <w:b w:val="0"/>
          <w:bCs/>
          <w:sz w:val="18"/>
          <w:szCs w:val="18"/>
        </w:rPr>
        <w:t xml:space="preserve">Individuals whose personal data is inputted by the Customer into the Platform. </w:t>
      </w:r>
    </w:p>
    <w:p w14:paraId="06617442" w14:textId="0E342B16" w:rsidR="00F22470" w:rsidRPr="00E73CDB" w:rsidRDefault="00606375" w:rsidP="00A3506D">
      <w:pPr>
        <w:pStyle w:val="ScheduleTitleClause"/>
        <w:numPr>
          <w:ilvl w:val="1"/>
          <w:numId w:val="35"/>
        </w:numPr>
        <w:spacing w:line="240" w:lineRule="auto"/>
        <w:ind w:left="1843" w:hanging="425"/>
        <w:rPr>
          <w:rFonts w:ascii="Aptos" w:hAnsi="Aptos"/>
          <w:b w:val="0"/>
          <w:bCs/>
          <w:sz w:val="18"/>
          <w:szCs w:val="18"/>
        </w:rPr>
      </w:pPr>
      <w:r>
        <w:rPr>
          <w:rFonts w:ascii="Aptos" w:hAnsi="Aptos"/>
          <w:b w:val="0"/>
          <w:bCs/>
          <w:sz w:val="18"/>
          <w:szCs w:val="18"/>
        </w:rPr>
        <w:t xml:space="preserve">Individuals whose personal data is generated as an output by the Customer's use of the Platform. </w:t>
      </w:r>
    </w:p>
    <w:p w14:paraId="5BC10F33" w14:textId="575CB373" w:rsidR="00A36B2D" w:rsidRPr="0094077D" w:rsidRDefault="00A36B2D" w:rsidP="00A3506D">
      <w:pPr>
        <w:pStyle w:val="Part"/>
        <w:numPr>
          <w:ilvl w:val="0"/>
          <w:numId w:val="33"/>
        </w:numPr>
        <w:spacing w:line="240" w:lineRule="auto"/>
        <w:rPr>
          <w:rFonts w:ascii="Aptos" w:hAnsi="Aptos"/>
          <w:color w:val="0000FF"/>
          <w:sz w:val="18"/>
          <w:szCs w:val="18"/>
        </w:rPr>
      </w:pPr>
      <w:bookmarkStart w:id="41" w:name="_Ref185276088"/>
      <w:r>
        <w:rPr>
          <w:rFonts w:ascii="Aptos" w:hAnsi="Aptos"/>
          <w:color w:val="009999"/>
          <w:sz w:val="18"/>
          <w:szCs w:val="18"/>
        </w:rPr>
        <w:t xml:space="preserve">Sub-Processors </w:t>
      </w:r>
      <w:bookmarkEnd w:id="41"/>
      <w:r>
        <w:rPr>
          <w:rFonts w:ascii="Aptos" w:hAnsi="Aptos"/>
          <w:color w:val="0000FF"/>
          <w:sz w:val="18"/>
          <w:szCs w:val="18"/>
        </w:rPr>
        <w:t xml:space="preserve">- </w:t>
      </w:r>
      <w:r>
        <w:rPr>
          <w:rFonts w:ascii="Aptos" w:hAnsi="Aptos"/>
          <w:sz w:val="18"/>
          <w:szCs w:val="18"/>
        </w:rPr>
        <w:t xml:space="preserve">where applicable to the Shared Personal Data Processed for the purposes of the Services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2"/>
        <w:gridCol w:w="2976"/>
        <w:gridCol w:w="2836"/>
        <w:gridCol w:w="2522"/>
      </w:tblGrid>
      <w:tr w:rsidR="0076491A" w:rsidRPr="00F52633" w14:paraId="7557C6D6" w14:textId="093E0A15" w:rsidTr="008A657B">
        <w:trPr>
          <w:tblHeader/>
        </w:trPr>
        <w:tc>
          <w:tcPr>
            <w:tcW w:w="1015" w:type="pct"/>
            <w:tcBorders>
              <w:top w:val="single" w:sz="4" w:space="0" w:color="B0B0B0"/>
              <w:left w:val="single" w:sz="4" w:space="0" w:color="B0B0B0"/>
              <w:bottom w:val="single" w:sz="4" w:space="0" w:color="B0B0B0"/>
              <w:right w:val="single" w:sz="4" w:space="0" w:color="B0B0B0"/>
            </w:tcBorders>
            <w:shd w:val="clear" w:color="auto" w:fill="009999"/>
            <w:tcMar>
              <w:top w:w="60" w:type="dxa"/>
              <w:left w:w="110" w:type="dxa"/>
              <w:bottom w:w="60" w:type="dxa"/>
              <w:right w:w="110" w:type="dxa"/>
            </w:tcMar>
            <w:hideMark/>
          </w:tcPr>
          <w:p w14:paraId="1382BBE0" w14:textId="77777777" w:rsidR="0076491A" w:rsidRPr="00F52633" w:rsidRDefault="0076491A" w:rsidP="00F52633">
            <w:pPr>
              <w:spacing w:after="0"/>
              <w:rPr>
                <w:rFonts w:ascii="Aptos" w:hAnsi="Aptos"/>
                <w:sz w:val="18"/>
                <w:szCs w:val="18"/>
              </w:rPr>
            </w:pPr>
            <w:r>
              <w:rPr>
                <w:rFonts w:ascii="Aptos" w:hAnsi="Aptos"/>
                <w:b/>
                <w:bCs/>
                <w:color w:val="FFFFFF"/>
                <w:sz w:val="18"/>
                <w:szCs w:val="18"/>
              </w:rPr>
              <w:t>Vendor</w:t>
            </w:r>
          </w:p>
        </w:tc>
        <w:tc>
          <w:tcPr>
            <w:tcW w:w="1423" w:type="pct"/>
            <w:tcBorders>
              <w:top w:val="single" w:sz="4" w:space="0" w:color="B0B0B0"/>
              <w:left w:val="single" w:sz="4" w:space="0" w:color="B0B0B0"/>
              <w:bottom w:val="single" w:sz="4" w:space="0" w:color="B0B0B0"/>
              <w:right w:val="single" w:sz="4" w:space="0" w:color="B0B0B0"/>
            </w:tcBorders>
            <w:shd w:val="clear" w:color="auto" w:fill="009999"/>
            <w:tcMar>
              <w:top w:w="60" w:type="dxa"/>
              <w:left w:w="110" w:type="dxa"/>
              <w:bottom w:w="60" w:type="dxa"/>
              <w:right w:w="110" w:type="dxa"/>
            </w:tcMar>
            <w:hideMark/>
          </w:tcPr>
          <w:p w14:paraId="196E4E74" w14:textId="77777777" w:rsidR="0076491A" w:rsidRPr="00F52633" w:rsidRDefault="0076491A" w:rsidP="00F52633">
            <w:pPr>
              <w:spacing w:after="0"/>
              <w:rPr>
                <w:rFonts w:ascii="Aptos" w:hAnsi="Aptos"/>
                <w:sz w:val="18"/>
                <w:szCs w:val="18"/>
              </w:rPr>
            </w:pPr>
            <w:r>
              <w:rPr>
                <w:rFonts w:ascii="Aptos" w:hAnsi="Aptos"/>
                <w:b/>
                <w:bCs/>
                <w:color w:val="FFFFFF"/>
                <w:sz w:val="18"/>
                <w:szCs w:val="18"/>
              </w:rPr>
              <w:t>Used for</w:t>
            </w:r>
          </w:p>
        </w:tc>
        <w:tc>
          <w:tcPr>
            <w:tcW w:w="1356" w:type="pct"/>
            <w:tcBorders>
              <w:top w:val="single" w:sz="4" w:space="0" w:color="B0B0B0"/>
              <w:left w:val="single" w:sz="4" w:space="0" w:color="B0B0B0"/>
              <w:bottom w:val="single" w:sz="4" w:space="0" w:color="B0B0B0"/>
              <w:right w:val="single" w:sz="4" w:space="0" w:color="B0B0B0"/>
            </w:tcBorders>
            <w:shd w:val="clear" w:color="auto" w:fill="009999"/>
            <w:tcMar>
              <w:top w:w="60" w:type="dxa"/>
              <w:left w:w="110" w:type="dxa"/>
              <w:bottom w:w="60" w:type="dxa"/>
              <w:right w:w="110" w:type="dxa"/>
            </w:tcMar>
            <w:hideMark/>
          </w:tcPr>
          <w:p w14:paraId="06EE0C3A" w14:textId="77777777" w:rsidR="0076491A" w:rsidRPr="00F52633" w:rsidRDefault="0076491A" w:rsidP="00F52633">
            <w:pPr>
              <w:spacing w:after="0"/>
              <w:rPr>
                <w:rFonts w:ascii="Aptos" w:hAnsi="Aptos"/>
                <w:sz w:val="18"/>
                <w:szCs w:val="18"/>
              </w:rPr>
            </w:pPr>
            <w:r>
              <w:rPr>
                <w:rFonts w:ascii="Aptos" w:hAnsi="Aptos"/>
                <w:b/>
                <w:bCs/>
                <w:color w:val="FFFFFF"/>
                <w:sz w:val="18"/>
                <w:szCs w:val="18"/>
              </w:rPr>
              <w:t>Location / jurisdiction</w:t>
            </w:r>
          </w:p>
        </w:tc>
        <w:tc>
          <w:tcPr>
            <w:tcW w:w="1206" w:type="pct"/>
            <w:tcBorders>
              <w:top w:val="single" w:sz="4" w:space="0" w:color="B0B0B0"/>
              <w:left w:val="single" w:sz="4" w:space="0" w:color="B0B0B0"/>
              <w:bottom w:val="single" w:sz="4" w:space="0" w:color="B0B0B0"/>
              <w:right w:val="single" w:sz="4" w:space="0" w:color="B0B0B0"/>
            </w:tcBorders>
            <w:shd w:val="clear" w:color="auto" w:fill="009999"/>
          </w:tcPr>
          <w:p w14:paraId="2C1585D2" w14:textId="0268B43F" w:rsidR="0076491A" w:rsidRPr="00F52633" w:rsidRDefault="0076491A" w:rsidP="00F52633">
            <w:pPr>
              <w:spacing w:after="0"/>
              <w:rPr>
                <w:rFonts w:ascii="Aptos" w:hAnsi="Aptos"/>
                <w:b/>
                <w:bCs/>
                <w:color w:val="FFFFFF"/>
                <w:sz w:val="18"/>
                <w:szCs w:val="18"/>
              </w:rPr>
            </w:pPr>
            <w:r>
              <w:rPr>
                <w:rFonts w:ascii="Aptos" w:hAnsi="Aptos"/>
                <w:b/>
                <w:bCs/>
                <w:color w:val="FFFFFF"/>
                <w:sz w:val="18"/>
                <w:szCs w:val="18"/>
              </w:rPr>
              <w:t>International Data Transfer Mechanism</w:t>
            </w:r>
          </w:p>
        </w:tc>
      </w:tr>
      <w:tr w:rsidR="0076491A" w:rsidRPr="00F52633" w14:paraId="244E9B2A" w14:textId="50BB99FC" w:rsidTr="008A657B">
        <w:tc>
          <w:tcPr>
            <w:tcW w:w="1015"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437401AB" w14:textId="5831E1D8" w:rsidR="0076491A" w:rsidRPr="00F52633" w:rsidRDefault="0076491A" w:rsidP="00F52633">
            <w:pPr>
              <w:spacing w:after="0"/>
              <w:rPr>
                <w:rFonts w:ascii="Aptos" w:hAnsi="Aptos"/>
                <w:sz w:val="18"/>
                <w:szCs w:val="18"/>
              </w:rPr>
            </w:pPr>
            <w:r>
              <w:rPr>
                <w:rFonts w:ascii="Aptos" w:hAnsi="Aptos"/>
                <w:b/>
                <w:bCs/>
                <w:sz w:val="18"/>
                <w:szCs w:val="18"/>
              </w:rPr>
              <w:t xml:space="preserve">Apify </w:t>
            </w:r>
            <w:r>
              <w:rPr>
                <w:rFonts w:ascii="Aptos" w:hAnsi="Aptos"/>
                <w:b/>
                <w:bCs/>
                <w:sz w:val="18"/>
                <w:szCs w:val="18"/>
                <w:lang w:val="fr-FR"/>
              </w:rPr>
              <w:t>Technologies s.r.o</w:t>
            </w:r>
          </w:p>
        </w:tc>
        <w:tc>
          <w:tcPr>
            <w:tcW w:w="1423"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5470D5C3" w14:textId="336C58D3" w:rsidR="0076491A" w:rsidRPr="00F52633" w:rsidRDefault="0076491A" w:rsidP="00F52633">
            <w:pPr>
              <w:spacing w:after="0"/>
              <w:rPr>
                <w:rFonts w:ascii="Aptos" w:hAnsi="Aptos"/>
                <w:sz w:val="18"/>
                <w:szCs w:val="18"/>
              </w:rPr>
            </w:pPr>
            <w:r>
              <w:rPr>
                <w:rFonts w:ascii="Aptos" w:hAnsi="Aptos"/>
                <w:sz w:val="18"/>
                <w:szCs w:val="18"/>
              </w:rPr>
              <w:t xml:space="preserve">Collection of publicly available web data</w:t>
            </w:r>
          </w:p>
        </w:tc>
        <w:tc>
          <w:tcPr>
            <w:tcW w:w="1356"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3C4453C6" w14:textId="0284AFDB" w:rsidR="0076491A" w:rsidRPr="00F52633" w:rsidRDefault="0076491A" w:rsidP="00F52633">
            <w:pPr>
              <w:spacing w:after="0"/>
              <w:rPr>
                <w:rFonts w:ascii="Aptos" w:hAnsi="Aptos"/>
                <w:sz w:val="18"/>
                <w:szCs w:val="18"/>
                <w:lang w:val="fr-FR"/>
              </w:rPr>
            </w:pPr>
            <w:r>
              <w:rPr>
                <w:rFonts w:ascii="Aptos" w:hAnsi="Aptos"/>
                <w:sz w:val="18"/>
                <w:szCs w:val="18"/>
                <w:lang w:val="fr-FR"/>
              </w:rPr>
              <w:t>Czech Republic (EU/EEA). Apify Technologies s.r.o., Prague</w:t>
            </w:r>
          </w:p>
        </w:tc>
        <w:tc>
          <w:tcPr>
            <w:tcW w:w="1206" w:type="pct"/>
            <w:tcBorders>
              <w:top w:val="single" w:sz="4" w:space="0" w:color="B0B0B0"/>
              <w:left w:val="single" w:sz="4" w:space="0" w:color="B0B0B0"/>
              <w:bottom w:val="single" w:sz="4" w:space="0" w:color="B0B0B0"/>
              <w:right w:val="single" w:sz="4" w:space="0" w:color="B0B0B0"/>
            </w:tcBorders>
          </w:tcPr>
          <w:p w14:paraId="480F4A70" w14:textId="64084C9F" w:rsidR="0076491A" w:rsidRPr="00F52633" w:rsidRDefault="0076491A" w:rsidP="00F52633">
            <w:pPr>
              <w:spacing w:after="0"/>
              <w:rPr>
                <w:rFonts w:ascii="Aptos" w:hAnsi="Aptos"/>
                <w:sz w:val="18"/>
                <w:szCs w:val="18"/>
                <w:lang w:val="fr-FR"/>
              </w:rPr>
            </w:pPr>
            <w:r>
              <w:rPr>
                <w:rFonts w:ascii="Aptos" w:hAnsi="Aptos"/>
                <w:sz w:val="18"/>
                <w:szCs w:val="18"/>
                <w:lang w:val="fr-FR"/>
              </w:rPr>
              <w:t xml:space="preserve">EU SCCs and UK Addendum to the EU SCCs </w:t>
            </w:r>
          </w:p>
        </w:tc>
      </w:tr>
      <w:tr w:rsidR="0076491A" w:rsidRPr="00F52633" w14:paraId="1AA8DC06" w14:textId="0DA78820" w:rsidTr="008A657B">
        <w:tc>
          <w:tcPr>
            <w:tcW w:w="1015"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76A351A0" w14:textId="54717FC1" w:rsidR="0076491A" w:rsidRPr="00F52633" w:rsidRDefault="0076491A" w:rsidP="00F52633">
            <w:pPr>
              <w:spacing w:after="0"/>
              <w:rPr>
                <w:rFonts w:ascii="Aptos" w:hAnsi="Aptos"/>
                <w:sz w:val="18"/>
                <w:szCs w:val="18"/>
              </w:rPr>
            </w:pPr>
            <w:r>
              <w:rPr>
                <w:rFonts w:ascii="Aptos" w:hAnsi="Aptos"/>
                <w:b/>
                <w:bCs/>
                <w:sz w:val="18"/>
                <w:szCs w:val="18"/>
              </w:rPr>
              <w:t xml:space="preserve">Bright Data Ltd</w:t>
            </w:r>
          </w:p>
        </w:tc>
        <w:tc>
          <w:tcPr>
            <w:tcW w:w="1423"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727F703E" w14:textId="77777777" w:rsidR="0076491A" w:rsidRPr="00F52633" w:rsidRDefault="0076491A" w:rsidP="00F52633">
            <w:pPr>
              <w:spacing w:after="0"/>
              <w:rPr>
                <w:rFonts w:ascii="Aptos" w:hAnsi="Aptos"/>
                <w:sz w:val="18"/>
                <w:szCs w:val="18"/>
              </w:rPr>
            </w:pPr>
            <w:r>
              <w:rPr>
                <w:rFonts w:ascii="Aptos" w:hAnsi="Aptos"/>
                <w:sz w:val="18"/>
                <w:szCs w:val="18"/>
              </w:rPr>
              <w:t>Collection of publicly available web data</w:t>
            </w:r>
          </w:p>
        </w:tc>
        <w:tc>
          <w:tcPr>
            <w:tcW w:w="1356"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4992AAA2" w14:textId="66EA6942" w:rsidR="0076491A" w:rsidRPr="0028313A" w:rsidRDefault="0076491A" w:rsidP="00F52633">
            <w:pPr>
              <w:spacing w:after="0"/>
              <w:rPr>
                <w:rFonts w:ascii="Aptos" w:hAnsi="Aptos"/>
                <w:sz w:val="18"/>
                <w:szCs w:val="18"/>
                <w:lang w:val="it-IT"/>
              </w:rPr>
            </w:pPr>
            <w:r>
              <w:rPr>
                <w:rFonts w:ascii="Aptos" w:hAnsi="Aptos"/>
                <w:sz w:val="18"/>
                <w:szCs w:val="18"/>
                <w:lang w:val="it-IT"/>
              </w:rPr>
              <w:t>Israel. Bright Data Ltd., Netanya</w:t>
            </w:r>
          </w:p>
        </w:tc>
        <w:tc>
          <w:tcPr>
            <w:tcW w:w="1206" w:type="pct"/>
            <w:tcBorders>
              <w:top w:val="single" w:sz="4" w:space="0" w:color="B0B0B0"/>
              <w:left w:val="single" w:sz="4" w:space="0" w:color="B0B0B0"/>
              <w:bottom w:val="single" w:sz="4" w:space="0" w:color="B0B0B0"/>
              <w:right w:val="single" w:sz="4" w:space="0" w:color="B0B0B0"/>
            </w:tcBorders>
          </w:tcPr>
          <w:p w14:paraId="6F1DFA81" w14:textId="102E3848" w:rsidR="0076491A" w:rsidRPr="00F52633" w:rsidRDefault="0076491A" w:rsidP="00F52633">
            <w:pPr>
              <w:spacing w:after="0"/>
              <w:rPr>
                <w:rFonts w:ascii="Aptos" w:hAnsi="Aptos"/>
                <w:sz w:val="18"/>
                <w:szCs w:val="18"/>
                <w:lang w:val="it-IT"/>
              </w:rPr>
            </w:pPr>
            <w:r>
              <w:rPr>
                <w:rFonts w:ascii="Aptos" w:hAnsi="Aptos"/>
                <w:sz w:val="18"/>
                <w:szCs w:val="18"/>
                <w:lang w:val="it-IT"/>
              </w:rPr>
              <w:t xml:space="preserve">Adequacy decision </w:t>
            </w:r>
          </w:p>
        </w:tc>
      </w:tr>
      <w:tr w:rsidR="0076491A" w:rsidRPr="00F52633" w14:paraId="063F2DCA" w14:textId="6C20209F" w:rsidTr="008A657B">
        <w:tc>
          <w:tcPr>
            <w:tcW w:w="1015"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5B0D9D7B" w14:textId="2241C665" w:rsidR="0076491A" w:rsidRPr="00F52633" w:rsidRDefault="0076491A" w:rsidP="00F52633">
            <w:pPr>
              <w:spacing w:after="0"/>
              <w:rPr>
                <w:rFonts w:ascii="Aptos" w:hAnsi="Aptos"/>
                <w:sz w:val="18"/>
                <w:szCs w:val="18"/>
              </w:rPr>
            </w:pPr>
            <w:r>
              <w:rPr>
                <w:rFonts w:ascii="Aptos" w:hAnsi="Aptos"/>
                <w:b/>
                <w:bCs/>
                <w:sz w:val="18"/>
                <w:szCs w:val="18"/>
              </w:rPr>
              <w:t xml:space="preserve">DarkOwl Vision (Dark Owl LLC)</w:t>
            </w:r>
          </w:p>
        </w:tc>
        <w:tc>
          <w:tcPr>
            <w:tcW w:w="1423"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345F6694" w14:textId="002911C4" w:rsidR="0076491A" w:rsidRPr="00F52633" w:rsidRDefault="0076491A" w:rsidP="00F52633">
            <w:pPr>
              <w:spacing w:after="0"/>
              <w:rPr>
                <w:rFonts w:ascii="Aptos" w:hAnsi="Aptos"/>
                <w:sz w:val="18"/>
                <w:szCs w:val="18"/>
              </w:rPr>
            </w:pPr>
            <w:r>
              <w:rPr>
                <w:rFonts w:ascii="Aptos" w:hAnsi="Aptos"/>
                <w:sz w:val="18"/>
                <w:szCs w:val="18"/>
              </w:rPr>
              <w:t>Specialist web and dataset intelligence collection</w:t>
            </w:r>
          </w:p>
        </w:tc>
        <w:tc>
          <w:tcPr>
            <w:tcW w:w="1356"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501FB85C" w14:textId="4B23A3A7" w:rsidR="00CA6115" w:rsidRPr="00F52633" w:rsidRDefault="0076491A" w:rsidP="00CA6115">
            <w:pPr>
              <w:spacing w:after="0"/>
              <w:rPr>
                <w:rFonts w:ascii="Aptos" w:hAnsi="Aptos"/>
                <w:sz w:val="18"/>
                <w:szCs w:val="18"/>
              </w:rPr>
            </w:pPr>
            <w:r>
              <w:rPr>
                <w:rFonts w:ascii="Aptos" w:hAnsi="Aptos"/>
                <w:sz w:val="18"/>
                <w:szCs w:val="18"/>
              </w:rPr>
              <w:t xml:space="preserve">United States. DarkOwl LLC, Denver, Colorado. </w:t>
            </w:r>
          </w:p>
          <w:p w14:paraId="6BF08C31" w14:textId="39416C1C" w:rsidR="0076491A" w:rsidRPr="00F52633" w:rsidRDefault="0076491A" w:rsidP="00F52633">
            <w:pPr>
              <w:spacing w:after="0"/>
              <w:rPr>
                <w:rFonts w:ascii="Aptos" w:hAnsi="Aptos"/>
                <w:sz w:val="18"/>
                <w:szCs w:val="18"/>
              </w:rPr>
            </w:pPr>
          </w:p>
        </w:tc>
        <w:tc>
          <w:tcPr>
            <w:tcW w:w="1206" w:type="pct"/>
            <w:tcBorders>
              <w:top w:val="single" w:sz="4" w:space="0" w:color="B0B0B0"/>
              <w:left w:val="single" w:sz="4" w:space="0" w:color="B0B0B0"/>
              <w:bottom w:val="single" w:sz="4" w:space="0" w:color="B0B0B0"/>
              <w:right w:val="single" w:sz="4" w:space="0" w:color="B0B0B0"/>
            </w:tcBorders>
          </w:tcPr>
          <w:p w14:paraId="2790540C" w14:textId="302A5C1A" w:rsidR="0076491A" w:rsidRPr="00F52633" w:rsidRDefault="006044A0" w:rsidP="00F52633">
            <w:pPr>
              <w:spacing w:after="0"/>
              <w:rPr>
                <w:rFonts w:ascii="Aptos" w:hAnsi="Aptos"/>
                <w:sz w:val="18"/>
                <w:szCs w:val="18"/>
              </w:rPr>
            </w:pPr>
            <w:r>
              <w:rPr>
                <w:rFonts w:ascii="Aptos" w:hAnsi="Aptos"/>
                <w:sz w:val="18"/>
                <w:szCs w:val="18"/>
                <w:lang w:val="fr-FR"/>
              </w:rPr>
              <w:t xml:space="preserve">EU SCCs, UK Addendum to the EU SCCs and the UK </w:t>
              <w:lastRenderedPageBreak/>
              <w:t xml:space="preserve">International Data Transfer Agreement. </w:t>
            </w:r>
          </w:p>
        </w:tc>
      </w:tr>
      <w:tr w:rsidR="0076491A" w:rsidRPr="00F52633" w14:paraId="30990491" w14:textId="66F51391" w:rsidTr="008A657B">
        <w:tc>
          <w:tcPr>
            <w:tcW w:w="1015"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40CC46C5" w14:textId="5FFE7D05" w:rsidR="0076491A" w:rsidRPr="00F52633" w:rsidRDefault="0076491A" w:rsidP="00F52633">
            <w:pPr>
              <w:spacing w:after="0"/>
              <w:rPr>
                <w:rFonts w:ascii="Aptos" w:hAnsi="Aptos"/>
                <w:sz w:val="18"/>
                <w:szCs w:val="18"/>
              </w:rPr>
            </w:pPr>
            <w:r>
              <w:rPr>
                <w:rFonts w:ascii="Aptos" w:hAnsi="Aptos"/>
                <w:b/>
                <w:bCs/>
                <w:sz w:val="18"/>
                <w:szCs w:val="18"/>
              </w:rPr>
              <w:lastRenderedPageBreak/>
              <w:t xml:space="preserve">AskNews (Emergent Methods, LLC)</w:t>
            </w:r>
          </w:p>
        </w:tc>
        <w:tc>
          <w:tcPr>
            <w:tcW w:w="1423"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77C3C9BB" w14:textId="77777777" w:rsidR="0076491A" w:rsidRPr="00F52633" w:rsidRDefault="0076491A" w:rsidP="00F52633">
            <w:pPr>
              <w:spacing w:after="0"/>
              <w:rPr>
                <w:rFonts w:ascii="Aptos" w:hAnsi="Aptos"/>
                <w:sz w:val="18"/>
                <w:szCs w:val="18"/>
              </w:rPr>
            </w:pPr>
            <w:r>
              <w:rPr>
                <w:rFonts w:ascii="Aptos" w:hAnsi="Aptos"/>
                <w:sz w:val="18"/>
                <w:szCs w:val="18"/>
              </w:rPr>
              <w:t>News and media content provider</w:t>
            </w:r>
          </w:p>
        </w:tc>
        <w:tc>
          <w:tcPr>
            <w:tcW w:w="1356"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1A5456F7" w14:textId="3EA065D6" w:rsidR="0076491A" w:rsidRPr="00F52633" w:rsidRDefault="0076491A" w:rsidP="00F52633">
            <w:pPr>
              <w:spacing w:after="0"/>
              <w:rPr>
                <w:rFonts w:ascii="Aptos" w:hAnsi="Aptos"/>
                <w:sz w:val="18"/>
                <w:szCs w:val="18"/>
              </w:rPr>
            </w:pPr>
            <w:r>
              <w:rPr>
                <w:rFonts w:ascii="Aptos" w:hAnsi="Aptos"/>
                <w:sz w:val="18"/>
                <w:szCs w:val="18"/>
              </w:rPr>
              <w:t>United States. Emergent Methods, LLC, Colorado</w:t>
            </w:r>
          </w:p>
        </w:tc>
        <w:tc>
          <w:tcPr>
            <w:tcW w:w="1206" w:type="pct"/>
            <w:tcBorders>
              <w:top w:val="single" w:sz="4" w:space="0" w:color="B0B0B0"/>
              <w:left w:val="single" w:sz="4" w:space="0" w:color="B0B0B0"/>
              <w:bottom w:val="single" w:sz="4" w:space="0" w:color="B0B0B0"/>
              <w:right w:val="single" w:sz="4" w:space="0" w:color="B0B0B0"/>
            </w:tcBorders>
          </w:tcPr>
          <w:p w14:paraId="62FC9F41" w14:textId="230F46A8" w:rsidR="0076491A" w:rsidRPr="00F52633" w:rsidRDefault="006044A0" w:rsidP="00F52633">
            <w:pPr>
              <w:spacing w:after="0"/>
              <w:rPr>
                <w:rFonts w:ascii="Aptos" w:hAnsi="Aptos"/>
                <w:sz w:val="18"/>
                <w:szCs w:val="18"/>
              </w:rPr>
            </w:pPr>
            <w:r>
              <w:rPr>
                <w:rFonts w:ascii="Aptos" w:hAnsi="Aptos"/>
                <w:sz w:val="18"/>
                <w:szCs w:val="18"/>
                <w:lang w:val="fr-FR"/>
              </w:rPr>
              <w:t>EU SCCs and UK Addendum to the EU SCCs</w:t>
            </w:r>
          </w:p>
        </w:tc>
      </w:tr>
      <w:tr w:rsidR="0076491A" w:rsidRPr="00F52633" w14:paraId="24804AAD" w14:textId="10766AF1" w:rsidTr="008A657B">
        <w:tc>
          <w:tcPr>
            <w:tcW w:w="1015"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79510969" w14:textId="0AF542F7" w:rsidR="0076491A" w:rsidRPr="00F52633" w:rsidRDefault="0076491A" w:rsidP="00F52633">
            <w:pPr>
              <w:spacing w:after="0"/>
              <w:rPr>
                <w:rFonts w:ascii="Aptos" w:hAnsi="Aptos"/>
                <w:sz w:val="18"/>
                <w:szCs w:val="18"/>
              </w:rPr>
            </w:pPr>
            <w:r>
              <w:rPr>
                <w:rFonts w:ascii="Aptos" w:hAnsi="Aptos"/>
                <w:b/>
                <w:bCs/>
                <w:sz w:val="18"/>
                <w:szCs w:val="18"/>
              </w:rPr>
              <w:t xml:space="preserve">Tavily (AlphaAI Technologies Inc)</w:t>
            </w:r>
          </w:p>
        </w:tc>
        <w:tc>
          <w:tcPr>
            <w:tcW w:w="1423"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34E30013" w14:textId="77777777" w:rsidR="0076491A" w:rsidRPr="00F52633" w:rsidRDefault="0076491A" w:rsidP="00F52633">
            <w:pPr>
              <w:spacing w:after="0"/>
              <w:rPr>
                <w:rFonts w:ascii="Aptos" w:hAnsi="Aptos"/>
                <w:sz w:val="18"/>
                <w:szCs w:val="18"/>
              </w:rPr>
            </w:pPr>
            <w:r>
              <w:rPr>
                <w:rFonts w:ascii="Aptos" w:hAnsi="Aptos"/>
                <w:sz w:val="18"/>
                <w:szCs w:val="18"/>
              </w:rPr>
              <w:t>Web search provider (optional)</w:t>
            </w:r>
          </w:p>
        </w:tc>
        <w:tc>
          <w:tcPr>
            <w:tcW w:w="1356"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5FCF085A" w14:textId="306BEB90" w:rsidR="0076491A" w:rsidRPr="00F52633" w:rsidRDefault="0076491A" w:rsidP="00F52633">
            <w:pPr>
              <w:spacing w:after="0"/>
              <w:rPr>
                <w:rFonts w:ascii="Aptos" w:hAnsi="Aptos"/>
                <w:sz w:val="18"/>
                <w:szCs w:val="18"/>
              </w:rPr>
            </w:pPr>
            <w:r>
              <w:rPr>
                <w:rFonts w:ascii="Aptos" w:hAnsi="Aptos"/>
                <w:sz w:val="18"/>
                <w:szCs w:val="18"/>
              </w:rPr>
              <w:t>United States. AlphaAI Technologies Inc., New York, NY</w:t>
            </w:r>
          </w:p>
        </w:tc>
        <w:tc>
          <w:tcPr>
            <w:tcW w:w="1206" w:type="pct"/>
            <w:tcBorders>
              <w:top w:val="single" w:sz="4" w:space="0" w:color="B0B0B0"/>
              <w:left w:val="single" w:sz="4" w:space="0" w:color="B0B0B0"/>
              <w:bottom w:val="single" w:sz="4" w:space="0" w:color="B0B0B0"/>
              <w:right w:val="single" w:sz="4" w:space="0" w:color="B0B0B0"/>
            </w:tcBorders>
          </w:tcPr>
          <w:p w14:paraId="29F1495D" w14:textId="42B445E8" w:rsidR="0076491A" w:rsidRPr="00F52633" w:rsidRDefault="008A657B" w:rsidP="008A657B">
            <w:pPr>
              <w:spacing w:after="0"/>
              <w:rPr>
                <w:rFonts w:ascii="Aptos" w:hAnsi="Aptos"/>
                <w:sz w:val="18"/>
                <w:szCs w:val="18"/>
              </w:rPr>
            </w:pPr>
            <w:r>
              <w:rPr>
                <w:rFonts w:ascii="Aptos" w:hAnsi="Aptos"/>
                <w:sz w:val="18"/>
                <w:szCs w:val="18"/>
              </w:rPr>
              <w:t>EU SCCs and UK Addendum to the EU SCCs</w:t>
            </w:r>
          </w:p>
        </w:tc>
      </w:tr>
    </w:tbl>
    <w:p w14:paraId="68BD8A7D" w14:textId="354909C7" w:rsidR="0094077D" w:rsidRPr="00F52633" w:rsidRDefault="0094077D" w:rsidP="00F52633">
      <w:pPr>
        <w:pStyle w:val="Part"/>
        <w:numPr>
          <w:ilvl w:val="0"/>
          <w:numId w:val="0"/>
        </w:numPr>
        <w:spacing w:before="280" w:after="0"/>
        <w:ind w:left="357" w:hanging="357"/>
        <w:rPr>
          <w:rFonts w:ascii="Aptos" w:hAnsi="Aptos" w:cs="Calibri"/>
          <w:sz w:val="18"/>
          <w:szCs w:val="18"/>
        </w:rPr>
      </w:pPr>
      <w:r>
        <w:rPr>
          <w:rFonts w:ascii="Aptos" w:hAnsi="Aptos"/>
          <w:bCs/>
          <w:color w:val="1F3864"/>
          <w:sz w:val="18"/>
          <w:szCs w:val="18"/>
        </w:rPr>
        <w:t xml:space="preserve">Tier 2: AI / LLM processors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7"/>
        <w:gridCol w:w="3009"/>
        <w:gridCol w:w="2781"/>
        <w:gridCol w:w="2589"/>
      </w:tblGrid>
      <w:tr w:rsidR="00687C0C" w:rsidRPr="00F52633" w14:paraId="7B770CA5" w14:textId="68BD2DA9" w:rsidTr="00687C0C">
        <w:trPr>
          <w:tblHeader/>
        </w:trPr>
        <w:tc>
          <w:tcPr>
            <w:tcW w:w="993" w:type="pct"/>
            <w:tcBorders>
              <w:top w:val="single" w:sz="4" w:space="0" w:color="B0B0B0"/>
              <w:left w:val="single" w:sz="4" w:space="0" w:color="B0B0B0"/>
              <w:bottom w:val="single" w:sz="4" w:space="0" w:color="B0B0B0"/>
              <w:right w:val="single" w:sz="4" w:space="0" w:color="B0B0B0"/>
            </w:tcBorders>
            <w:shd w:val="clear" w:color="auto" w:fill="009999"/>
            <w:tcMar>
              <w:top w:w="60" w:type="dxa"/>
              <w:left w:w="110" w:type="dxa"/>
              <w:bottom w:w="60" w:type="dxa"/>
              <w:right w:w="110" w:type="dxa"/>
            </w:tcMar>
            <w:hideMark/>
          </w:tcPr>
          <w:p w14:paraId="4A76CDBA" w14:textId="77777777" w:rsidR="00687C0C" w:rsidRPr="00F52633" w:rsidRDefault="00687C0C" w:rsidP="00687C0C">
            <w:pPr>
              <w:spacing w:after="0"/>
              <w:rPr>
                <w:rFonts w:ascii="Aptos" w:hAnsi="Aptos"/>
                <w:sz w:val="18"/>
                <w:szCs w:val="18"/>
              </w:rPr>
            </w:pPr>
            <w:r>
              <w:rPr>
                <w:rFonts w:ascii="Aptos" w:hAnsi="Aptos"/>
                <w:b/>
                <w:bCs/>
                <w:color w:val="FFFFFF"/>
                <w:sz w:val="18"/>
                <w:szCs w:val="18"/>
              </w:rPr>
              <w:t>Vendor</w:t>
            </w:r>
          </w:p>
        </w:tc>
        <w:tc>
          <w:tcPr>
            <w:tcW w:w="1439" w:type="pct"/>
            <w:tcBorders>
              <w:top w:val="single" w:sz="4" w:space="0" w:color="B0B0B0"/>
              <w:left w:val="single" w:sz="4" w:space="0" w:color="B0B0B0"/>
              <w:bottom w:val="single" w:sz="4" w:space="0" w:color="B0B0B0"/>
              <w:right w:val="single" w:sz="4" w:space="0" w:color="B0B0B0"/>
            </w:tcBorders>
            <w:shd w:val="clear" w:color="auto" w:fill="009999"/>
            <w:tcMar>
              <w:top w:w="60" w:type="dxa"/>
              <w:left w:w="110" w:type="dxa"/>
              <w:bottom w:w="60" w:type="dxa"/>
              <w:right w:w="110" w:type="dxa"/>
            </w:tcMar>
            <w:hideMark/>
          </w:tcPr>
          <w:p w14:paraId="4ABF3D20" w14:textId="77777777" w:rsidR="00687C0C" w:rsidRPr="00F52633" w:rsidRDefault="00687C0C" w:rsidP="00687C0C">
            <w:pPr>
              <w:spacing w:after="0"/>
              <w:rPr>
                <w:rFonts w:ascii="Aptos" w:hAnsi="Aptos"/>
                <w:sz w:val="18"/>
                <w:szCs w:val="18"/>
              </w:rPr>
            </w:pPr>
            <w:r>
              <w:rPr>
                <w:rFonts w:ascii="Aptos" w:hAnsi="Aptos"/>
                <w:b/>
                <w:bCs/>
                <w:color w:val="FFFFFF"/>
                <w:sz w:val="18"/>
                <w:szCs w:val="18"/>
              </w:rPr>
              <w:t>Used for</w:t>
            </w:r>
          </w:p>
        </w:tc>
        <w:tc>
          <w:tcPr>
            <w:tcW w:w="1330" w:type="pct"/>
            <w:tcBorders>
              <w:top w:val="single" w:sz="4" w:space="0" w:color="B0B0B0"/>
              <w:left w:val="single" w:sz="4" w:space="0" w:color="B0B0B0"/>
              <w:bottom w:val="single" w:sz="4" w:space="0" w:color="B0B0B0"/>
              <w:right w:val="single" w:sz="4" w:space="0" w:color="B0B0B0"/>
            </w:tcBorders>
            <w:shd w:val="clear" w:color="auto" w:fill="009999"/>
            <w:tcMar>
              <w:top w:w="60" w:type="dxa"/>
              <w:left w:w="110" w:type="dxa"/>
              <w:bottom w:w="60" w:type="dxa"/>
              <w:right w:w="110" w:type="dxa"/>
            </w:tcMar>
            <w:hideMark/>
          </w:tcPr>
          <w:p w14:paraId="70D6CCAD" w14:textId="77777777" w:rsidR="00687C0C" w:rsidRPr="00F52633" w:rsidRDefault="00687C0C" w:rsidP="00687C0C">
            <w:pPr>
              <w:spacing w:after="0"/>
              <w:rPr>
                <w:rFonts w:ascii="Aptos" w:hAnsi="Aptos"/>
                <w:sz w:val="18"/>
                <w:szCs w:val="18"/>
              </w:rPr>
            </w:pPr>
            <w:r>
              <w:rPr>
                <w:rFonts w:ascii="Aptos" w:hAnsi="Aptos"/>
                <w:b/>
                <w:bCs/>
                <w:color w:val="FFFFFF"/>
                <w:sz w:val="18"/>
                <w:szCs w:val="18"/>
              </w:rPr>
              <w:t>Location / jurisdiction</w:t>
            </w:r>
          </w:p>
        </w:tc>
        <w:tc>
          <w:tcPr>
            <w:tcW w:w="1238" w:type="pct"/>
            <w:tcBorders>
              <w:top w:val="single" w:sz="4" w:space="0" w:color="B0B0B0"/>
              <w:left w:val="single" w:sz="4" w:space="0" w:color="B0B0B0"/>
              <w:bottom w:val="single" w:sz="4" w:space="0" w:color="B0B0B0"/>
              <w:right w:val="single" w:sz="4" w:space="0" w:color="B0B0B0"/>
            </w:tcBorders>
            <w:shd w:val="clear" w:color="auto" w:fill="009999"/>
          </w:tcPr>
          <w:p w14:paraId="3C8DA4A8" w14:textId="5098A6C9" w:rsidR="00687C0C" w:rsidRPr="00F52633" w:rsidRDefault="00687C0C" w:rsidP="00687C0C">
            <w:pPr>
              <w:spacing w:after="0"/>
              <w:rPr>
                <w:rFonts w:ascii="Aptos" w:hAnsi="Aptos"/>
                <w:b/>
                <w:bCs/>
                <w:color w:val="FFFFFF"/>
                <w:sz w:val="18"/>
                <w:szCs w:val="18"/>
              </w:rPr>
            </w:pPr>
            <w:r>
              <w:rPr>
                <w:rFonts w:ascii="Aptos" w:hAnsi="Aptos"/>
                <w:b/>
                <w:bCs/>
                <w:color w:val="FFFFFF"/>
                <w:sz w:val="18"/>
                <w:szCs w:val="18"/>
              </w:rPr>
              <w:t>International Data Transfer Mechanism</w:t>
            </w:r>
          </w:p>
        </w:tc>
      </w:tr>
      <w:tr w:rsidR="00687C0C" w:rsidRPr="00F52633" w14:paraId="2624951F" w14:textId="20F288F7" w:rsidTr="00687C0C">
        <w:tc>
          <w:tcPr>
            <w:tcW w:w="993"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212D0344" w14:textId="77777777" w:rsidR="00687C0C" w:rsidRPr="00F52633" w:rsidRDefault="00687C0C" w:rsidP="00687C0C">
            <w:pPr>
              <w:spacing w:after="0"/>
              <w:rPr>
                <w:rFonts w:ascii="Aptos" w:hAnsi="Aptos"/>
                <w:sz w:val="18"/>
                <w:szCs w:val="18"/>
              </w:rPr>
            </w:pPr>
            <w:r>
              <w:rPr>
                <w:rFonts w:ascii="Aptos" w:hAnsi="Aptos"/>
                <w:b/>
                <w:bCs/>
                <w:sz w:val="18"/>
                <w:szCs w:val="18"/>
              </w:rPr>
              <w:t>Anthropic (Claude)</w:t>
            </w:r>
          </w:p>
        </w:tc>
        <w:tc>
          <w:tcPr>
            <w:tcW w:w="1439"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56E2FBC7" w14:textId="77777777" w:rsidR="00687C0C" w:rsidRPr="00F52633" w:rsidRDefault="00687C0C" w:rsidP="00687C0C">
            <w:pPr>
              <w:spacing w:after="0"/>
              <w:rPr>
                <w:rFonts w:ascii="Aptos" w:hAnsi="Aptos"/>
                <w:sz w:val="18"/>
                <w:szCs w:val="18"/>
              </w:rPr>
            </w:pPr>
            <w:r>
              <w:rPr>
                <w:rFonts w:ascii="Aptos" w:hAnsi="Aptos"/>
                <w:sz w:val="18"/>
                <w:szCs w:val="18"/>
              </w:rPr>
              <w:t>AI model provider</w:t>
            </w:r>
          </w:p>
        </w:tc>
        <w:tc>
          <w:tcPr>
            <w:tcW w:w="1330"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6102091D" w14:textId="361B460B" w:rsidR="00687C0C" w:rsidRPr="00F52633" w:rsidRDefault="00687C0C" w:rsidP="00687C0C">
            <w:pPr>
              <w:spacing w:after="0"/>
              <w:rPr>
                <w:rFonts w:ascii="Aptos" w:hAnsi="Aptos"/>
                <w:sz w:val="18"/>
                <w:szCs w:val="18"/>
              </w:rPr>
            </w:pPr>
            <w:r>
              <w:rPr>
                <w:rFonts w:ascii="Aptos" w:hAnsi="Aptos"/>
                <w:sz w:val="18"/>
                <w:szCs w:val="18"/>
              </w:rPr>
              <w:t>United States. Anthropic PBC, San Francisco, California</w:t>
            </w:r>
          </w:p>
        </w:tc>
        <w:tc>
          <w:tcPr>
            <w:tcW w:w="1238" w:type="pct"/>
            <w:tcBorders>
              <w:top w:val="single" w:sz="4" w:space="0" w:color="B0B0B0"/>
              <w:left w:val="single" w:sz="4" w:space="0" w:color="B0B0B0"/>
              <w:bottom w:val="single" w:sz="4" w:space="0" w:color="B0B0B0"/>
              <w:right w:val="single" w:sz="4" w:space="0" w:color="B0B0B0"/>
            </w:tcBorders>
          </w:tcPr>
          <w:p w14:paraId="137D2D98" w14:textId="059376CA" w:rsidR="00687C0C" w:rsidRPr="00F52633" w:rsidRDefault="00687C0C" w:rsidP="00687C0C">
            <w:pPr>
              <w:spacing w:after="0"/>
              <w:rPr>
                <w:rFonts w:ascii="Aptos" w:hAnsi="Aptos"/>
                <w:sz w:val="18"/>
                <w:szCs w:val="18"/>
              </w:rPr>
            </w:pPr>
            <w:r>
              <w:rPr>
                <w:rFonts w:ascii="Aptos" w:hAnsi="Aptos"/>
                <w:sz w:val="18"/>
                <w:szCs w:val="18"/>
              </w:rPr>
              <w:t xml:space="preserve">EU SCCs and UK Addendum </w:t>
            </w:r>
          </w:p>
        </w:tc>
      </w:tr>
      <w:tr w:rsidR="00687C0C" w:rsidRPr="00F52633" w14:paraId="3E9EBABD" w14:textId="444AED18" w:rsidTr="00687C0C">
        <w:tc>
          <w:tcPr>
            <w:tcW w:w="993"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64799C34" w14:textId="52C9371F" w:rsidR="00687C0C" w:rsidRPr="0028313A" w:rsidRDefault="00687C0C" w:rsidP="00687C0C">
            <w:pPr>
              <w:spacing w:after="0"/>
              <w:rPr>
                <w:rFonts w:ascii="Aptos" w:hAnsi="Aptos"/>
                <w:sz w:val="18"/>
                <w:szCs w:val="18"/>
                <w:lang w:val="it-IT"/>
              </w:rPr>
            </w:pPr>
            <w:r>
              <w:rPr>
                <w:rFonts w:ascii="Aptos" w:hAnsi="Aptos"/>
                <w:b/>
                <w:bCs/>
                <w:sz w:val="18"/>
                <w:szCs w:val="18"/>
                <w:lang w:val="it-IT"/>
              </w:rPr>
              <w:t xml:space="preserve">Google Gemini / Vertex AI (Google LLC)</w:t>
            </w:r>
          </w:p>
        </w:tc>
        <w:tc>
          <w:tcPr>
            <w:tcW w:w="1439"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286A5DD8" w14:textId="77777777" w:rsidR="00687C0C" w:rsidRPr="00F52633" w:rsidRDefault="00687C0C" w:rsidP="00687C0C">
            <w:pPr>
              <w:spacing w:after="0"/>
              <w:rPr>
                <w:rFonts w:ascii="Aptos" w:hAnsi="Aptos"/>
                <w:sz w:val="18"/>
                <w:szCs w:val="18"/>
              </w:rPr>
            </w:pPr>
            <w:r>
              <w:rPr>
                <w:rFonts w:ascii="Aptos" w:hAnsi="Aptos"/>
                <w:sz w:val="18"/>
                <w:szCs w:val="18"/>
              </w:rPr>
              <w:t>AI model provider</w:t>
            </w:r>
          </w:p>
        </w:tc>
        <w:tc>
          <w:tcPr>
            <w:tcW w:w="1330"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538F6190" w14:textId="46CCE22F" w:rsidR="00687C0C" w:rsidRPr="00F52633" w:rsidRDefault="00687C0C" w:rsidP="00687C0C">
            <w:pPr>
              <w:spacing w:after="0"/>
              <w:rPr>
                <w:rFonts w:ascii="Aptos" w:hAnsi="Aptos"/>
                <w:sz w:val="18"/>
                <w:szCs w:val="18"/>
              </w:rPr>
            </w:pPr>
            <w:r>
              <w:rPr>
                <w:rFonts w:ascii="Aptos" w:hAnsi="Aptos"/>
                <w:sz w:val="18"/>
                <w:szCs w:val="18"/>
              </w:rPr>
              <w:t>United States (Google LLC, Mountain View, CA). UK/EEA contracting entity: Google Cloud EMEA Ltd, Dublin, Ireland</w:t>
            </w:r>
          </w:p>
        </w:tc>
        <w:tc>
          <w:tcPr>
            <w:tcW w:w="1238" w:type="pct"/>
            <w:tcBorders>
              <w:top w:val="single" w:sz="4" w:space="0" w:color="B0B0B0"/>
              <w:left w:val="single" w:sz="4" w:space="0" w:color="B0B0B0"/>
              <w:bottom w:val="single" w:sz="4" w:space="0" w:color="B0B0B0"/>
              <w:right w:val="single" w:sz="4" w:space="0" w:color="B0B0B0"/>
            </w:tcBorders>
          </w:tcPr>
          <w:p w14:paraId="09769980" w14:textId="0894F1FD" w:rsidR="00687C0C" w:rsidRPr="00F52633" w:rsidRDefault="00687C0C" w:rsidP="00687C0C">
            <w:pPr>
              <w:spacing w:after="0"/>
              <w:rPr>
                <w:rFonts w:ascii="Aptos" w:hAnsi="Aptos"/>
                <w:sz w:val="18"/>
                <w:szCs w:val="18"/>
              </w:rPr>
            </w:pPr>
            <w:r>
              <w:rPr>
                <w:rFonts w:ascii="Aptos" w:hAnsi="Aptos"/>
                <w:sz w:val="18"/>
                <w:szCs w:val="18"/>
              </w:rPr>
              <w:t>EU – US Data Privacy Framework + UK extension to the Framework</w:t>
            </w:r>
          </w:p>
        </w:tc>
      </w:tr>
    </w:tbl>
    <w:p w14:paraId="6A6EADF0" w14:textId="45379821" w:rsidR="0094077D" w:rsidRPr="00F52633" w:rsidRDefault="0094077D" w:rsidP="00F52633">
      <w:pPr>
        <w:pStyle w:val="Part"/>
        <w:numPr>
          <w:ilvl w:val="0"/>
          <w:numId w:val="0"/>
        </w:numPr>
        <w:spacing w:before="280" w:after="0"/>
        <w:ind w:left="357" w:hanging="357"/>
        <w:rPr>
          <w:rFonts w:ascii="Aptos" w:hAnsi="Aptos" w:cs="Calibri"/>
          <w:sz w:val="18"/>
          <w:szCs w:val="18"/>
        </w:rPr>
      </w:pPr>
      <w:r>
        <w:rPr>
          <w:rFonts w:ascii="Aptos" w:hAnsi="Aptos"/>
          <w:bCs/>
          <w:color w:val="1F3864"/>
          <w:sz w:val="18"/>
          <w:szCs w:val="18"/>
        </w:rPr>
        <w:t xml:space="preserve">Tier 3: Cloud infrastructure and storage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2"/>
        <w:gridCol w:w="2836"/>
        <w:gridCol w:w="2978"/>
        <w:gridCol w:w="2520"/>
      </w:tblGrid>
      <w:tr w:rsidR="00687C0C" w:rsidRPr="00F52633" w14:paraId="34808F2F" w14:textId="4AD6D1FC" w:rsidTr="008A657B">
        <w:trPr>
          <w:tblHeader/>
        </w:trPr>
        <w:tc>
          <w:tcPr>
            <w:tcW w:w="1015" w:type="pct"/>
            <w:tcBorders>
              <w:top w:val="single" w:sz="4" w:space="0" w:color="B0B0B0"/>
              <w:left w:val="single" w:sz="4" w:space="0" w:color="B0B0B0"/>
              <w:bottom w:val="single" w:sz="4" w:space="0" w:color="B0B0B0"/>
              <w:right w:val="single" w:sz="4" w:space="0" w:color="B0B0B0"/>
            </w:tcBorders>
            <w:shd w:val="clear" w:color="auto" w:fill="009999"/>
            <w:tcMar>
              <w:top w:w="60" w:type="dxa"/>
              <w:left w:w="110" w:type="dxa"/>
              <w:bottom w:w="60" w:type="dxa"/>
              <w:right w:w="110" w:type="dxa"/>
            </w:tcMar>
            <w:hideMark/>
          </w:tcPr>
          <w:p w14:paraId="1823358A" w14:textId="77777777" w:rsidR="00687C0C" w:rsidRPr="00F52633" w:rsidRDefault="00687C0C" w:rsidP="00687C0C">
            <w:pPr>
              <w:spacing w:after="0"/>
              <w:rPr>
                <w:rFonts w:ascii="Aptos" w:hAnsi="Aptos"/>
                <w:sz w:val="18"/>
                <w:szCs w:val="18"/>
              </w:rPr>
            </w:pPr>
            <w:r>
              <w:rPr>
                <w:rFonts w:ascii="Aptos" w:hAnsi="Aptos"/>
                <w:b/>
                <w:bCs/>
                <w:color w:val="FFFFFF"/>
                <w:sz w:val="18"/>
                <w:szCs w:val="18"/>
              </w:rPr>
              <w:t>Vendor</w:t>
            </w:r>
          </w:p>
        </w:tc>
        <w:tc>
          <w:tcPr>
            <w:tcW w:w="1356" w:type="pct"/>
            <w:tcBorders>
              <w:top w:val="single" w:sz="4" w:space="0" w:color="B0B0B0"/>
              <w:left w:val="single" w:sz="4" w:space="0" w:color="B0B0B0"/>
              <w:bottom w:val="single" w:sz="4" w:space="0" w:color="B0B0B0"/>
              <w:right w:val="single" w:sz="4" w:space="0" w:color="B0B0B0"/>
            </w:tcBorders>
            <w:shd w:val="clear" w:color="auto" w:fill="009999"/>
            <w:tcMar>
              <w:top w:w="60" w:type="dxa"/>
              <w:left w:w="110" w:type="dxa"/>
              <w:bottom w:w="60" w:type="dxa"/>
              <w:right w:w="110" w:type="dxa"/>
            </w:tcMar>
            <w:hideMark/>
          </w:tcPr>
          <w:p w14:paraId="19C9B74B" w14:textId="77777777" w:rsidR="00687C0C" w:rsidRPr="00F52633" w:rsidRDefault="00687C0C" w:rsidP="00687C0C">
            <w:pPr>
              <w:spacing w:after="0"/>
              <w:rPr>
                <w:rFonts w:ascii="Aptos" w:hAnsi="Aptos"/>
                <w:sz w:val="18"/>
                <w:szCs w:val="18"/>
              </w:rPr>
            </w:pPr>
            <w:r>
              <w:rPr>
                <w:rFonts w:ascii="Aptos" w:hAnsi="Aptos"/>
                <w:b/>
                <w:bCs/>
                <w:color w:val="FFFFFF"/>
                <w:sz w:val="18"/>
                <w:szCs w:val="18"/>
              </w:rPr>
              <w:t>Used for</w:t>
            </w:r>
          </w:p>
        </w:tc>
        <w:tc>
          <w:tcPr>
            <w:tcW w:w="1424" w:type="pct"/>
            <w:tcBorders>
              <w:top w:val="single" w:sz="4" w:space="0" w:color="B0B0B0"/>
              <w:left w:val="single" w:sz="4" w:space="0" w:color="B0B0B0"/>
              <w:bottom w:val="single" w:sz="4" w:space="0" w:color="B0B0B0"/>
              <w:right w:val="single" w:sz="4" w:space="0" w:color="B0B0B0"/>
            </w:tcBorders>
            <w:shd w:val="clear" w:color="auto" w:fill="009999"/>
            <w:tcMar>
              <w:top w:w="60" w:type="dxa"/>
              <w:left w:w="110" w:type="dxa"/>
              <w:bottom w:w="60" w:type="dxa"/>
              <w:right w:w="110" w:type="dxa"/>
            </w:tcMar>
            <w:hideMark/>
          </w:tcPr>
          <w:p w14:paraId="6A8968A6" w14:textId="77777777" w:rsidR="00687C0C" w:rsidRPr="00F52633" w:rsidRDefault="00687C0C" w:rsidP="00687C0C">
            <w:pPr>
              <w:spacing w:after="0"/>
              <w:rPr>
                <w:rFonts w:ascii="Aptos" w:hAnsi="Aptos"/>
                <w:sz w:val="18"/>
                <w:szCs w:val="18"/>
              </w:rPr>
            </w:pPr>
            <w:r>
              <w:rPr>
                <w:rFonts w:ascii="Aptos" w:hAnsi="Aptos"/>
                <w:b/>
                <w:bCs/>
                <w:color w:val="FFFFFF"/>
                <w:sz w:val="18"/>
                <w:szCs w:val="18"/>
              </w:rPr>
              <w:t>Location / jurisdiction</w:t>
            </w:r>
          </w:p>
        </w:tc>
        <w:tc>
          <w:tcPr>
            <w:tcW w:w="1205" w:type="pct"/>
            <w:tcBorders>
              <w:top w:val="single" w:sz="4" w:space="0" w:color="B0B0B0"/>
              <w:left w:val="single" w:sz="4" w:space="0" w:color="B0B0B0"/>
              <w:bottom w:val="single" w:sz="4" w:space="0" w:color="B0B0B0"/>
              <w:right w:val="single" w:sz="4" w:space="0" w:color="B0B0B0"/>
            </w:tcBorders>
            <w:shd w:val="clear" w:color="auto" w:fill="009999"/>
          </w:tcPr>
          <w:p w14:paraId="2E4281B2" w14:textId="65834408" w:rsidR="00687C0C" w:rsidRPr="00F52633" w:rsidRDefault="00687C0C" w:rsidP="00687C0C">
            <w:pPr>
              <w:spacing w:after="0"/>
              <w:rPr>
                <w:rFonts w:ascii="Aptos" w:hAnsi="Aptos"/>
                <w:b/>
                <w:bCs/>
                <w:color w:val="FFFFFF"/>
                <w:sz w:val="18"/>
                <w:szCs w:val="18"/>
              </w:rPr>
            </w:pPr>
            <w:r>
              <w:rPr>
                <w:rFonts w:ascii="Aptos" w:hAnsi="Aptos"/>
                <w:b/>
                <w:bCs/>
                <w:color w:val="FFFFFF"/>
                <w:sz w:val="18"/>
                <w:szCs w:val="18"/>
              </w:rPr>
              <w:t>International Data Transfer Mechanism</w:t>
            </w:r>
          </w:p>
        </w:tc>
      </w:tr>
      <w:tr w:rsidR="00687C0C" w:rsidRPr="00F52633" w14:paraId="020DD41D" w14:textId="487658A3" w:rsidTr="008A657B">
        <w:tc>
          <w:tcPr>
            <w:tcW w:w="1015"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4301C09C" w14:textId="0DD1AC53" w:rsidR="00687C0C" w:rsidRPr="00F52633" w:rsidRDefault="00687C0C" w:rsidP="00687C0C">
            <w:pPr>
              <w:spacing w:after="0"/>
              <w:rPr>
                <w:rFonts w:ascii="Aptos" w:hAnsi="Aptos"/>
                <w:sz w:val="18"/>
                <w:szCs w:val="18"/>
              </w:rPr>
            </w:pPr>
            <w:r>
              <w:rPr>
                <w:rFonts w:ascii="Aptos" w:hAnsi="Aptos"/>
                <w:b/>
                <w:bCs/>
                <w:sz w:val="18"/>
                <w:szCs w:val="18"/>
              </w:rPr>
              <w:t xml:space="preserve">Google Cloud Platform (Google LLC)</w:t>
            </w:r>
          </w:p>
        </w:tc>
        <w:tc>
          <w:tcPr>
            <w:tcW w:w="1356"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354705E7" w14:textId="77777777" w:rsidR="00687C0C" w:rsidRPr="00F52633" w:rsidRDefault="00687C0C" w:rsidP="00687C0C">
            <w:pPr>
              <w:spacing w:after="0"/>
              <w:rPr>
                <w:rFonts w:ascii="Aptos" w:hAnsi="Aptos"/>
                <w:sz w:val="18"/>
                <w:szCs w:val="18"/>
              </w:rPr>
            </w:pPr>
            <w:r>
              <w:rPr>
                <w:rFonts w:ascii="Aptos" w:hAnsi="Aptos"/>
                <w:sz w:val="18"/>
                <w:szCs w:val="18"/>
              </w:rPr>
              <w:t>Cloud hosting, database and storage infrastructure</w:t>
            </w:r>
          </w:p>
        </w:tc>
        <w:tc>
          <w:tcPr>
            <w:tcW w:w="1424"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00BA319C" w14:textId="41BE165D" w:rsidR="00687C0C" w:rsidRPr="00F52633" w:rsidRDefault="00687C0C" w:rsidP="00687C0C">
            <w:pPr>
              <w:spacing w:after="0"/>
              <w:rPr>
                <w:rFonts w:ascii="Aptos" w:hAnsi="Aptos"/>
                <w:sz w:val="18"/>
                <w:szCs w:val="18"/>
              </w:rPr>
            </w:pPr>
            <w:r>
              <w:rPr>
                <w:rFonts w:ascii="Aptos" w:hAnsi="Aptos"/>
                <w:sz w:val="18"/>
                <w:szCs w:val="18"/>
              </w:rPr>
              <w:t xml:space="preserve">United States (Google LLC). UK/EEA contracting via Google Cloud EMEA Ltd, Dublin, Ireland. </w:t>
            </w:r>
          </w:p>
        </w:tc>
        <w:tc>
          <w:tcPr>
            <w:tcW w:w="1205" w:type="pct"/>
            <w:tcBorders>
              <w:top w:val="single" w:sz="4" w:space="0" w:color="B0B0B0"/>
              <w:left w:val="single" w:sz="4" w:space="0" w:color="B0B0B0"/>
              <w:bottom w:val="single" w:sz="4" w:space="0" w:color="B0B0B0"/>
              <w:right w:val="single" w:sz="4" w:space="0" w:color="B0B0B0"/>
            </w:tcBorders>
          </w:tcPr>
          <w:p w14:paraId="7F335049" w14:textId="459B0B87" w:rsidR="00687C0C" w:rsidRPr="00F52633" w:rsidRDefault="00687C0C" w:rsidP="00687C0C">
            <w:pPr>
              <w:spacing w:after="0"/>
              <w:rPr>
                <w:rFonts w:ascii="Aptos" w:hAnsi="Aptos"/>
                <w:sz w:val="18"/>
                <w:szCs w:val="18"/>
              </w:rPr>
            </w:pPr>
            <w:r>
              <w:rPr>
                <w:rFonts w:ascii="Aptos" w:hAnsi="Aptos"/>
                <w:sz w:val="18"/>
                <w:szCs w:val="18"/>
              </w:rPr>
              <w:t>EU – US Data Privacy Framework + UK extension to the Framework</w:t>
            </w:r>
          </w:p>
        </w:tc>
      </w:tr>
      <w:tr w:rsidR="00687C0C" w:rsidRPr="00F52633" w14:paraId="45747C72" w14:textId="6E9BF003" w:rsidTr="008A657B">
        <w:tc>
          <w:tcPr>
            <w:tcW w:w="1015"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678F16FA" w14:textId="4D282F44" w:rsidR="00687C0C" w:rsidRPr="00F52633" w:rsidRDefault="00687C0C" w:rsidP="00687C0C">
            <w:pPr>
              <w:spacing w:after="0"/>
              <w:rPr>
                <w:rFonts w:ascii="Aptos" w:hAnsi="Aptos"/>
                <w:sz w:val="18"/>
                <w:szCs w:val="18"/>
              </w:rPr>
            </w:pPr>
            <w:r>
              <w:rPr>
                <w:rFonts w:ascii="Aptos" w:hAnsi="Aptos"/>
                <w:b/>
                <w:bCs/>
                <w:sz w:val="18"/>
                <w:szCs w:val="18"/>
              </w:rPr>
              <w:t xml:space="preserve">Firebase (Google LLC)</w:t>
            </w:r>
          </w:p>
        </w:tc>
        <w:tc>
          <w:tcPr>
            <w:tcW w:w="1356"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7771743B" w14:textId="77777777" w:rsidR="00687C0C" w:rsidRPr="00F52633" w:rsidRDefault="00687C0C" w:rsidP="00687C0C">
            <w:pPr>
              <w:spacing w:after="0"/>
              <w:rPr>
                <w:rFonts w:ascii="Aptos" w:hAnsi="Aptos"/>
                <w:sz w:val="18"/>
                <w:szCs w:val="18"/>
              </w:rPr>
            </w:pPr>
            <w:r>
              <w:rPr>
                <w:rFonts w:ascii="Aptos" w:hAnsi="Aptos"/>
                <w:sz w:val="18"/>
                <w:szCs w:val="18"/>
              </w:rPr>
              <w:t>User authentication and session management</w:t>
            </w:r>
          </w:p>
        </w:tc>
        <w:tc>
          <w:tcPr>
            <w:tcW w:w="1424"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5684F33E" w14:textId="77777777" w:rsidR="00687C0C" w:rsidRPr="00F52633" w:rsidRDefault="00687C0C" w:rsidP="00687C0C">
            <w:pPr>
              <w:spacing w:after="0"/>
              <w:rPr>
                <w:rFonts w:ascii="Aptos" w:hAnsi="Aptos"/>
                <w:sz w:val="18"/>
                <w:szCs w:val="18"/>
              </w:rPr>
            </w:pPr>
            <w:r>
              <w:rPr>
                <w:rFonts w:ascii="Aptos" w:hAnsi="Aptos"/>
                <w:sz w:val="18"/>
                <w:szCs w:val="18"/>
              </w:rPr>
              <w:t>United States (Google LLC). UK/EEA contracting via Google Cloud EMEA Ltd, Dublin, Ireland.</w:t>
            </w:r>
          </w:p>
        </w:tc>
        <w:tc>
          <w:tcPr>
            <w:tcW w:w="1205" w:type="pct"/>
            <w:tcBorders>
              <w:top w:val="single" w:sz="4" w:space="0" w:color="B0B0B0"/>
              <w:left w:val="single" w:sz="4" w:space="0" w:color="B0B0B0"/>
              <w:bottom w:val="single" w:sz="4" w:space="0" w:color="B0B0B0"/>
              <w:right w:val="single" w:sz="4" w:space="0" w:color="B0B0B0"/>
            </w:tcBorders>
          </w:tcPr>
          <w:p w14:paraId="6F5387B7" w14:textId="742542F6" w:rsidR="00687C0C" w:rsidRPr="00F52633" w:rsidRDefault="00687C0C" w:rsidP="00687C0C">
            <w:pPr>
              <w:spacing w:after="0"/>
              <w:rPr>
                <w:rFonts w:ascii="Aptos" w:hAnsi="Aptos"/>
                <w:sz w:val="18"/>
                <w:szCs w:val="18"/>
              </w:rPr>
            </w:pPr>
            <w:r>
              <w:rPr>
                <w:rFonts w:ascii="Aptos" w:hAnsi="Aptos"/>
                <w:sz w:val="18"/>
                <w:szCs w:val="18"/>
              </w:rPr>
              <w:t>EU – US Data Privacy Framework + UK extension to the Framework</w:t>
            </w:r>
          </w:p>
        </w:tc>
      </w:tr>
      <w:tr w:rsidR="00687C0C" w:rsidRPr="00F52633" w14:paraId="2336BC06" w14:textId="25C90349" w:rsidTr="008A657B">
        <w:tc>
          <w:tcPr>
            <w:tcW w:w="1015"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3A453CD9" w14:textId="5BE80DD9" w:rsidR="00687C0C" w:rsidRPr="00F52633" w:rsidRDefault="00687C0C" w:rsidP="00687C0C">
            <w:pPr>
              <w:spacing w:after="0"/>
              <w:rPr>
                <w:rFonts w:ascii="Aptos" w:hAnsi="Aptos"/>
                <w:sz w:val="18"/>
                <w:szCs w:val="18"/>
              </w:rPr>
            </w:pPr>
            <w:r>
              <w:rPr>
                <w:rFonts w:ascii="Aptos" w:hAnsi="Aptos"/>
                <w:b/>
                <w:bCs/>
                <w:sz w:val="18"/>
                <w:szCs w:val="18"/>
              </w:rPr>
              <w:t xml:space="preserve">Mapbox Inc.</w:t>
            </w:r>
          </w:p>
        </w:tc>
        <w:tc>
          <w:tcPr>
            <w:tcW w:w="1356"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0D3C176B" w14:textId="77777777" w:rsidR="00687C0C" w:rsidRPr="00F52633" w:rsidRDefault="00687C0C" w:rsidP="00687C0C">
            <w:pPr>
              <w:spacing w:after="0"/>
              <w:rPr>
                <w:rFonts w:ascii="Aptos" w:hAnsi="Aptos"/>
                <w:sz w:val="18"/>
                <w:szCs w:val="18"/>
              </w:rPr>
            </w:pPr>
            <w:r>
              <w:rPr>
                <w:rFonts w:ascii="Aptos" w:hAnsi="Aptos"/>
                <w:sz w:val="18"/>
                <w:szCs w:val="18"/>
              </w:rPr>
              <w:t>Map / geolocation rendering</w:t>
            </w:r>
          </w:p>
        </w:tc>
        <w:tc>
          <w:tcPr>
            <w:tcW w:w="1424"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555B1B64" w14:textId="4F887A06" w:rsidR="00687C0C" w:rsidRPr="00F52633" w:rsidRDefault="00687C0C" w:rsidP="00687C0C">
            <w:pPr>
              <w:spacing w:after="0"/>
              <w:rPr>
                <w:rFonts w:ascii="Aptos" w:hAnsi="Aptos"/>
                <w:sz w:val="18"/>
                <w:szCs w:val="18"/>
              </w:rPr>
            </w:pPr>
            <w:r>
              <w:rPr>
                <w:rFonts w:ascii="Aptos" w:hAnsi="Aptos"/>
                <w:sz w:val="18"/>
                <w:szCs w:val="18"/>
              </w:rPr>
              <w:t xml:space="preserve">United States. Mapbox, Inc., Washington, DC. </w:t>
            </w:r>
          </w:p>
        </w:tc>
        <w:tc>
          <w:tcPr>
            <w:tcW w:w="1205" w:type="pct"/>
            <w:tcBorders>
              <w:top w:val="single" w:sz="4" w:space="0" w:color="B0B0B0"/>
              <w:left w:val="single" w:sz="4" w:space="0" w:color="B0B0B0"/>
              <w:bottom w:val="single" w:sz="4" w:space="0" w:color="B0B0B0"/>
              <w:right w:val="single" w:sz="4" w:space="0" w:color="B0B0B0"/>
            </w:tcBorders>
          </w:tcPr>
          <w:p w14:paraId="2B8FCE1B" w14:textId="18C450EE" w:rsidR="00687C0C" w:rsidRPr="00F52633" w:rsidRDefault="00687C0C" w:rsidP="00687C0C">
            <w:pPr>
              <w:spacing w:after="0"/>
              <w:rPr>
                <w:rFonts w:ascii="Aptos" w:hAnsi="Aptos"/>
                <w:sz w:val="18"/>
                <w:szCs w:val="18"/>
              </w:rPr>
            </w:pPr>
            <w:r>
              <w:rPr>
                <w:rFonts w:ascii="Aptos" w:hAnsi="Aptos"/>
                <w:sz w:val="18"/>
                <w:szCs w:val="18"/>
              </w:rPr>
              <w:t>EU – US Data Privacy Framework + UK extension to the Framework</w:t>
            </w:r>
          </w:p>
        </w:tc>
      </w:tr>
    </w:tbl>
    <w:p w14:paraId="2ED3CC25" w14:textId="77777777" w:rsidR="0094077D" w:rsidRPr="00E73CDB" w:rsidRDefault="0094077D" w:rsidP="0094077D">
      <w:pPr>
        <w:pStyle w:val="Part"/>
        <w:numPr>
          <w:ilvl w:val="0"/>
          <w:numId w:val="0"/>
        </w:numPr>
        <w:spacing w:line="240" w:lineRule="auto"/>
        <w:ind w:left="357"/>
        <w:rPr>
          <w:rFonts w:ascii="Aptos" w:hAnsi="Aptos"/>
          <w:color w:val="0000FF"/>
          <w:sz w:val="18"/>
          <w:szCs w:val="18"/>
        </w:rPr>
      </w:pPr>
    </w:p>
    <w:p w14:paraId="6D3AEA76" w14:textId="63724D5B" w:rsidR="008A657B" w:rsidRDefault="008A657B" w:rsidP="00A3506D">
      <w:pPr>
        <w:pStyle w:val="Part"/>
        <w:numPr>
          <w:ilvl w:val="0"/>
          <w:numId w:val="33"/>
        </w:numPr>
        <w:spacing w:line="240" w:lineRule="auto"/>
        <w:rPr>
          <w:rFonts w:ascii="Aptos" w:hAnsi="Aptos"/>
          <w:color w:val="009999"/>
          <w:sz w:val="18"/>
          <w:szCs w:val="18"/>
        </w:rPr>
      </w:pPr>
      <w:r>
        <w:rPr>
          <w:rFonts w:ascii="Aptos" w:hAnsi="Aptos"/>
          <w:color w:val="009999"/>
          <w:sz w:val="18"/>
          <w:szCs w:val="18"/>
        </w:rPr>
        <w:t xml:space="preserve">Other organisations who assist Satorus e.g. as data controllers (“Other Organisations”)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7"/>
        <w:gridCol w:w="3009"/>
        <w:gridCol w:w="2781"/>
        <w:gridCol w:w="2589"/>
      </w:tblGrid>
      <w:tr w:rsidR="008A657B" w:rsidRPr="00F52633" w14:paraId="4537F948" w14:textId="77777777" w:rsidTr="006D3A8E">
        <w:trPr>
          <w:tblHeader/>
        </w:trPr>
        <w:tc>
          <w:tcPr>
            <w:tcW w:w="993" w:type="pct"/>
            <w:tcBorders>
              <w:top w:val="single" w:sz="4" w:space="0" w:color="B0B0B0"/>
              <w:left w:val="single" w:sz="4" w:space="0" w:color="B0B0B0"/>
              <w:bottom w:val="single" w:sz="4" w:space="0" w:color="B0B0B0"/>
              <w:right w:val="single" w:sz="4" w:space="0" w:color="B0B0B0"/>
            </w:tcBorders>
            <w:shd w:val="clear" w:color="auto" w:fill="009999"/>
            <w:tcMar>
              <w:top w:w="60" w:type="dxa"/>
              <w:left w:w="110" w:type="dxa"/>
              <w:bottom w:w="60" w:type="dxa"/>
              <w:right w:w="110" w:type="dxa"/>
            </w:tcMar>
            <w:hideMark/>
          </w:tcPr>
          <w:p w14:paraId="0BA81D01" w14:textId="06DE61AA" w:rsidR="008A657B" w:rsidRPr="00F52633" w:rsidRDefault="008A657B" w:rsidP="006D3A8E">
            <w:pPr>
              <w:spacing w:after="0"/>
              <w:rPr>
                <w:rFonts w:ascii="Aptos" w:hAnsi="Aptos"/>
                <w:sz w:val="18"/>
                <w:szCs w:val="18"/>
              </w:rPr>
            </w:pPr>
            <w:r>
              <w:rPr>
                <w:rFonts w:ascii="Aptos" w:hAnsi="Aptos"/>
                <w:b/>
                <w:bCs/>
                <w:color w:val="FFFFFF"/>
                <w:sz w:val="18"/>
                <w:szCs w:val="18"/>
              </w:rPr>
              <w:t xml:space="preserve">Organisation </w:t>
            </w:r>
          </w:p>
        </w:tc>
        <w:tc>
          <w:tcPr>
            <w:tcW w:w="1439" w:type="pct"/>
            <w:tcBorders>
              <w:top w:val="single" w:sz="4" w:space="0" w:color="B0B0B0"/>
              <w:left w:val="single" w:sz="4" w:space="0" w:color="B0B0B0"/>
              <w:bottom w:val="single" w:sz="4" w:space="0" w:color="B0B0B0"/>
              <w:right w:val="single" w:sz="4" w:space="0" w:color="B0B0B0"/>
            </w:tcBorders>
            <w:shd w:val="clear" w:color="auto" w:fill="009999"/>
            <w:tcMar>
              <w:top w:w="60" w:type="dxa"/>
              <w:left w:w="110" w:type="dxa"/>
              <w:bottom w:w="60" w:type="dxa"/>
              <w:right w:w="110" w:type="dxa"/>
            </w:tcMar>
            <w:hideMark/>
          </w:tcPr>
          <w:p w14:paraId="4B6D5FB1" w14:textId="77777777" w:rsidR="008A657B" w:rsidRPr="00F52633" w:rsidRDefault="008A657B" w:rsidP="006D3A8E">
            <w:pPr>
              <w:spacing w:after="0"/>
              <w:rPr>
                <w:rFonts w:ascii="Aptos" w:hAnsi="Aptos"/>
                <w:sz w:val="18"/>
                <w:szCs w:val="18"/>
              </w:rPr>
            </w:pPr>
            <w:r>
              <w:rPr>
                <w:rFonts w:ascii="Aptos" w:hAnsi="Aptos"/>
                <w:b/>
                <w:bCs/>
                <w:color w:val="FFFFFF"/>
                <w:sz w:val="18"/>
                <w:szCs w:val="18"/>
              </w:rPr>
              <w:t>Used for</w:t>
            </w:r>
          </w:p>
        </w:tc>
        <w:tc>
          <w:tcPr>
            <w:tcW w:w="1330" w:type="pct"/>
            <w:tcBorders>
              <w:top w:val="single" w:sz="4" w:space="0" w:color="B0B0B0"/>
              <w:left w:val="single" w:sz="4" w:space="0" w:color="B0B0B0"/>
              <w:bottom w:val="single" w:sz="4" w:space="0" w:color="B0B0B0"/>
              <w:right w:val="single" w:sz="4" w:space="0" w:color="B0B0B0"/>
            </w:tcBorders>
            <w:shd w:val="clear" w:color="auto" w:fill="009999"/>
            <w:tcMar>
              <w:top w:w="60" w:type="dxa"/>
              <w:left w:w="110" w:type="dxa"/>
              <w:bottom w:w="60" w:type="dxa"/>
              <w:right w:w="110" w:type="dxa"/>
            </w:tcMar>
            <w:hideMark/>
          </w:tcPr>
          <w:p w14:paraId="3DFCE936" w14:textId="77777777" w:rsidR="008A657B" w:rsidRPr="00F52633" w:rsidRDefault="008A657B" w:rsidP="006D3A8E">
            <w:pPr>
              <w:spacing w:after="0"/>
              <w:rPr>
                <w:rFonts w:ascii="Aptos" w:hAnsi="Aptos"/>
                <w:sz w:val="18"/>
                <w:szCs w:val="18"/>
              </w:rPr>
            </w:pPr>
            <w:r>
              <w:rPr>
                <w:rFonts w:ascii="Aptos" w:hAnsi="Aptos"/>
                <w:b/>
                <w:bCs/>
                <w:color w:val="FFFFFF"/>
                <w:sz w:val="18"/>
                <w:szCs w:val="18"/>
              </w:rPr>
              <w:t>Location / jurisdiction</w:t>
            </w:r>
          </w:p>
        </w:tc>
        <w:tc>
          <w:tcPr>
            <w:tcW w:w="1238" w:type="pct"/>
            <w:tcBorders>
              <w:top w:val="single" w:sz="4" w:space="0" w:color="B0B0B0"/>
              <w:left w:val="single" w:sz="4" w:space="0" w:color="B0B0B0"/>
              <w:bottom w:val="single" w:sz="4" w:space="0" w:color="B0B0B0"/>
              <w:right w:val="single" w:sz="4" w:space="0" w:color="B0B0B0"/>
            </w:tcBorders>
            <w:shd w:val="clear" w:color="auto" w:fill="009999"/>
          </w:tcPr>
          <w:p w14:paraId="2A8B8347" w14:textId="77777777" w:rsidR="008A657B" w:rsidRPr="00F52633" w:rsidRDefault="008A657B" w:rsidP="006D3A8E">
            <w:pPr>
              <w:spacing w:after="0"/>
              <w:rPr>
                <w:rFonts w:ascii="Aptos" w:hAnsi="Aptos"/>
                <w:b/>
                <w:bCs/>
                <w:color w:val="FFFFFF"/>
                <w:sz w:val="18"/>
                <w:szCs w:val="18"/>
              </w:rPr>
            </w:pPr>
            <w:r>
              <w:rPr>
                <w:rFonts w:ascii="Aptos" w:hAnsi="Aptos"/>
                <w:b/>
                <w:bCs/>
                <w:color w:val="FFFFFF"/>
                <w:sz w:val="18"/>
                <w:szCs w:val="18"/>
              </w:rPr>
              <w:t>International Data Transfer Mechanism</w:t>
            </w:r>
          </w:p>
        </w:tc>
      </w:tr>
      <w:tr w:rsidR="008A657B" w:rsidRPr="00F52633" w14:paraId="0FBCA222" w14:textId="77777777" w:rsidTr="006D3A8E">
        <w:tc>
          <w:tcPr>
            <w:tcW w:w="993"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0F632BBB" w14:textId="0E213EC2" w:rsidR="008A657B" w:rsidRPr="00F52633" w:rsidRDefault="008A657B" w:rsidP="006D3A8E">
            <w:pPr>
              <w:spacing w:after="0"/>
              <w:rPr>
                <w:rFonts w:ascii="Aptos" w:hAnsi="Aptos"/>
                <w:sz w:val="18"/>
                <w:szCs w:val="18"/>
              </w:rPr>
            </w:pPr>
            <w:r>
              <w:rPr>
                <w:rFonts w:ascii="Aptos" w:hAnsi="Aptos"/>
                <w:b/>
                <w:bCs/>
                <w:sz w:val="18"/>
                <w:szCs w:val="18"/>
              </w:rPr>
              <w:t>OSINT Industries Ltd</w:t>
            </w:r>
          </w:p>
        </w:tc>
        <w:tc>
          <w:tcPr>
            <w:tcW w:w="1439"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6A915FFA" w14:textId="53176B72" w:rsidR="008A657B" w:rsidRPr="00F52633" w:rsidRDefault="008A657B" w:rsidP="006D3A8E">
            <w:pPr>
              <w:spacing w:after="0"/>
              <w:rPr>
                <w:rFonts w:ascii="Aptos" w:hAnsi="Aptos"/>
                <w:sz w:val="18"/>
                <w:szCs w:val="18"/>
              </w:rPr>
            </w:pPr>
            <w:r>
              <w:rPr>
                <w:rFonts w:ascii="Aptos" w:hAnsi="Aptos"/>
                <w:sz w:val="18"/>
                <w:szCs w:val="18"/>
              </w:rPr>
              <w:t>Email and phone-number identifier enrichment</w:t>
            </w:r>
          </w:p>
        </w:tc>
        <w:tc>
          <w:tcPr>
            <w:tcW w:w="1330" w:type="pct"/>
            <w:tcBorders>
              <w:top w:val="single" w:sz="4" w:space="0" w:color="B0B0B0"/>
              <w:left w:val="single" w:sz="4" w:space="0" w:color="B0B0B0"/>
              <w:bottom w:val="single" w:sz="4" w:space="0" w:color="B0B0B0"/>
              <w:right w:val="single" w:sz="4" w:space="0" w:color="B0B0B0"/>
            </w:tcBorders>
            <w:tcMar>
              <w:top w:w="60" w:type="dxa"/>
              <w:left w:w="110" w:type="dxa"/>
              <w:bottom w:w="60" w:type="dxa"/>
              <w:right w:w="110" w:type="dxa"/>
            </w:tcMar>
            <w:hideMark/>
          </w:tcPr>
          <w:p w14:paraId="661BD8C1" w14:textId="30A63626" w:rsidR="008A657B" w:rsidRPr="00F52633" w:rsidRDefault="008A657B" w:rsidP="006D3A8E">
            <w:pPr>
              <w:spacing w:after="0"/>
              <w:rPr>
                <w:rFonts w:ascii="Aptos" w:hAnsi="Aptos"/>
                <w:sz w:val="18"/>
                <w:szCs w:val="18"/>
              </w:rPr>
            </w:pPr>
            <w:r>
              <w:rPr>
                <w:rFonts w:ascii="Aptos" w:hAnsi="Aptos"/>
                <w:sz w:val="18"/>
                <w:szCs w:val="18"/>
              </w:rPr>
              <w:t>UK</w:t>
            </w:r>
          </w:p>
        </w:tc>
        <w:tc>
          <w:tcPr>
            <w:tcW w:w="1238" w:type="pct"/>
            <w:tcBorders>
              <w:top w:val="single" w:sz="4" w:space="0" w:color="B0B0B0"/>
              <w:left w:val="single" w:sz="4" w:space="0" w:color="B0B0B0"/>
              <w:bottom w:val="single" w:sz="4" w:space="0" w:color="B0B0B0"/>
              <w:right w:val="single" w:sz="4" w:space="0" w:color="B0B0B0"/>
            </w:tcBorders>
          </w:tcPr>
          <w:p w14:paraId="55574345" w14:textId="574F23D5" w:rsidR="008A657B" w:rsidRPr="00F52633" w:rsidRDefault="008A657B" w:rsidP="006D3A8E">
            <w:pPr>
              <w:spacing w:after="0"/>
              <w:rPr>
                <w:rFonts w:ascii="Aptos" w:hAnsi="Aptos"/>
                <w:sz w:val="18"/>
                <w:szCs w:val="18"/>
              </w:rPr>
            </w:pPr>
            <w:r>
              <w:rPr>
                <w:rFonts w:ascii="Aptos" w:hAnsi="Aptos"/>
                <w:sz w:val="18"/>
                <w:szCs w:val="18"/>
              </w:rPr>
              <w:t xml:space="preserve">Not applicable </w:t>
            </w:r>
          </w:p>
        </w:tc>
      </w:tr>
    </w:tbl>
    <w:p w14:paraId="46B64AD1" w14:textId="77777777" w:rsidR="008A657B" w:rsidRPr="008A657B" w:rsidRDefault="008A657B" w:rsidP="008A657B">
      <w:pPr>
        <w:pStyle w:val="Part"/>
        <w:numPr>
          <w:ilvl w:val="0"/>
          <w:numId w:val="0"/>
        </w:numPr>
        <w:spacing w:line="240" w:lineRule="auto"/>
        <w:rPr>
          <w:rFonts w:ascii="Aptos" w:hAnsi="Aptos"/>
          <w:color w:val="009999"/>
          <w:sz w:val="18"/>
          <w:szCs w:val="18"/>
        </w:rPr>
      </w:pPr>
    </w:p>
    <w:p w14:paraId="7EA09F3E" w14:textId="42A273A2" w:rsidR="00E14261" w:rsidRPr="00E73CDB" w:rsidRDefault="003D202A" w:rsidP="00A3506D">
      <w:pPr>
        <w:pStyle w:val="Part"/>
        <w:numPr>
          <w:ilvl w:val="0"/>
          <w:numId w:val="33"/>
        </w:numPr>
        <w:spacing w:line="240" w:lineRule="auto"/>
        <w:rPr>
          <w:rFonts w:ascii="Aptos" w:hAnsi="Aptos"/>
          <w:color w:val="0000FF"/>
          <w:sz w:val="18"/>
          <w:szCs w:val="18"/>
        </w:rPr>
      </w:pPr>
      <w:r>
        <w:rPr>
          <w:rFonts w:ascii="Aptos" w:hAnsi="Aptos"/>
          <w:color w:val="009999"/>
          <w:sz w:val="18"/>
          <w:szCs w:val="18"/>
        </w:rPr>
        <w:lastRenderedPageBreak/>
        <w:t xml:space="preserve">Group Companies </w:t>
      </w:r>
      <w:r>
        <w:rPr>
          <w:rFonts w:ascii="Aptos" w:hAnsi="Aptos"/>
          <w:color w:val="0000FF"/>
          <w:sz w:val="18"/>
          <w:szCs w:val="18"/>
        </w:rPr>
        <w:t xml:space="preserve">- </w:t>
      </w:r>
      <w:r>
        <w:rPr>
          <w:rFonts w:ascii="Aptos" w:hAnsi="Aptos"/>
          <w:sz w:val="18"/>
          <w:szCs w:val="18"/>
        </w:rPr>
        <w:t xml:space="preserve">where applicable to the Shared Personal Data Processed for the purposes of the Services </w:t>
      </w:r>
    </w:p>
    <w:tbl>
      <w:tblPr>
        <w:tblStyle w:val="TableGrid"/>
        <w:tblW w:w="0" w:type="auto"/>
        <w:tblLook w:val="04A0" w:firstRow="1" w:lastRow="0" w:firstColumn="1" w:lastColumn="0" w:noHBand="0" w:noVBand="1"/>
      </w:tblPr>
      <w:tblGrid>
        <w:gridCol w:w="2547"/>
        <w:gridCol w:w="4394"/>
        <w:gridCol w:w="3515"/>
      </w:tblGrid>
      <w:tr w:rsidR="006876EC" w:rsidRPr="00E73CDB" w14:paraId="441FFB22" w14:textId="77777777" w:rsidTr="00F717B5">
        <w:tc>
          <w:tcPr>
            <w:tcW w:w="2547" w:type="dxa"/>
            <w:shd w:val="clear" w:color="auto" w:fill="009999"/>
            <w:hideMark/>
          </w:tcPr>
          <w:p w14:paraId="5643E394" w14:textId="324DAE13" w:rsidR="003D202A" w:rsidRPr="00E73CDB" w:rsidRDefault="003D202A" w:rsidP="00C246D3">
            <w:pPr>
              <w:pStyle w:val="BodyText2"/>
              <w:spacing w:after="60"/>
              <w:ind w:left="0"/>
              <w:jc w:val="center"/>
              <w:rPr>
                <w:rFonts w:ascii="Aptos" w:hAnsi="Aptos"/>
                <w:b/>
                <w:bCs/>
                <w:color w:val="FFFFFF" w:themeColor="background1"/>
                <w:sz w:val="18"/>
                <w:szCs w:val="18"/>
                <w:lang w:eastAsia="en-GB"/>
              </w:rPr>
            </w:pPr>
            <w:r>
              <w:rPr>
                <w:rFonts w:ascii="Aptos" w:hAnsi="Aptos"/>
                <w:b/>
                <w:bCs/>
                <w:color w:val="FFFFFF" w:themeColor="background1"/>
                <w:sz w:val="18"/>
                <w:szCs w:val="18"/>
                <w:lang w:eastAsia="en-GB"/>
              </w:rPr>
              <w:t xml:space="preserve">Group Companies </w:t>
            </w:r>
          </w:p>
        </w:tc>
        <w:tc>
          <w:tcPr>
            <w:tcW w:w="4394" w:type="dxa"/>
            <w:shd w:val="clear" w:color="auto" w:fill="009999"/>
            <w:hideMark/>
          </w:tcPr>
          <w:p w14:paraId="057E8281" w14:textId="10FAC404" w:rsidR="003D202A" w:rsidRPr="00E73CDB" w:rsidRDefault="003D202A" w:rsidP="00C246D3">
            <w:pPr>
              <w:pStyle w:val="BodyText2"/>
              <w:spacing w:after="60"/>
              <w:ind w:left="0"/>
              <w:jc w:val="center"/>
              <w:rPr>
                <w:rFonts w:ascii="Aptos" w:hAnsi="Aptos"/>
                <w:b/>
                <w:bCs/>
                <w:color w:val="FFFFFF" w:themeColor="background1"/>
                <w:sz w:val="18"/>
                <w:szCs w:val="18"/>
                <w:lang w:eastAsia="en-GB"/>
              </w:rPr>
            </w:pPr>
            <w:r>
              <w:rPr>
                <w:rFonts w:ascii="Aptos" w:hAnsi="Aptos"/>
                <w:b/>
                <w:bCs/>
                <w:color w:val="FFFFFF" w:themeColor="background1"/>
                <w:sz w:val="18"/>
                <w:szCs w:val="18"/>
                <w:lang w:eastAsia="en-GB"/>
              </w:rPr>
              <w:t xml:space="preserve">Country(ies) where Group Companies will be Processing </w:t>
            </w:r>
          </w:p>
        </w:tc>
        <w:tc>
          <w:tcPr>
            <w:tcW w:w="3515" w:type="dxa"/>
            <w:shd w:val="clear" w:color="auto" w:fill="009999"/>
            <w:hideMark/>
          </w:tcPr>
          <w:p w14:paraId="61614B41" w14:textId="77777777" w:rsidR="003D202A" w:rsidRPr="00E73CDB" w:rsidRDefault="003D202A" w:rsidP="00C246D3">
            <w:pPr>
              <w:pStyle w:val="BodyText2"/>
              <w:spacing w:after="60"/>
              <w:ind w:left="0"/>
              <w:jc w:val="center"/>
              <w:rPr>
                <w:rFonts w:ascii="Aptos" w:hAnsi="Aptos"/>
                <w:b/>
                <w:bCs/>
                <w:color w:val="FFFFFF" w:themeColor="background1"/>
                <w:sz w:val="18"/>
                <w:szCs w:val="18"/>
                <w:lang w:eastAsia="en-GB"/>
              </w:rPr>
            </w:pPr>
            <w:r>
              <w:rPr>
                <w:rFonts w:ascii="Aptos" w:hAnsi="Aptos"/>
                <w:b/>
                <w:bCs/>
                <w:color w:val="FFFFFF" w:themeColor="background1"/>
                <w:sz w:val="18"/>
                <w:szCs w:val="18"/>
                <w:lang w:eastAsia="en-GB"/>
              </w:rPr>
              <w:t xml:space="preserve">Description of Processing </w:t>
            </w:r>
          </w:p>
        </w:tc>
      </w:tr>
      <w:tr w:rsidR="006876EC" w:rsidRPr="00E73CDB" w14:paraId="22A93950" w14:textId="77777777" w:rsidTr="008C0267">
        <w:tc>
          <w:tcPr>
            <w:tcW w:w="2547" w:type="dxa"/>
          </w:tcPr>
          <w:p w14:paraId="0DD0172D" w14:textId="30F1F36E" w:rsidR="003D202A" w:rsidRPr="00E73CDB" w:rsidRDefault="008C0267" w:rsidP="001B1624">
            <w:pPr>
              <w:spacing w:line="240" w:lineRule="auto"/>
              <w:rPr>
                <w:rFonts w:ascii="Aptos" w:eastAsia="Times New Roman" w:hAnsi="Aptos"/>
                <w:color w:val="auto"/>
                <w:sz w:val="18"/>
                <w:szCs w:val="18"/>
              </w:rPr>
            </w:pPr>
            <w:r>
              <w:rPr>
                <w:rFonts w:ascii="Aptos" w:eastAsia="Times New Roman" w:hAnsi="Aptos"/>
                <w:color w:val="auto"/>
                <w:sz w:val="18"/>
                <w:szCs w:val="18"/>
              </w:rPr>
              <w:t xml:space="preserve">Not applicable </w:t>
            </w:r>
          </w:p>
        </w:tc>
        <w:tc>
          <w:tcPr>
            <w:tcW w:w="4394" w:type="dxa"/>
          </w:tcPr>
          <w:p w14:paraId="46C95D6B" w14:textId="5EF92854" w:rsidR="003D202A" w:rsidRPr="00E73CDB" w:rsidRDefault="008C0267" w:rsidP="001B1624">
            <w:pPr>
              <w:spacing w:line="240" w:lineRule="auto"/>
              <w:rPr>
                <w:rFonts w:ascii="Aptos" w:eastAsia="Times New Roman" w:hAnsi="Aptos"/>
                <w:color w:val="auto"/>
                <w:sz w:val="18"/>
                <w:szCs w:val="18"/>
              </w:rPr>
            </w:pPr>
            <w:r>
              <w:rPr>
                <w:rFonts w:ascii="Aptos" w:eastAsia="Times New Roman" w:hAnsi="Aptos"/>
                <w:color w:val="auto"/>
                <w:sz w:val="18"/>
                <w:szCs w:val="18"/>
              </w:rPr>
              <w:t>Not applicable</w:t>
            </w:r>
          </w:p>
        </w:tc>
        <w:tc>
          <w:tcPr>
            <w:tcW w:w="3515" w:type="dxa"/>
          </w:tcPr>
          <w:p w14:paraId="36119C20" w14:textId="2B5E6DB8" w:rsidR="003D202A" w:rsidRPr="00E73CDB" w:rsidRDefault="008C0267" w:rsidP="001B1624">
            <w:pPr>
              <w:spacing w:line="240" w:lineRule="auto"/>
              <w:rPr>
                <w:rFonts w:ascii="Aptos" w:eastAsia="Times New Roman" w:hAnsi="Aptos"/>
                <w:color w:val="auto"/>
                <w:sz w:val="18"/>
                <w:szCs w:val="18"/>
              </w:rPr>
            </w:pPr>
            <w:r>
              <w:rPr>
                <w:rFonts w:ascii="Aptos" w:eastAsia="Times New Roman" w:hAnsi="Aptos"/>
                <w:color w:val="auto"/>
                <w:sz w:val="18"/>
                <w:szCs w:val="18"/>
              </w:rPr>
              <w:t xml:space="preserve">Not applicable </w:t>
            </w:r>
          </w:p>
        </w:tc>
      </w:tr>
    </w:tbl>
    <w:p w14:paraId="41828F35" w14:textId="77777777" w:rsidR="00175BE2" w:rsidRPr="00E73CDB" w:rsidRDefault="00175BE2">
      <w:pPr>
        <w:spacing w:line="24" w:lineRule="auto"/>
        <w:rPr>
          <w:rFonts w:ascii="Aptos" w:eastAsia="Arial Unicode MS" w:hAnsi="Aptos"/>
          <w:b/>
          <w:sz w:val="18"/>
          <w:szCs w:val="18"/>
          <w:lang w:eastAsia="en-US"/>
        </w:rPr>
      </w:pPr>
      <w:r>
        <w:rPr>
          <w:rFonts w:ascii="Aptos" w:hAnsi="Aptos"/>
          <w:sz w:val="18"/>
          <w:szCs w:val="18"/>
        </w:rPr>
        <w:br w:type="page"/>
      </w:r>
    </w:p>
    <w:p w14:paraId="2C184F09" w14:textId="2280B4C6" w:rsidR="009B79EC" w:rsidRPr="00E73CDB" w:rsidRDefault="00AA6D76" w:rsidP="00BC3B3D">
      <w:pPr>
        <w:pStyle w:val="Annex"/>
        <w:rPr>
          <w:rFonts w:ascii="Aptos" w:hAnsi="Aptos"/>
          <w:color w:val="009999"/>
          <w:sz w:val="18"/>
          <w:szCs w:val="18"/>
        </w:rPr>
      </w:pPr>
      <w:bookmarkStart w:id="42" w:name="_Ref185248749"/>
      <w:r>
        <w:rPr>
          <w:rFonts w:ascii="Aptos" w:hAnsi="Aptos"/>
          <w:color w:val="009999"/>
          <w:sz w:val="18"/>
          <w:szCs w:val="18"/>
        </w:rPr>
        <w:lastRenderedPageBreak/>
        <w:t xml:space="preserve">INTERNATIONAL SHARED PERSONAL DATA TRANSFERS</w:t>
      </w:r>
      <w:bookmarkEnd w:id="42"/>
      <w:r>
        <w:rPr>
          <w:rFonts w:ascii="Aptos" w:hAnsi="Aptos"/>
          <w:color w:val="009999"/>
          <w:sz w:val="18"/>
          <w:szCs w:val="18"/>
        </w:rPr>
        <w:t xml:space="preserve"> </w:t>
      </w:r>
    </w:p>
    <w:p w14:paraId="5039C1C6" w14:textId="0CA1986F" w:rsidR="00A36B2D" w:rsidRPr="0028313A" w:rsidRDefault="00A36B2D" w:rsidP="00A3506D">
      <w:pPr>
        <w:pStyle w:val="Part"/>
        <w:numPr>
          <w:ilvl w:val="0"/>
          <w:numId w:val="34"/>
        </w:numPr>
        <w:spacing w:line="240" w:lineRule="auto"/>
        <w:rPr>
          <w:rFonts w:ascii="Aptos" w:hAnsi="Aptos"/>
          <w:color w:val="009999"/>
          <w:sz w:val="18"/>
          <w:szCs w:val="18"/>
          <w:lang w:val="pt-BR"/>
        </w:rPr>
      </w:pPr>
      <w:bookmarkStart w:id="43" w:name="_Ref185255252"/>
      <w:r>
        <w:rPr>
          <w:rFonts w:ascii="Aptos" w:hAnsi="Aptos"/>
          <w:color w:val="009999"/>
          <w:sz w:val="18"/>
          <w:szCs w:val="18"/>
          <w:lang w:val="pt-BR"/>
        </w:rPr>
        <w:t xml:space="preserve">EU STANDARD CONTRACTUAL CLAUSES (EU)</w:t>
      </w:r>
      <w:bookmarkEnd w:id="43"/>
    </w:p>
    <w:p w14:paraId="6F25466E" w14:textId="6021AF75" w:rsidR="00746829" w:rsidRPr="00E73CDB" w:rsidRDefault="00AA6D76" w:rsidP="00A3506D">
      <w:pPr>
        <w:pStyle w:val="TitleClause"/>
        <w:numPr>
          <w:ilvl w:val="0"/>
          <w:numId w:val="37"/>
        </w:numPr>
        <w:spacing w:line="240" w:lineRule="auto"/>
        <w:rPr>
          <w:rFonts w:ascii="Aptos" w:hAnsi="Aptos"/>
          <w:b w:val="0"/>
          <w:bCs/>
          <w:sz w:val="18"/>
          <w:szCs w:val="18"/>
          <w:lang w:val="en-US"/>
        </w:rPr>
      </w:pPr>
      <w:r>
        <w:rPr>
          <w:rFonts w:ascii="Aptos" w:hAnsi="Aptos"/>
          <w:b w:val="0"/>
          <w:bCs/>
          <w:sz w:val="18"/>
          <w:szCs w:val="18"/>
          <w:lang w:val="en-US"/>
        </w:rPr>
        <w:t xml:space="preserve">To the extent a transfer mechanism under Article 46  of the EU GDPR is required to transfer the Shared Personal Data from the Customer to Satorus, the terms of the EU Standard Contractual Clauses set out in the Annex of Commission Implementing Decision (EU) 2021/914 of 4 June 2021 (the “EU SCCs”) are incorporated by reference and deemed signed upon the parties’ execution of the Order Form.</w:t>
      </w:r>
    </w:p>
    <w:p w14:paraId="6CB108E3" w14:textId="2742782D" w:rsidR="00A36B2D" w:rsidRPr="00E73CDB" w:rsidRDefault="00A36B2D" w:rsidP="00A3506D">
      <w:pPr>
        <w:pStyle w:val="TitleClause"/>
        <w:numPr>
          <w:ilvl w:val="0"/>
          <w:numId w:val="37"/>
        </w:numPr>
        <w:spacing w:after="0" w:line="240" w:lineRule="auto"/>
        <w:rPr>
          <w:rFonts w:ascii="Aptos" w:hAnsi="Aptos"/>
          <w:b w:val="0"/>
          <w:bCs/>
          <w:sz w:val="18"/>
          <w:szCs w:val="18"/>
          <w:lang w:val="en-US"/>
        </w:rPr>
      </w:pPr>
      <w:r>
        <w:rPr>
          <w:rFonts w:ascii="Aptos" w:hAnsi="Aptos"/>
          <w:b w:val="0"/>
          <w:bCs/>
          <w:sz w:val="18"/>
          <w:szCs w:val="18"/>
          <w:lang w:val="en-US"/>
        </w:rPr>
        <w:t xml:space="preserve">The EU SCCs are completed as set out below:</w:t>
      </w:r>
    </w:p>
    <w:p w14:paraId="76505D86" w14:textId="4C8BEC22" w:rsidR="006B3B4D" w:rsidRPr="00E73CDB" w:rsidRDefault="00A36B2D" w:rsidP="00A3506D">
      <w:pPr>
        <w:pStyle w:val="Untitledsubclause1"/>
        <w:numPr>
          <w:ilvl w:val="1"/>
          <w:numId w:val="37"/>
        </w:numPr>
        <w:spacing w:after="0" w:line="240" w:lineRule="auto"/>
        <w:rPr>
          <w:rFonts w:ascii="Aptos" w:hAnsi="Aptos"/>
          <w:sz w:val="18"/>
          <w:szCs w:val="18"/>
          <w:lang w:val="en-US"/>
        </w:rPr>
      </w:pPr>
      <w:r>
        <w:rPr>
          <w:rFonts w:ascii="Aptos" w:hAnsi="Aptos"/>
          <w:sz w:val="18"/>
          <w:szCs w:val="18"/>
          <w:lang w:val="en-US"/>
        </w:rPr>
        <w:t xml:space="preserve">The Modules applicable to the transfer of Shared Personal Data originating from the EU under this DPA are:</w:t>
      </w:r>
    </w:p>
    <w:p w14:paraId="74B210C8" w14:textId="0AD31179" w:rsidR="00A36B2D" w:rsidRPr="00E73CDB" w:rsidRDefault="00A36B2D"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 xml:space="preserve">Module 2 – “Controller to Processor” </w:t>
      </w:r>
    </w:p>
    <w:p w14:paraId="6E3ACF86" w14:textId="39F3FB99" w:rsidR="00A36B2D" w:rsidRPr="00E73CDB" w:rsidRDefault="00A36B2D" w:rsidP="00A3506D">
      <w:pPr>
        <w:pStyle w:val="Untitledsubclause1"/>
        <w:numPr>
          <w:ilvl w:val="1"/>
          <w:numId w:val="37"/>
        </w:numPr>
        <w:spacing w:after="0" w:line="240" w:lineRule="auto"/>
        <w:rPr>
          <w:rFonts w:ascii="Aptos" w:hAnsi="Aptos"/>
          <w:sz w:val="18"/>
          <w:szCs w:val="18"/>
          <w:lang w:val="en-US"/>
        </w:rPr>
      </w:pPr>
      <w:r>
        <w:rPr>
          <w:rFonts w:ascii="Aptos" w:hAnsi="Aptos"/>
          <w:sz w:val="18"/>
          <w:szCs w:val="18"/>
          <w:lang w:val="en-US"/>
        </w:rPr>
        <w:t>The following selections are made, where Commission Implementing Decision (EU) 2021/914 permits selection of options in the Clauses of the EU SCCs:</w:t>
      </w:r>
    </w:p>
    <w:p w14:paraId="61384615" w14:textId="70147665" w:rsidR="00A36B2D" w:rsidRPr="00E73CDB" w:rsidRDefault="00A36B2D"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Clause 7 “Optional (Docking Clause)” – retained.</w:t>
      </w:r>
    </w:p>
    <w:p w14:paraId="46E57DF4" w14:textId="6937DC90" w:rsidR="00A36B2D" w:rsidRPr="00E73CDB" w:rsidRDefault="00A36B2D"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 xml:space="preserve">Clause 9 “Use of Subprocessors” sub section (a) – Option 2 (general authorisation) is selected and the time period is as set out in paragraph </w:t>
        <w:fldChar w:fldCharType="begin"/>
        <w:instrText xml:space="preserve"> REF _Ref185282305 \r \h </w:instrText>
        <w:instrText xml:space="preserve"> \* MERGEFORMAT </w:instrText>
        <w:fldChar w:fldCharType="separate"/>
        <w:t>7</w:t>
        <w:fldChar w:fldCharType="end"/>
        <w:t xml:space="preserve"> of this DPA.</w:t>
      </w:r>
    </w:p>
    <w:p w14:paraId="6D1DC9D0" w14:textId="6BE23B58" w:rsidR="00A36B2D" w:rsidRPr="00E73CDB" w:rsidRDefault="00A36B2D"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Clause 11 “Redress” – sub section (a) – the option provided in this sub-section is not selected.</w:t>
      </w:r>
    </w:p>
    <w:p w14:paraId="2AD4180A" w14:textId="26994B49" w:rsidR="00A36B2D" w:rsidRPr="00E73CDB" w:rsidRDefault="00A36B2D"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Clause 17 “Governing Law” – Option 1 is selected and the governing law is as follows:</w:t>
      </w:r>
    </w:p>
    <w:p w14:paraId="25AB0BA1" w14:textId="77777777" w:rsidR="00A36B2D" w:rsidRPr="00E73CDB" w:rsidRDefault="00A36B2D" w:rsidP="00A3506D">
      <w:pPr>
        <w:pStyle w:val="Untitledsubclause2"/>
        <w:numPr>
          <w:ilvl w:val="0"/>
          <w:numId w:val="0"/>
        </w:numPr>
        <w:spacing w:after="0" w:line="240" w:lineRule="auto"/>
        <w:ind w:left="1555"/>
        <w:rPr>
          <w:rFonts w:ascii="Aptos" w:hAnsi="Aptos"/>
          <w:sz w:val="18"/>
          <w:szCs w:val="18"/>
          <w:lang w:val="en-US"/>
        </w:rPr>
      </w:pPr>
      <w:r>
        <w:rPr>
          <w:rFonts w:ascii="Aptos" w:hAnsi="Aptos"/>
          <w:sz w:val="18"/>
          <w:szCs w:val="18"/>
          <w:lang w:val="en-US"/>
        </w:rPr>
        <w:t>“These Clauses shall be governed by the law of one of the EU Member States, provided such law allows for third-party beneficiary rights. The Parties agree that this shall be the law of the Republic of Ireland.”</w:t>
      </w:r>
    </w:p>
    <w:p w14:paraId="2DE9EAB8" w14:textId="4C3D584F" w:rsidR="00A36B2D" w:rsidRPr="00E73CDB" w:rsidRDefault="00A36B2D"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Clause 18 “Choice of Forum and Jurisdiction” sub-section (b) is amended as follows: “The Parties agree that those shall be the courts of Dublin, Ireland.”</w:t>
      </w:r>
    </w:p>
    <w:p w14:paraId="49A5AB26" w14:textId="6796F29B" w:rsidR="00A36B2D" w:rsidRPr="00E73CDB" w:rsidRDefault="00A36B2D" w:rsidP="00A3506D">
      <w:pPr>
        <w:pStyle w:val="Untitledsubclause1"/>
        <w:numPr>
          <w:ilvl w:val="1"/>
          <w:numId w:val="37"/>
        </w:numPr>
        <w:spacing w:after="0" w:line="240" w:lineRule="auto"/>
        <w:rPr>
          <w:rFonts w:ascii="Aptos" w:hAnsi="Aptos"/>
          <w:sz w:val="18"/>
          <w:szCs w:val="18"/>
          <w:lang w:val="en-US"/>
        </w:rPr>
      </w:pPr>
      <w:r>
        <w:rPr>
          <w:rFonts w:ascii="Aptos" w:hAnsi="Aptos"/>
          <w:sz w:val="18"/>
          <w:szCs w:val="18"/>
          <w:lang w:val="en-US"/>
        </w:rPr>
        <w:t xml:space="preserve">Annex I to the SCCs shall be considered filled as follows: the Data Exporter is the Customer, Data Importer is Satorus and their details shall be the same as set out in this DPA. </w:t>
      </w:r>
    </w:p>
    <w:p w14:paraId="73A3A2B3" w14:textId="166BDF94" w:rsidR="00A36B2D" w:rsidRPr="00E73CDB" w:rsidRDefault="00A36B2D" w:rsidP="00A3506D">
      <w:pPr>
        <w:pStyle w:val="Untitledsubclause1"/>
        <w:numPr>
          <w:ilvl w:val="1"/>
          <w:numId w:val="37"/>
        </w:numPr>
        <w:spacing w:after="0" w:line="240" w:lineRule="auto"/>
        <w:rPr>
          <w:rFonts w:ascii="Aptos" w:hAnsi="Aptos"/>
          <w:sz w:val="18"/>
          <w:szCs w:val="18"/>
          <w:lang w:val="en-US"/>
        </w:rPr>
      </w:pPr>
      <w:r>
        <w:rPr>
          <w:rFonts w:ascii="Aptos" w:hAnsi="Aptos"/>
          <w:sz w:val="18"/>
          <w:szCs w:val="18"/>
          <w:lang w:val="en-US"/>
        </w:rPr>
        <w:t xml:space="preserve">Annex IB to the SCCs shall be the same as </w:t>
        <w:fldChar w:fldCharType="begin"/>
        <w:instrText xml:space="preserve"> REF _Ref185254848 \r \h </w:instrText>
        <w:instrText xml:space="preserve"> \* MERGEFORMAT </w:instrText>
        <w:fldChar w:fldCharType="separate"/>
        <w:t>ANNEX A</w:t>
        <w:fldChar w:fldCharType="end"/>
        <w:t xml:space="preserve"> to this DPA and in addition the following details are included to complete Annex B: the frequency of the transfer is continuous; and the Shared Personal Data is retained for as long as necessary for the Processing of Shared Personal Data under the Services.</w:t>
      </w:r>
    </w:p>
    <w:p w14:paraId="67A5B253" w14:textId="72E242F3" w:rsidR="00A36B2D" w:rsidRPr="00E73CDB" w:rsidRDefault="00A36B2D" w:rsidP="00A3506D">
      <w:pPr>
        <w:pStyle w:val="Untitledsubclause1"/>
        <w:numPr>
          <w:ilvl w:val="1"/>
          <w:numId w:val="37"/>
        </w:numPr>
        <w:spacing w:after="0" w:line="240" w:lineRule="auto"/>
        <w:rPr>
          <w:rFonts w:ascii="Aptos" w:hAnsi="Aptos"/>
          <w:sz w:val="18"/>
          <w:szCs w:val="18"/>
          <w:lang w:val="en-US"/>
        </w:rPr>
      </w:pPr>
      <w:r>
        <w:rPr>
          <w:rFonts w:ascii="Aptos" w:hAnsi="Aptos"/>
          <w:sz w:val="18"/>
          <w:szCs w:val="18"/>
          <w:lang w:val="en-US"/>
        </w:rPr>
        <w:t>Annex IC is completed as follows: The Supervisory Authority of the Republic of Ireland</w:t>
      </w:r>
    </w:p>
    <w:p w14:paraId="5AB6F963" w14:textId="431574DA" w:rsidR="00A36B2D" w:rsidRPr="00E73CDB" w:rsidRDefault="00A36B2D" w:rsidP="00A3506D">
      <w:pPr>
        <w:pStyle w:val="Untitledsubclause1"/>
        <w:numPr>
          <w:ilvl w:val="1"/>
          <w:numId w:val="37"/>
        </w:numPr>
        <w:spacing w:after="0" w:line="240" w:lineRule="auto"/>
        <w:rPr>
          <w:rFonts w:ascii="Aptos" w:hAnsi="Aptos"/>
          <w:sz w:val="18"/>
          <w:szCs w:val="18"/>
          <w:lang w:val="en-US"/>
        </w:rPr>
      </w:pPr>
      <w:r>
        <w:rPr>
          <w:rFonts w:ascii="Aptos" w:hAnsi="Aptos"/>
          <w:sz w:val="18"/>
          <w:szCs w:val="18"/>
          <w:lang w:val="en-US"/>
        </w:rPr>
        <w:t xml:space="preserve">Annex II to the SCCs shall be the same as paragraph </w:t>
        <w:fldChar w:fldCharType="begin"/>
        <w:instrText xml:space="preserve"> REF a798515 \r \h  \* MERGEFORMAT </w:instrText>
        <w:fldChar w:fldCharType="separate"/>
        <w:t>5.2(b)</w:t>
        <w:fldChar w:fldCharType="end"/>
        <w:t xml:space="preserve"> to this DPA </w:t>
      </w:r>
    </w:p>
    <w:p w14:paraId="388A1FA2" w14:textId="728B61C5" w:rsidR="00A36B2D" w:rsidRPr="00E73CDB" w:rsidRDefault="00A36B2D" w:rsidP="00A3506D">
      <w:pPr>
        <w:pStyle w:val="Untitledsubclause1"/>
        <w:numPr>
          <w:ilvl w:val="1"/>
          <w:numId w:val="37"/>
        </w:numPr>
        <w:spacing w:after="0" w:line="240" w:lineRule="auto"/>
        <w:rPr>
          <w:rFonts w:ascii="Aptos" w:hAnsi="Aptos"/>
          <w:sz w:val="18"/>
          <w:szCs w:val="18"/>
          <w:lang w:val="en-US"/>
        </w:rPr>
      </w:pPr>
      <w:r>
        <w:rPr>
          <w:rFonts w:ascii="Aptos" w:hAnsi="Aptos"/>
          <w:sz w:val="18"/>
          <w:szCs w:val="18"/>
          <w:lang w:val="en-US"/>
        </w:rPr>
        <w:t xml:space="preserve">Annex III to the SCCs shall be the same as </w:t>
        <w:fldChar w:fldCharType="begin"/>
        <w:instrText xml:space="preserve"> REF _Ref185276088 \r \h </w:instrText>
        <w:instrText xml:space="preserve"> \* MERGEFORMAT </w:instrText>
        <w:fldChar w:fldCharType="separate"/>
        <w:t>Part 5</w:t>
        <w:fldChar w:fldCharType="end"/>
        <w:t xml:space="preserve"> of </w:t>
        <w:fldChar w:fldCharType="begin"/>
        <w:instrText xml:space="preserve"> REF _Ref185254848 \r \h  \* MERGEFORMAT </w:instrText>
        <w:fldChar w:fldCharType="separate"/>
        <w:t>ANNEX A</w:t>
        <w:fldChar w:fldCharType="end"/>
        <w:t xml:space="preserve"> to this DPA.</w:t>
      </w:r>
    </w:p>
    <w:p w14:paraId="06A55124" w14:textId="70563FB9" w:rsidR="00A36B2D" w:rsidRPr="00E73CDB" w:rsidRDefault="00A36B2D" w:rsidP="00AE68A9">
      <w:pPr>
        <w:pStyle w:val="Part"/>
        <w:spacing w:line="240" w:lineRule="auto"/>
        <w:rPr>
          <w:rFonts w:ascii="Aptos" w:hAnsi="Aptos"/>
          <w:color w:val="009999"/>
          <w:sz w:val="18"/>
          <w:szCs w:val="18"/>
        </w:rPr>
      </w:pPr>
      <w:r>
        <w:rPr>
          <w:rFonts w:ascii="Aptos" w:hAnsi="Aptos"/>
          <w:color w:val="009999"/>
          <w:sz w:val="18"/>
          <w:szCs w:val="18"/>
        </w:rPr>
        <w:t xml:space="preserve">UK ADDENDUM TO THE EU STANDARD CONTRACTUAL CLAUSES (EU and UK together with </w:t>
        <w:fldChar w:fldCharType="begin"/>
        <w:instrText xml:space="preserve"> REF _Ref185255252 \r \h </w:instrText>
        <w:instrText xml:space="preserve"> \* MERGEFORMAT </w:instrText>
        <w:fldChar w:fldCharType="separate"/>
        <w:t>Part 1</w:t>
        <w:fldChar w:fldCharType="end"/>
        <w:t xml:space="preserve"> of </w:t>
        <w:fldChar w:fldCharType="begin"/>
        <w:instrText xml:space="preserve"> REF _Ref185248749 \r \h </w:instrText>
        <w:instrText xml:space="preserve"> \* MERGEFORMAT </w:instrText>
        <w:fldChar w:fldCharType="separate"/>
        <w:t>ANNEX B</w:t>
        <w:fldChar w:fldCharType="end"/>
        <w:t>)</w:t>
      </w:r>
    </w:p>
    <w:p w14:paraId="77D945A1" w14:textId="0721D81A" w:rsidR="00A36B2D" w:rsidRPr="00E73CDB" w:rsidRDefault="00A36B2D" w:rsidP="00A3506D">
      <w:pPr>
        <w:pStyle w:val="TitleClause"/>
        <w:numPr>
          <w:ilvl w:val="0"/>
          <w:numId w:val="38"/>
        </w:numPr>
        <w:spacing w:line="240" w:lineRule="auto"/>
        <w:rPr>
          <w:rFonts w:ascii="Aptos" w:hAnsi="Aptos"/>
          <w:b w:val="0"/>
          <w:bCs/>
          <w:sz w:val="18"/>
          <w:szCs w:val="18"/>
          <w:lang w:val="en-US"/>
        </w:rPr>
      </w:pPr>
      <w:r>
        <w:rPr>
          <w:rFonts w:ascii="Aptos" w:hAnsi="Aptos"/>
          <w:b w:val="0"/>
          <w:bCs/>
          <w:sz w:val="18"/>
          <w:szCs w:val="18"/>
          <w:lang w:val="en-US"/>
        </w:rPr>
        <w:t xml:space="preserve">To the extent a transfer mechanism under Article 46 of the UK GDPR is required under the UK GDPR and the EU GDPR to transfer the Shared Personal Data from the Customer to Satorus, the UK Addendum to the EU Standard Contractual Clauses form part of this DPA and takes precedence over the rest of this DPA for such transfer to the extent of any conflict and it will be deemed completed as follows:</w:t>
      </w:r>
    </w:p>
    <w:p w14:paraId="6551307D" w14:textId="73ABA433" w:rsidR="00A36B2D" w:rsidRPr="00E73CDB" w:rsidRDefault="00A36B2D" w:rsidP="00A3506D">
      <w:pPr>
        <w:pStyle w:val="Untitledsubclause1"/>
        <w:numPr>
          <w:ilvl w:val="1"/>
          <w:numId w:val="37"/>
        </w:numPr>
        <w:spacing w:after="0" w:line="240" w:lineRule="auto"/>
        <w:rPr>
          <w:rFonts w:ascii="Aptos" w:hAnsi="Aptos"/>
          <w:sz w:val="18"/>
          <w:szCs w:val="18"/>
          <w:lang w:val="en-US"/>
        </w:rPr>
      </w:pPr>
      <w:r>
        <w:rPr>
          <w:rFonts w:ascii="Aptos" w:hAnsi="Aptos"/>
          <w:sz w:val="18"/>
          <w:szCs w:val="18"/>
          <w:lang w:val="en-US"/>
        </w:rPr>
        <w:t xml:space="preserve">Table 1: The “exporter” is the Customer, the “importer” is Satorus and both Parties’ contact information is set forth in this DPA. </w:t>
      </w:r>
    </w:p>
    <w:p w14:paraId="76BE271D" w14:textId="2355EF1D" w:rsidR="00A36B2D" w:rsidRPr="00E73CDB" w:rsidRDefault="00A36B2D" w:rsidP="00A3506D">
      <w:pPr>
        <w:pStyle w:val="Untitledsubclause1"/>
        <w:numPr>
          <w:ilvl w:val="1"/>
          <w:numId w:val="37"/>
        </w:numPr>
        <w:spacing w:after="0" w:line="240" w:lineRule="auto"/>
        <w:rPr>
          <w:rFonts w:ascii="Aptos" w:hAnsi="Aptos"/>
          <w:sz w:val="18"/>
          <w:szCs w:val="18"/>
          <w:lang w:val="en-US"/>
        </w:rPr>
      </w:pPr>
      <w:r>
        <w:rPr>
          <w:rFonts w:ascii="Aptos" w:hAnsi="Aptos"/>
          <w:sz w:val="18"/>
          <w:szCs w:val="18"/>
          <w:lang w:val="en-US"/>
        </w:rPr>
        <w:t xml:space="preserve">Table 2: The Approved EU SCCs described in Table 2 of the UK Addendum shall be the Approved EU SCCs, including the Appendix Information and with only the following modules, clauses or optional provisions of the Approved EU SCCs brought into effect for the purposes of this Addendum and as such modules, clauses and optional provisions are as completed in </w:t>
        <w:fldChar w:fldCharType="begin"/>
        <w:instrText xml:space="preserve"> REF _Ref185255252 \r \h </w:instrText>
        <w:instrText xml:space="preserve"> \* MERGEFORMAT </w:instrText>
        <w:fldChar w:fldCharType="separate"/>
        <w:t>Part 1</w:t>
        <w:fldChar w:fldCharType="end"/>
        <w:t xml:space="preserve"> of </w:t>
        <w:fldChar w:fldCharType="begin"/>
        <w:instrText xml:space="preserve"> REF _Ref185248749 \r \h </w:instrText>
        <w:instrText xml:space="preserve"> \* MERGEFORMAT </w:instrText>
        <w:fldChar w:fldCharType="separate"/>
        <w:t>ANNEX B</w:t>
        <w:fldChar w:fldCharType="end"/>
        <w:t xml:space="preserve"> above.</w:t>
      </w:r>
    </w:p>
    <w:p w14:paraId="77EF7F77" w14:textId="18CCEF84" w:rsidR="00A36B2D" w:rsidRPr="00E73CDB" w:rsidRDefault="00A36B2D" w:rsidP="00A3506D">
      <w:pPr>
        <w:pStyle w:val="Untitledsubclause1"/>
        <w:numPr>
          <w:ilvl w:val="1"/>
          <w:numId w:val="37"/>
        </w:numPr>
        <w:spacing w:after="0" w:line="240" w:lineRule="auto"/>
        <w:rPr>
          <w:rFonts w:ascii="Aptos" w:hAnsi="Aptos"/>
          <w:sz w:val="18"/>
          <w:szCs w:val="18"/>
          <w:lang w:val="en-US"/>
        </w:rPr>
      </w:pPr>
      <w:r>
        <w:rPr>
          <w:rFonts w:ascii="Aptos" w:hAnsi="Aptos"/>
          <w:sz w:val="18"/>
          <w:szCs w:val="18"/>
          <w:lang w:val="en-US"/>
        </w:rPr>
        <w:t xml:space="preserve">Table 3: Annex 1A of the UK Addendum shall be the same as set out in this DPA. </w:t>
      </w:r>
    </w:p>
    <w:p w14:paraId="39F9E2DB" w14:textId="78F527A1" w:rsidR="00A36B2D" w:rsidRPr="00E73CDB" w:rsidRDefault="00A36B2D" w:rsidP="00A3506D">
      <w:pPr>
        <w:pStyle w:val="Untitledsubclause1"/>
        <w:numPr>
          <w:ilvl w:val="1"/>
          <w:numId w:val="37"/>
        </w:numPr>
        <w:spacing w:after="0" w:line="240" w:lineRule="auto"/>
        <w:rPr>
          <w:rFonts w:ascii="Aptos" w:hAnsi="Aptos"/>
          <w:sz w:val="18"/>
          <w:szCs w:val="18"/>
          <w:lang w:val="en-US"/>
        </w:rPr>
      </w:pPr>
      <w:r>
        <w:rPr>
          <w:rFonts w:ascii="Aptos" w:hAnsi="Aptos"/>
          <w:sz w:val="18"/>
          <w:szCs w:val="18"/>
          <w:lang w:val="en-US"/>
        </w:rPr>
        <w:t xml:space="preserve">Table 3: Annex 1B of the UK Addendum are set forth in </w:t>
        <w:fldChar w:fldCharType="begin"/>
        <w:instrText xml:space="preserve"> REF _Ref185254848 \r \h  \* MERGEFORMAT </w:instrText>
        <w:fldChar w:fldCharType="separate"/>
        <w:t>ANNEX A</w:t>
        <w:fldChar w:fldCharType="end"/>
        <w:t xml:space="preserve"> to this DPA . </w:t>
      </w:r>
    </w:p>
    <w:p w14:paraId="4280B151" w14:textId="08FB3F04" w:rsidR="00A36B2D" w:rsidRPr="00E73CDB" w:rsidRDefault="00A36B2D" w:rsidP="00A3506D">
      <w:pPr>
        <w:pStyle w:val="Untitledsubclause1"/>
        <w:numPr>
          <w:ilvl w:val="1"/>
          <w:numId w:val="37"/>
        </w:numPr>
        <w:spacing w:after="0" w:line="240" w:lineRule="auto"/>
        <w:rPr>
          <w:rFonts w:ascii="Aptos" w:hAnsi="Aptos"/>
          <w:sz w:val="18"/>
          <w:szCs w:val="18"/>
          <w:lang w:val="en-US"/>
        </w:rPr>
      </w:pPr>
      <w:r>
        <w:rPr>
          <w:rFonts w:ascii="Aptos" w:hAnsi="Aptos"/>
          <w:sz w:val="18"/>
          <w:szCs w:val="18"/>
          <w:lang w:val="en-US"/>
        </w:rPr>
        <w:t xml:space="preserve">Table 3: Annex II of the UK Addendum is set forth in paragraph </w:t>
        <w:fldChar w:fldCharType="begin"/>
        <w:instrText xml:space="preserve"> REF a798515 \r \h  \* MERGEFORMAT </w:instrText>
        <w:fldChar w:fldCharType="separate"/>
        <w:t>5.2(b)</w:t>
        <w:fldChar w:fldCharType="end"/>
        <w:t xml:space="preserve"> to this DPA .</w:t>
      </w:r>
    </w:p>
    <w:p w14:paraId="5E1F4E62" w14:textId="7EDC1196" w:rsidR="00A36B2D" w:rsidRPr="00E73CDB" w:rsidRDefault="00A36B2D" w:rsidP="00A3506D">
      <w:pPr>
        <w:pStyle w:val="Untitledsubclause1"/>
        <w:numPr>
          <w:ilvl w:val="1"/>
          <w:numId w:val="37"/>
        </w:numPr>
        <w:spacing w:after="0" w:line="240" w:lineRule="auto"/>
        <w:rPr>
          <w:rFonts w:ascii="Aptos" w:hAnsi="Aptos"/>
          <w:sz w:val="18"/>
          <w:szCs w:val="18"/>
          <w:lang w:val="en-US"/>
        </w:rPr>
      </w:pPr>
      <w:r>
        <w:rPr>
          <w:rFonts w:ascii="Aptos" w:hAnsi="Aptos"/>
          <w:sz w:val="18"/>
          <w:szCs w:val="18"/>
          <w:lang w:val="en-US"/>
        </w:rPr>
        <w:lastRenderedPageBreak/>
        <w:t xml:space="preserve">Table 3: Annex III of the UK Addendum is set forth in </w:t>
        <w:fldChar w:fldCharType="begin"/>
        <w:instrText xml:space="preserve"> REF _Ref185276088 \r \h </w:instrText>
        <w:instrText xml:space="preserve"> \* MERGEFORMAT </w:instrText>
        <w:fldChar w:fldCharType="separate"/>
        <w:t>Part 5</w:t>
        <w:fldChar w:fldCharType="end"/>
        <w:t xml:space="preserve"> of </w:t>
        <w:fldChar w:fldCharType="begin"/>
        <w:instrText xml:space="preserve"> REF _Ref185254848 \r \h  \* MERGEFORMAT </w:instrText>
        <w:fldChar w:fldCharType="separate"/>
        <w:t>ANNEX A</w:t>
        <w:fldChar w:fldCharType="end"/>
        <w:t xml:space="preserve"> to this DPA .</w:t>
      </w:r>
    </w:p>
    <w:p w14:paraId="720EFD42" w14:textId="6A515416" w:rsidR="00A36B2D" w:rsidRPr="00E73CDB" w:rsidRDefault="00A36B2D" w:rsidP="00A3506D">
      <w:pPr>
        <w:pStyle w:val="Untitledsubclause1"/>
        <w:numPr>
          <w:ilvl w:val="1"/>
          <w:numId w:val="37"/>
        </w:numPr>
        <w:spacing w:after="0" w:line="240" w:lineRule="auto"/>
        <w:rPr>
          <w:rFonts w:ascii="Aptos" w:hAnsi="Aptos"/>
          <w:sz w:val="18"/>
          <w:szCs w:val="18"/>
          <w:lang w:val="en-US"/>
        </w:rPr>
      </w:pPr>
      <w:r>
        <w:rPr>
          <w:rFonts w:ascii="Aptos" w:hAnsi="Aptos"/>
          <w:sz w:val="18"/>
          <w:szCs w:val="18"/>
          <w:lang w:val="en-US"/>
        </w:rPr>
        <w:t>The Supervisory Authority for the purpose of the UK Addendum is the Information Commissioner’s Office</w:t>
      </w:r>
    </w:p>
    <w:p w14:paraId="761A24E5" w14:textId="78138DCF" w:rsidR="00A36B2D" w:rsidRPr="00E73CDB" w:rsidRDefault="00A36B2D" w:rsidP="00A3506D">
      <w:pPr>
        <w:pStyle w:val="Untitledsubclause1"/>
        <w:numPr>
          <w:ilvl w:val="1"/>
          <w:numId w:val="37"/>
        </w:numPr>
        <w:spacing w:after="0" w:line="240" w:lineRule="auto"/>
        <w:rPr>
          <w:rFonts w:ascii="Aptos" w:hAnsi="Aptos"/>
          <w:sz w:val="18"/>
          <w:szCs w:val="18"/>
          <w:lang w:val="en-US"/>
        </w:rPr>
      </w:pPr>
      <w:r>
        <w:rPr>
          <w:rFonts w:ascii="Aptos" w:hAnsi="Aptos"/>
          <w:sz w:val="18"/>
          <w:szCs w:val="18"/>
          <w:lang w:val="en-US"/>
        </w:rPr>
        <w:t>Both parties may terminate the UK Addendum as set out in Section 19 to the UK Addendum.</w:t>
      </w:r>
    </w:p>
    <w:p w14:paraId="453DE4F7" w14:textId="3AD5CE46" w:rsidR="00AA6D76" w:rsidRPr="00E73CDB" w:rsidRDefault="00F914B9" w:rsidP="00AE68A9">
      <w:pPr>
        <w:pStyle w:val="Part"/>
        <w:spacing w:line="240" w:lineRule="auto"/>
        <w:rPr>
          <w:rFonts w:ascii="Aptos" w:hAnsi="Aptos"/>
          <w:color w:val="009999"/>
          <w:sz w:val="18"/>
          <w:szCs w:val="18"/>
        </w:rPr>
      </w:pPr>
      <w:r>
        <w:rPr>
          <w:rFonts w:ascii="Aptos" w:hAnsi="Aptos"/>
          <w:color w:val="009999"/>
          <w:sz w:val="18"/>
          <w:szCs w:val="18"/>
        </w:rPr>
        <w:t>UK INTERNATIONAL DATA TRANSFER AGREEMENT (UK ONLY – NO EU)</w:t>
      </w:r>
    </w:p>
    <w:p w14:paraId="7285B16B" w14:textId="64C520E7" w:rsidR="00AA6D76" w:rsidRPr="00E73CDB" w:rsidRDefault="00AA6D76" w:rsidP="00A3506D">
      <w:pPr>
        <w:pStyle w:val="TitleClause"/>
        <w:numPr>
          <w:ilvl w:val="0"/>
          <w:numId w:val="39"/>
        </w:numPr>
        <w:spacing w:line="240" w:lineRule="auto"/>
        <w:rPr>
          <w:rFonts w:ascii="Aptos" w:eastAsia="Times New Roman" w:hAnsi="Aptos"/>
          <w:b w:val="0"/>
          <w:bCs/>
          <w:sz w:val="18"/>
          <w:szCs w:val="18"/>
        </w:rPr>
      </w:pPr>
      <w:r>
        <w:rPr>
          <w:rFonts w:ascii="Aptos" w:eastAsia="Times New Roman" w:hAnsi="Aptos"/>
          <w:b w:val="0"/>
          <w:bCs/>
          <w:sz w:val="18"/>
          <w:szCs w:val="18"/>
        </w:rPr>
        <w:t xml:space="preserve">To the extent only the UK GDPR applies and </w:t>
      </w:r>
      <w:r>
        <w:rPr>
          <w:rFonts w:ascii="Aptos" w:hAnsi="Aptos"/>
          <w:b w:val="0"/>
          <w:bCs/>
          <w:sz w:val="18"/>
          <w:szCs w:val="18"/>
          <w:lang w:val="en-US"/>
        </w:rPr>
        <w:t xml:space="preserve">a transfer mechanism under Article 46 of the UK GDPR is required to transfer the Shared Personal Data from the Customer to Satorus</w:t>
      </w:r>
      <w:r>
        <w:rPr>
          <w:rFonts w:ascii="Aptos" w:eastAsia="Times New Roman" w:hAnsi="Aptos"/>
          <w:b w:val="0"/>
          <w:bCs/>
          <w:sz w:val="18"/>
          <w:szCs w:val="18"/>
        </w:rPr>
        <w:t xml:space="preserve">, the UK International Data Transfer Agreement ("IDTA) forms part of this DPA and takes precedence over the rest of this DPA for such transfer to the extent of any conflict and will be deemed completed as follows:</w:t>
      </w:r>
    </w:p>
    <w:p w14:paraId="0DF43FF9" w14:textId="70ADF13C" w:rsidR="00AA6D76" w:rsidRPr="00E73CDB" w:rsidRDefault="00AA6D76" w:rsidP="00A3506D">
      <w:pPr>
        <w:pStyle w:val="Untitledsubclause1"/>
        <w:numPr>
          <w:ilvl w:val="1"/>
          <w:numId w:val="37"/>
        </w:numPr>
        <w:spacing w:after="0" w:line="240" w:lineRule="auto"/>
        <w:rPr>
          <w:rFonts w:ascii="Aptos" w:hAnsi="Aptos"/>
          <w:sz w:val="18"/>
          <w:szCs w:val="18"/>
          <w:lang w:val="en-US"/>
        </w:rPr>
      </w:pPr>
      <w:r>
        <w:rPr>
          <w:rFonts w:ascii="Aptos" w:hAnsi="Aptos"/>
          <w:sz w:val="18"/>
          <w:szCs w:val="18"/>
          <w:lang w:val="en-US"/>
        </w:rPr>
        <w:t xml:space="preserve">Table 1: The “exporter” is the Customer, the “importer” is Satorus and both Parties’ details and contact information is set forth in this DPA. </w:t>
      </w:r>
    </w:p>
    <w:p w14:paraId="6E46EEB9" w14:textId="77777777" w:rsidR="00AA6D76" w:rsidRPr="00E73CDB" w:rsidRDefault="00AA6D76" w:rsidP="00A3506D">
      <w:pPr>
        <w:pStyle w:val="Untitledsubclause1"/>
        <w:numPr>
          <w:ilvl w:val="1"/>
          <w:numId w:val="37"/>
        </w:numPr>
        <w:spacing w:after="0" w:line="240" w:lineRule="auto"/>
        <w:rPr>
          <w:rFonts w:ascii="Aptos" w:hAnsi="Aptos"/>
          <w:sz w:val="18"/>
          <w:szCs w:val="18"/>
          <w:lang w:val="en-US"/>
        </w:rPr>
      </w:pPr>
      <w:r>
        <w:rPr>
          <w:rFonts w:ascii="Aptos" w:hAnsi="Aptos"/>
          <w:sz w:val="18"/>
          <w:szCs w:val="18"/>
          <w:lang w:val="en-US"/>
        </w:rPr>
        <w:t>Table 2: Transfer details:</w:t>
      </w:r>
    </w:p>
    <w:p w14:paraId="3241230C" w14:textId="77777777" w:rsidR="00AA6D76" w:rsidRPr="00E73CDB" w:rsidRDefault="00AA6D76"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 xml:space="preserve">UK country’s law that governs the IDTA: England and Wales </w:t>
      </w:r>
    </w:p>
    <w:p w14:paraId="07EA564F" w14:textId="77777777" w:rsidR="00AA6D76" w:rsidRPr="00E73CDB" w:rsidRDefault="00AA6D76"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 xml:space="preserve">Primary place for legal claims to be made by the Parties: England and Wales </w:t>
      </w:r>
    </w:p>
    <w:p w14:paraId="43FDCB19" w14:textId="77777777" w:rsidR="00AA6D76" w:rsidRPr="00E73CDB" w:rsidRDefault="00AA6D76"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 xml:space="preserve">The status of Exporter: In relation to the Processing of the Transferred Data: the Exporter is a Controller. </w:t>
      </w:r>
    </w:p>
    <w:p w14:paraId="7A6552F9" w14:textId="63910F72" w:rsidR="00AA6D76" w:rsidRPr="00E73CDB" w:rsidRDefault="00AA6D76"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 xml:space="preserve">The status of the Importer: In relation to the Processing of the Transferred Data: the Importer is Exporter’s Processor. </w:t>
      </w:r>
    </w:p>
    <w:p w14:paraId="1C2D12F2" w14:textId="62BF114A" w:rsidR="00AA6D76" w:rsidRPr="00E73CDB" w:rsidRDefault="00AA6D76"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 xml:space="preserve">Whether UK GDPR applies to the Importer: The UK GDPR applies to the Importer’s Processing of the Transferred Data. </w:t>
      </w:r>
    </w:p>
    <w:p w14:paraId="083C8464" w14:textId="3553DE98" w:rsidR="00AA6D76" w:rsidRPr="00E73CDB" w:rsidRDefault="00AA6D76"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 xml:space="preserve">Linked Agreement: The agreements between the Parties which set out additional obligations in relation to the Transferred Data: this DPA. </w:t>
      </w:r>
    </w:p>
    <w:p w14:paraId="14AFA5D4" w14:textId="77777777" w:rsidR="00AA6D76" w:rsidRPr="00E73CDB" w:rsidRDefault="00AA6D76"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 xml:space="preserve">Term: The Importer may Process the Transferred Data for the following time period: the period for which the Linked Agreement is in force. </w:t>
      </w:r>
    </w:p>
    <w:p w14:paraId="31798404" w14:textId="6B9BFAC5" w:rsidR="00AA6D76" w:rsidRPr="00E73CDB" w:rsidRDefault="00AA6D76"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 xml:space="preserve">Ending the IDTA before the end of the Term: The Parties can end the IDTA before the end of the Term by serving 30 days written notice in accordance with clause 13 of the Agreement and as set out in section 29 of the IDTA (How to end this IDTA without there being a breach). </w:t>
      </w:r>
    </w:p>
    <w:p w14:paraId="1DCA6AAB" w14:textId="77777777" w:rsidR="00AA6D76" w:rsidRPr="00E73CDB" w:rsidRDefault="00AA6D76"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Ending the IDTA when the Approved IDTA changes: Which Parties may end the IDTA as set out in Section 29.2 of the IDTA: Importer and Exporter.</w:t>
      </w:r>
    </w:p>
    <w:p w14:paraId="796AD418" w14:textId="6F151C3F" w:rsidR="00AA6D76" w:rsidRPr="00E73CDB" w:rsidRDefault="00AA6D76"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 xml:space="preserve">Can the Importer make further transfers of the Transferred Data: the Importer MAY transfer on the Transferred Data to another organisation or personnel (who is a different legal entity) in accordance with section 16.1 of the IDTA (Transferring on the Transferred Data). </w:t>
      </w:r>
    </w:p>
    <w:p w14:paraId="1257A2D8" w14:textId="3F9FF924" w:rsidR="00AA6D76" w:rsidRPr="00E73CDB" w:rsidRDefault="00AA6D76"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 xml:space="preserve">Specific restrictions when the Importer may transfer on the Transferred Data: The Importer MAY ONLY forward the Transferred Data in accordance with section 16.1 of the IDTA: to the authorised receivers set out in </w:t>
        <w:fldChar w:fldCharType="begin"/>
        <w:instrText xml:space="preserve"> REF _Ref185276088 \r \h </w:instrText>
        <w:instrText xml:space="preserve"> \* MERGEFORMAT </w:instrText>
        <w:fldChar w:fldCharType="separate"/>
        <w:t>Part 5</w:t>
        <w:fldChar w:fldCharType="end"/>
        <w:t xml:space="preserve"> of </w:t>
        <w:fldChar w:fldCharType="begin"/>
        <w:instrText xml:space="preserve"> REF _Ref185254848 \r \h  \* MERGEFORMAT </w:instrText>
        <w:fldChar w:fldCharType="separate"/>
        <w:t>ANNEX A</w:t>
        <w:fldChar w:fldCharType="end"/>
        <w:t xml:space="preserve"> to this DPA of the Linked Agreement. </w:t>
      </w:r>
    </w:p>
    <w:p w14:paraId="470EF157" w14:textId="1A81C9DC" w:rsidR="00AA6D76" w:rsidRPr="00E73CDB" w:rsidRDefault="00AA6D76"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 xml:space="preserve">Review Dates: The Parties must review the Security Requirements at least once each time there is a change to the Transferred Data, Purposes, Importer Information, TRA or risk assessment.</w:t>
      </w:r>
    </w:p>
    <w:p w14:paraId="234D6B47" w14:textId="77777777" w:rsidR="00AA6D76" w:rsidRPr="00E73CDB" w:rsidRDefault="00AA6D76" w:rsidP="00A3506D">
      <w:pPr>
        <w:pStyle w:val="Untitledsubclause1"/>
        <w:numPr>
          <w:ilvl w:val="1"/>
          <w:numId w:val="37"/>
        </w:numPr>
        <w:spacing w:after="0" w:line="240" w:lineRule="auto"/>
        <w:rPr>
          <w:rFonts w:ascii="Aptos" w:eastAsia="Times New Roman" w:hAnsi="Aptos"/>
          <w:sz w:val="18"/>
          <w:szCs w:val="18"/>
        </w:rPr>
      </w:pPr>
      <w:r>
        <w:rPr>
          <w:rFonts w:ascii="Aptos" w:hAnsi="Aptos"/>
          <w:sz w:val="18"/>
          <w:szCs w:val="18"/>
          <w:lang w:val="en-US"/>
        </w:rPr>
        <w:t>Table</w:t>
      </w:r>
      <w:r>
        <w:rPr>
          <w:rFonts w:ascii="Aptos" w:eastAsia="Times New Roman" w:hAnsi="Aptos"/>
          <w:sz w:val="18"/>
          <w:szCs w:val="18"/>
        </w:rPr>
        <w:t xml:space="preserve"> 3: Transferred Data </w:t>
      </w:r>
    </w:p>
    <w:p w14:paraId="6C194002" w14:textId="7A4C28DF" w:rsidR="00AA6D76" w:rsidRPr="00E73CDB" w:rsidRDefault="00AA6D76"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 xml:space="preserve">The personal data to be sent to the Importer under this IDTA consists of: The Categories of Transferred Data will update automatically if the information is updated in the Linked Agreement referred to, as set out in </w:t>
        <w:fldChar w:fldCharType="begin"/>
        <w:instrText xml:space="preserve"> REF _Ref185254848 \r \h  \* MERGEFORMAT </w:instrText>
        <w:fldChar w:fldCharType="separate"/>
        <w:t>ANNEX A</w:t>
        <w:fldChar w:fldCharType="end"/>
        <w:t xml:space="preserve"> to this DPA in the Linked Agreement. </w:t>
      </w:r>
    </w:p>
    <w:p w14:paraId="1FB975EE" w14:textId="3EE14458" w:rsidR="00AA6D76" w:rsidRPr="00E73CDB" w:rsidRDefault="00AA6D76"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 xml:space="preserve">Special Categories of Personal Data and criminal convictions and offences: The Transferred Data includes data as set out in </w:t>
        <w:fldChar w:fldCharType="begin"/>
        <w:instrText xml:space="preserve"> REF _Ref185254848 \r \h  \* MERGEFORMAT </w:instrText>
        <w:fldChar w:fldCharType="separate"/>
        <w:t>ANNEX A</w:t>
        <w:fldChar w:fldCharType="end"/>
        <w:t xml:space="preserve"> to this DPA in the Linked Agreement and the categories of special category data will update automatically if the information is updated in the Linked Agreement referred to. </w:t>
      </w:r>
    </w:p>
    <w:p w14:paraId="4364B158" w14:textId="784AF5F8" w:rsidR="001B1624" w:rsidRPr="00E73CDB" w:rsidRDefault="00AA6D76"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 xml:space="preserve">Relevant Data Subjects: The Data Subjects of the Transferred Data are: The Categories of Data Subjects will update automatically if the information is updated in the Linked Agreement referred to as set out in </w:t>
        <w:fldChar w:fldCharType="begin"/>
        <w:instrText xml:space="preserve"> REF _Ref185254848 \r \h  \* MERGEFORMAT </w:instrText>
        <w:fldChar w:fldCharType="separate"/>
        <w:t>ANNEX A</w:t>
        <w:fldChar w:fldCharType="end"/>
        <w:t xml:space="preserve"> to this DPA in the Linked Agreement. </w:t>
      </w:r>
    </w:p>
    <w:p w14:paraId="48B0ED4F" w14:textId="0348D45C" w:rsidR="00AA6D76" w:rsidRPr="00E73CDB" w:rsidRDefault="00AA6D76"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 xml:space="preserve">Purpose: The Importer may Process the Transferred Data for the purposes set out in set out in </w:t>
        <w:fldChar w:fldCharType="begin"/>
        <w:instrText xml:space="preserve"> REF _Ref185254848 \r \h  \* MERGEFORMAT </w:instrText>
        <w:fldChar w:fldCharType="separate"/>
        <w:t>ANNEX A</w:t>
        <w:fldChar w:fldCharType="end"/>
        <w:t xml:space="preserve"> to this DPA in the Linked Agreement and the purposes will update automatically if the information is updated in the Linked Agreement referred to. </w:t>
      </w:r>
    </w:p>
    <w:p w14:paraId="468CBE00" w14:textId="77777777" w:rsidR="00AA6D76" w:rsidRPr="00E73CDB" w:rsidRDefault="00AA6D76" w:rsidP="00A3506D">
      <w:pPr>
        <w:pStyle w:val="Untitledsubclause1"/>
        <w:numPr>
          <w:ilvl w:val="1"/>
          <w:numId w:val="37"/>
        </w:numPr>
        <w:spacing w:after="0" w:line="240" w:lineRule="auto"/>
        <w:rPr>
          <w:rFonts w:ascii="Aptos" w:eastAsia="Times New Roman" w:hAnsi="Aptos"/>
          <w:sz w:val="18"/>
          <w:szCs w:val="18"/>
        </w:rPr>
      </w:pPr>
      <w:r>
        <w:rPr>
          <w:rFonts w:ascii="Aptos" w:hAnsi="Aptos"/>
          <w:sz w:val="18"/>
          <w:szCs w:val="18"/>
          <w:lang w:val="en-US"/>
        </w:rPr>
        <w:t>Table</w:t>
      </w:r>
      <w:r>
        <w:rPr>
          <w:rFonts w:ascii="Aptos" w:eastAsia="Times New Roman" w:hAnsi="Aptos"/>
          <w:sz w:val="18"/>
          <w:szCs w:val="18"/>
        </w:rPr>
        <w:t xml:space="preserve"> 4: Security Requirements</w:t>
      </w:r>
    </w:p>
    <w:p w14:paraId="78B25B1B" w14:textId="67E5BDD9" w:rsidR="00AA6D76" w:rsidRPr="00E73CDB" w:rsidRDefault="00AA6D76" w:rsidP="00A3506D">
      <w:pPr>
        <w:pStyle w:val="Untitledsubclause2"/>
        <w:numPr>
          <w:ilvl w:val="2"/>
          <w:numId w:val="37"/>
        </w:numPr>
        <w:spacing w:after="0" w:line="240" w:lineRule="auto"/>
        <w:rPr>
          <w:rFonts w:ascii="Aptos" w:hAnsi="Aptos"/>
          <w:sz w:val="18"/>
          <w:szCs w:val="18"/>
          <w:lang w:val="en-US"/>
        </w:rPr>
      </w:pPr>
      <w:r>
        <w:rPr>
          <w:rFonts w:ascii="Aptos" w:hAnsi="Aptos"/>
          <w:sz w:val="18"/>
          <w:szCs w:val="18"/>
          <w:lang w:val="en-US"/>
        </w:rPr>
        <w:t xml:space="preserve">The Security Requirements will update automatically if the information is updated in the Linked Agreement referred to as set out paragraph </w:t>
        <w:fldChar w:fldCharType="begin"/>
        <w:instrText xml:space="preserve"> REF a798515 \r \h  \* MERGEFORMAT </w:instrText>
        <w:fldChar w:fldCharType="separate"/>
        <w:t>5.2(b)</w:t>
        <w:fldChar w:fldCharType="end"/>
        <w:t xml:space="preserve"> to this DPA.</w:t>
      </w:r>
    </w:p>
    <w:sectPr w:rsidR="00AA6D76" w:rsidRPr="00E73CDB" w:rsidSect="006D0D62">
      <w:pgSz w:w="11906" w:h="16838"/>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602503" w14:textId="77777777" w:rsidR="00DC5B8E" w:rsidRDefault="00DC5B8E">
      <w:pPr>
        <w:spacing w:after="0" w:line="240" w:lineRule="auto"/>
      </w:pPr>
      <w:r>
        <w:separator/>
      </w:r>
    </w:p>
  </w:endnote>
  <w:endnote w:type="continuationSeparator" w:id="0">
    <w:p w14:paraId="07AB6133" w14:textId="77777777" w:rsidR="00DC5B8E" w:rsidRDefault="00DC5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Klarheit Kurrent Book">
    <w:altName w:val="Cambria Math"/>
    <w:charset w:val="4D"/>
    <w:family w:val="auto"/>
    <w:pitch w:val="variable"/>
    <w:sig w:usb0="20000007" w:usb1="02000000" w:usb2="00000000" w:usb3="00000000" w:csb0="00000193" w:csb1="00000000"/>
  </w:font>
  <w:font w:name="Red Hat Text">
    <w:altName w:val="Calibri"/>
    <w:charset w:val="4D"/>
    <w:family w:val="auto"/>
    <w:pitch w:val="variable"/>
    <w:sig w:usb0="00000007" w:usb1="00000001" w:usb2="00000000" w:usb3="00000000" w:csb0="00000093"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B4D8EE" w14:textId="77777777" w:rsidR="0019328B" w:rsidRDefault="001932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493047" w14:textId="77777777" w:rsidR="004407B1" w:rsidRDefault="009B79EC">
    <w:pPr>
      <w:jc w:val="center"/>
    </w:pPr>
    <w:r>
      <w:fldChar w:fldCharType="begin"/>
    </w:r>
    <w:r>
      <w:instrText>PAGE</w:instrText>
    </w:r>
    <w:r>
      <w:fldChar w:fldCharType="separate"/>
    </w:r>
    <w:r>
      <w:t>10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75C512" w14:textId="77777777" w:rsidR="0019328B" w:rsidRDefault="001932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F3203D" w14:textId="77777777" w:rsidR="00DC5B8E" w:rsidRDefault="00DC5B8E">
      <w:pPr>
        <w:spacing w:after="0" w:line="240" w:lineRule="auto"/>
      </w:pPr>
      <w:r>
        <w:separator/>
      </w:r>
    </w:p>
  </w:footnote>
  <w:footnote w:type="continuationSeparator" w:id="0">
    <w:p w14:paraId="4CACE9E8" w14:textId="77777777" w:rsidR="00DC5B8E" w:rsidRDefault="00DC5B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AEDE7" w14:textId="77777777" w:rsidR="0019328B" w:rsidRDefault="001932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AE6A6" w14:textId="5A97DBC9" w:rsidR="00A038EE" w:rsidRDefault="001B4134" w:rsidP="001B4134">
    <w:pPr>
      <w:pStyle w:val="Header"/>
      <w:tabs>
        <w:tab w:val="clear" w:pos="4513"/>
        <w:tab w:val="clear" w:pos="9026"/>
        <w:tab w:val="left" w:pos="4605"/>
      </w:tabs>
      <w:jc w:val="center"/>
    </w:pPr>
    <w:r>
      <w:rPr>
        <w:noProof/>
      </w:rPr>
      <w:drawing>
        <wp:inline distT="0" distB="0" distL="0" distR="0" wp14:anchorId="32DC1BC2" wp14:editId="50BF6BD0">
          <wp:extent cx="1203226" cy="551154"/>
          <wp:effectExtent l="0" t="0" r="0" b="1905"/>
          <wp:docPr id="326828602" name="Picture 2" descr="Meet Sidney: Satorus Group's Launch Event, Sverige Wednesday, July 1 | S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eet Sidney: Satorus Group's Launch Event, Sverige Wednesday, July 1 | Somo"/>
                  <pic:cNvPicPr>
                    <a:picLocks noChangeAspect="1" noChangeArrowheads="1"/>
                  </pic:cNvPicPr>
                </pic:nvPicPr>
                <pic:blipFill rotWithShape="1">
                  <a:blip r:embed="rId1">
                    <a:extLst>
                      <a:ext uri="{28A0092B-C50C-407E-A947-70E740481C1C}">
                        <a14:useLocalDpi xmlns:a14="http://schemas.microsoft.com/office/drawing/2010/main" val="0"/>
                      </a:ext>
                    </a:extLst>
                  </a:blip>
                  <a:srcRect t="26809" b="27385"/>
                  <a:stretch>
                    <a:fillRect/>
                  </a:stretch>
                </pic:blipFill>
                <pic:spPr bwMode="auto">
                  <a:xfrm>
                    <a:off x="0" y="0"/>
                    <a:ext cx="1243630" cy="569661"/>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4F07E4" w14:textId="77777777" w:rsidR="0019328B" w:rsidRDefault="001932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14D04"/>
    <w:multiLevelType w:val="multilevel"/>
    <w:tmpl w:val="23A6F0A0"/>
    <w:lvl w:ilvl="0">
      <w:start w:val="1"/>
      <w:numFmt w:val="decimal"/>
      <w:pStyle w:val="TitleClause"/>
      <w:lvlText w:val="%1."/>
      <w:lvlJc w:val="left"/>
      <w:pPr>
        <w:tabs>
          <w:tab w:val="num" w:pos="720"/>
        </w:tabs>
        <w:ind w:left="720" w:hanging="720"/>
      </w:pPr>
      <w:rPr>
        <w:rFonts w:hint="default"/>
        <w:color w:val="009999"/>
      </w:rPr>
    </w:lvl>
    <w:lvl w:ilvl="1">
      <w:start w:val="1"/>
      <w:numFmt w:val="decimal"/>
      <w:pStyle w:val="Untitledsubclause1"/>
      <w:lvlText w:val="%1.%2"/>
      <w:lvlJc w:val="left"/>
      <w:pPr>
        <w:tabs>
          <w:tab w:val="num" w:pos="720"/>
        </w:tabs>
        <w:ind w:left="720" w:hanging="720"/>
      </w:pPr>
      <w:rPr>
        <w:rFonts w:hint="default"/>
        <w:color w:val="009999"/>
      </w:rPr>
    </w:lvl>
    <w:lvl w:ilvl="2">
      <w:start w:val="1"/>
      <w:numFmt w:val="lowerLetter"/>
      <w:pStyle w:val="Untitledsubclause2"/>
      <w:lvlText w:val="(%3)"/>
      <w:lvlJc w:val="left"/>
      <w:pPr>
        <w:tabs>
          <w:tab w:val="num" w:pos="1555"/>
        </w:tabs>
        <w:ind w:left="1555" w:hanging="561"/>
      </w:pPr>
      <w:rPr>
        <w:rFonts w:hint="default"/>
        <w:b w:val="0"/>
        <w:bCs/>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7253412"/>
    <w:multiLevelType w:val="hybridMultilevel"/>
    <w:tmpl w:val="960CC850"/>
    <w:lvl w:ilvl="0" w:tplc="080E5790">
      <w:start w:val="1"/>
      <w:numFmt w:val="bullet"/>
      <w:pStyle w:val="DefinedTermBullet"/>
      <w:lvlText w:val=""/>
      <w:lvlJc w:val="left"/>
      <w:pPr>
        <w:ind w:left="1440" w:hanging="360"/>
      </w:pPr>
      <w:rPr>
        <w:rFonts w:ascii="Symbol" w:hAnsi="Symbol" w:hint="default"/>
        <w:color w:val="000000"/>
      </w:rPr>
    </w:lvl>
    <w:lvl w:ilvl="1" w:tplc="C3FE5D7A" w:tentative="1">
      <w:start w:val="1"/>
      <w:numFmt w:val="bullet"/>
      <w:lvlText w:val="o"/>
      <w:lvlJc w:val="left"/>
      <w:pPr>
        <w:ind w:left="2160" w:hanging="360"/>
      </w:pPr>
      <w:rPr>
        <w:rFonts w:ascii="Courier New" w:hAnsi="Courier New" w:cs="Courier New" w:hint="default"/>
      </w:rPr>
    </w:lvl>
    <w:lvl w:ilvl="2" w:tplc="A8F67B84" w:tentative="1">
      <w:start w:val="1"/>
      <w:numFmt w:val="bullet"/>
      <w:lvlText w:val=""/>
      <w:lvlJc w:val="left"/>
      <w:pPr>
        <w:ind w:left="2880" w:hanging="360"/>
      </w:pPr>
      <w:rPr>
        <w:rFonts w:ascii="Wingdings" w:hAnsi="Wingdings" w:hint="default"/>
      </w:rPr>
    </w:lvl>
    <w:lvl w:ilvl="3" w:tplc="0554CCD8" w:tentative="1">
      <w:start w:val="1"/>
      <w:numFmt w:val="bullet"/>
      <w:lvlText w:val=""/>
      <w:lvlJc w:val="left"/>
      <w:pPr>
        <w:ind w:left="3600" w:hanging="360"/>
      </w:pPr>
      <w:rPr>
        <w:rFonts w:ascii="Symbol" w:hAnsi="Symbol" w:hint="default"/>
      </w:rPr>
    </w:lvl>
    <w:lvl w:ilvl="4" w:tplc="FF889FC2" w:tentative="1">
      <w:start w:val="1"/>
      <w:numFmt w:val="bullet"/>
      <w:lvlText w:val="o"/>
      <w:lvlJc w:val="left"/>
      <w:pPr>
        <w:ind w:left="4320" w:hanging="360"/>
      </w:pPr>
      <w:rPr>
        <w:rFonts w:ascii="Courier New" w:hAnsi="Courier New" w:cs="Courier New" w:hint="default"/>
      </w:rPr>
    </w:lvl>
    <w:lvl w:ilvl="5" w:tplc="5B646186" w:tentative="1">
      <w:start w:val="1"/>
      <w:numFmt w:val="bullet"/>
      <w:lvlText w:val=""/>
      <w:lvlJc w:val="left"/>
      <w:pPr>
        <w:ind w:left="5040" w:hanging="360"/>
      </w:pPr>
      <w:rPr>
        <w:rFonts w:ascii="Wingdings" w:hAnsi="Wingdings" w:hint="default"/>
      </w:rPr>
    </w:lvl>
    <w:lvl w:ilvl="6" w:tplc="DDE88950" w:tentative="1">
      <w:start w:val="1"/>
      <w:numFmt w:val="bullet"/>
      <w:lvlText w:val=""/>
      <w:lvlJc w:val="left"/>
      <w:pPr>
        <w:ind w:left="5760" w:hanging="360"/>
      </w:pPr>
      <w:rPr>
        <w:rFonts w:ascii="Symbol" w:hAnsi="Symbol" w:hint="default"/>
      </w:rPr>
    </w:lvl>
    <w:lvl w:ilvl="7" w:tplc="64E40DC2" w:tentative="1">
      <w:start w:val="1"/>
      <w:numFmt w:val="bullet"/>
      <w:lvlText w:val="o"/>
      <w:lvlJc w:val="left"/>
      <w:pPr>
        <w:ind w:left="6480" w:hanging="360"/>
      </w:pPr>
      <w:rPr>
        <w:rFonts w:ascii="Courier New" w:hAnsi="Courier New" w:cs="Courier New" w:hint="default"/>
      </w:rPr>
    </w:lvl>
    <w:lvl w:ilvl="8" w:tplc="232A583C" w:tentative="1">
      <w:start w:val="1"/>
      <w:numFmt w:val="bullet"/>
      <w:lvlText w:val=""/>
      <w:lvlJc w:val="left"/>
      <w:pPr>
        <w:ind w:left="7200" w:hanging="360"/>
      </w:pPr>
      <w:rPr>
        <w:rFonts w:ascii="Wingdings" w:hAnsi="Wingdings" w:hint="default"/>
      </w:rPr>
    </w:lvl>
  </w:abstractNum>
  <w:abstractNum w:abstractNumId="2" w15:restartNumberingAfterBreak="0">
    <w:nsid w:val="20E82F3A"/>
    <w:multiLevelType w:val="hybridMultilevel"/>
    <w:tmpl w:val="1DF80854"/>
    <w:lvl w:ilvl="0" w:tplc="0B447B20">
      <w:start w:val="1"/>
      <w:numFmt w:val="decimal"/>
      <w:pStyle w:val="ScheduleHeading-Single"/>
      <w:lvlText w:val="Schedule"/>
      <w:lvlJc w:val="left"/>
      <w:pPr>
        <w:tabs>
          <w:tab w:val="num" w:pos="720"/>
        </w:tabs>
        <w:ind w:left="720" w:hanging="720"/>
      </w:pPr>
      <w:rPr>
        <w:color w:val="000000"/>
      </w:rPr>
    </w:lvl>
    <w:lvl w:ilvl="1" w:tplc="0B46F290" w:tentative="1">
      <w:start w:val="1"/>
      <w:numFmt w:val="lowerLetter"/>
      <w:lvlText w:val="%2."/>
      <w:lvlJc w:val="left"/>
      <w:pPr>
        <w:tabs>
          <w:tab w:val="num" w:pos="1440"/>
        </w:tabs>
        <w:ind w:left="1440" w:hanging="360"/>
      </w:pPr>
    </w:lvl>
    <w:lvl w:ilvl="2" w:tplc="02061834" w:tentative="1">
      <w:start w:val="1"/>
      <w:numFmt w:val="lowerRoman"/>
      <w:lvlText w:val="%3."/>
      <w:lvlJc w:val="right"/>
      <w:pPr>
        <w:tabs>
          <w:tab w:val="num" w:pos="2160"/>
        </w:tabs>
        <w:ind w:left="2160" w:hanging="180"/>
      </w:pPr>
    </w:lvl>
    <w:lvl w:ilvl="3" w:tplc="03346450" w:tentative="1">
      <w:start w:val="1"/>
      <w:numFmt w:val="decimal"/>
      <w:lvlText w:val="%4."/>
      <w:lvlJc w:val="left"/>
      <w:pPr>
        <w:tabs>
          <w:tab w:val="num" w:pos="2880"/>
        </w:tabs>
        <w:ind w:left="2880" w:hanging="360"/>
      </w:pPr>
    </w:lvl>
    <w:lvl w:ilvl="4" w:tplc="EDAEB84C" w:tentative="1">
      <w:start w:val="1"/>
      <w:numFmt w:val="lowerLetter"/>
      <w:lvlText w:val="%5."/>
      <w:lvlJc w:val="left"/>
      <w:pPr>
        <w:tabs>
          <w:tab w:val="num" w:pos="3600"/>
        </w:tabs>
        <w:ind w:left="3600" w:hanging="360"/>
      </w:pPr>
    </w:lvl>
    <w:lvl w:ilvl="5" w:tplc="F0520330" w:tentative="1">
      <w:start w:val="1"/>
      <w:numFmt w:val="lowerRoman"/>
      <w:lvlText w:val="%6."/>
      <w:lvlJc w:val="right"/>
      <w:pPr>
        <w:tabs>
          <w:tab w:val="num" w:pos="4320"/>
        </w:tabs>
        <w:ind w:left="4320" w:hanging="180"/>
      </w:pPr>
    </w:lvl>
    <w:lvl w:ilvl="6" w:tplc="B8C26310" w:tentative="1">
      <w:start w:val="1"/>
      <w:numFmt w:val="decimal"/>
      <w:lvlText w:val="%7."/>
      <w:lvlJc w:val="left"/>
      <w:pPr>
        <w:tabs>
          <w:tab w:val="num" w:pos="5040"/>
        </w:tabs>
        <w:ind w:left="5040" w:hanging="360"/>
      </w:pPr>
    </w:lvl>
    <w:lvl w:ilvl="7" w:tplc="DFA2E67C" w:tentative="1">
      <w:start w:val="1"/>
      <w:numFmt w:val="lowerLetter"/>
      <w:lvlText w:val="%8."/>
      <w:lvlJc w:val="left"/>
      <w:pPr>
        <w:tabs>
          <w:tab w:val="num" w:pos="5760"/>
        </w:tabs>
        <w:ind w:left="5760" w:hanging="360"/>
      </w:pPr>
    </w:lvl>
    <w:lvl w:ilvl="8" w:tplc="D848EE72" w:tentative="1">
      <w:start w:val="1"/>
      <w:numFmt w:val="lowerRoman"/>
      <w:lvlText w:val="%9."/>
      <w:lvlJc w:val="right"/>
      <w:pPr>
        <w:tabs>
          <w:tab w:val="num" w:pos="6480"/>
        </w:tabs>
        <w:ind w:left="6480" w:hanging="180"/>
      </w:pPr>
    </w:lvl>
  </w:abstractNum>
  <w:abstractNum w:abstractNumId="3" w15:restartNumberingAfterBreak="0">
    <w:nsid w:val="25B00E4C"/>
    <w:multiLevelType w:val="hybridMultilevel"/>
    <w:tmpl w:val="77AA49A6"/>
    <w:lvl w:ilvl="0" w:tplc="C66A7B26">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9999"/>
        <w:spacing w:val="0"/>
        <w:kern w:val="0"/>
        <w:position w:val="0"/>
        <w:u w:val="none"/>
        <w:effect w:val="none"/>
        <w:vertAlign w:val="baseline"/>
        <w14:ligatures w14:val="none"/>
        <w14:numForm w14:val="default"/>
        <w14:numSpacing w14:val="default"/>
        <w14:stylisticSets/>
        <w14:cntxtAlts w14:val="0"/>
      </w:rPr>
    </w:lvl>
    <w:lvl w:ilvl="1" w:tplc="23E6AA5C" w:tentative="1">
      <w:start w:val="1"/>
      <w:numFmt w:val="lowerLetter"/>
      <w:lvlText w:val="%2."/>
      <w:lvlJc w:val="left"/>
      <w:pPr>
        <w:ind w:left="1440" w:hanging="360"/>
      </w:pPr>
    </w:lvl>
    <w:lvl w:ilvl="2" w:tplc="2EFCC836" w:tentative="1">
      <w:start w:val="1"/>
      <w:numFmt w:val="lowerRoman"/>
      <w:lvlText w:val="%3."/>
      <w:lvlJc w:val="right"/>
      <w:pPr>
        <w:ind w:left="2160" w:hanging="180"/>
      </w:pPr>
    </w:lvl>
    <w:lvl w:ilvl="3" w:tplc="56C09222" w:tentative="1">
      <w:start w:val="1"/>
      <w:numFmt w:val="decimal"/>
      <w:lvlText w:val="%4."/>
      <w:lvlJc w:val="left"/>
      <w:pPr>
        <w:ind w:left="2880" w:hanging="360"/>
      </w:pPr>
    </w:lvl>
    <w:lvl w:ilvl="4" w:tplc="898E7D14" w:tentative="1">
      <w:start w:val="1"/>
      <w:numFmt w:val="lowerLetter"/>
      <w:lvlText w:val="%5."/>
      <w:lvlJc w:val="left"/>
      <w:pPr>
        <w:ind w:left="3600" w:hanging="360"/>
      </w:pPr>
    </w:lvl>
    <w:lvl w:ilvl="5" w:tplc="EE6E990A" w:tentative="1">
      <w:start w:val="1"/>
      <w:numFmt w:val="lowerRoman"/>
      <w:lvlText w:val="%6."/>
      <w:lvlJc w:val="right"/>
      <w:pPr>
        <w:ind w:left="4320" w:hanging="180"/>
      </w:pPr>
    </w:lvl>
    <w:lvl w:ilvl="6" w:tplc="B9B017AC" w:tentative="1">
      <w:start w:val="1"/>
      <w:numFmt w:val="decimal"/>
      <w:lvlText w:val="%7."/>
      <w:lvlJc w:val="left"/>
      <w:pPr>
        <w:ind w:left="5040" w:hanging="360"/>
      </w:pPr>
    </w:lvl>
    <w:lvl w:ilvl="7" w:tplc="6EDC916E" w:tentative="1">
      <w:start w:val="1"/>
      <w:numFmt w:val="lowerLetter"/>
      <w:lvlText w:val="%8."/>
      <w:lvlJc w:val="left"/>
      <w:pPr>
        <w:ind w:left="5760" w:hanging="360"/>
      </w:pPr>
    </w:lvl>
    <w:lvl w:ilvl="8" w:tplc="B82CFDE8" w:tentative="1">
      <w:start w:val="1"/>
      <w:numFmt w:val="lowerRoman"/>
      <w:lvlText w:val="%9."/>
      <w:lvlJc w:val="right"/>
      <w:pPr>
        <w:ind w:left="6480" w:hanging="180"/>
      </w:pPr>
    </w:lvl>
  </w:abstractNum>
  <w:abstractNum w:abstractNumId="4" w15:restartNumberingAfterBreak="0">
    <w:nsid w:val="29C94F29"/>
    <w:multiLevelType w:val="hybridMultilevel"/>
    <w:tmpl w:val="4CBC2A34"/>
    <w:lvl w:ilvl="0" w:tplc="D73CB1F6">
      <w:start w:val="1"/>
      <w:numFmt w:val="decimal"/>
      <w:pStyle w:val="QuestionParagraph"/>
      <w:lvlText w:val="%1."/>
      <w:lvlJc w:val="left"/>
      <w:pPr>
        <w:ind w:left="720" w:hanging="360"/>
      </w:pPr>
      <w:rPr>
        <w:color w:val="000000"/>
      </w:rPr>
    </w:lvl>
    <w:lvl w:ilvl="1" w:tplc="CCA4408A" w:tentative="1">
      <w:start w:val="1"/>
      <w:numFmt w:val="lowerLetter"/>
      <w:lvlText w:val="%2."/>
      <w:lvlJc w:val="left"/>
      <w:pPr>
        <w:ind w:left="1440" w:hanging="360"/>
      </w:pPr>
    </w:lvl>
    <w:lvl w:ilvl="2" w:tplc="6C2C4700" w:tentative="1">
      <w:start w:val="1"/>
      <w:numFmt w:val="lowerRoman"/>
      <w:lvlText w:val="%3."/>
      <w:lvlJc w:val="right"/>
      <w:pPr>
        <w:ind w:left="2160" w:hanging="180"/>
      </w:pPr>
    </w:lvl>
    <w:lvl w:ilvl="3" w:tplc="299494F2" w:tentative="1">
      <w:start w:val="1"/>
      <w:numFmt w:val="decimal"/>
      <w:lvlText w:val="%4."/>
      <w:lvlJc w:val="left"/>
      <w:pPr>
        <w:ind w:left="2880" w:hanging="360"/>
      </w:pPr>
    </w:lvl>
    <w:lvl w:ilvl="4" w:tplc="B298EA48" w:tentative="1">
      <w:start w:val="1"/>
      <w:numFmt w:val="lowerLetter"/>
      <w:lvlText w:val="%5."/>
      <w:lvlJc w:val="left"/>
      <w:pPr>
        <w:ind w:left="3600" w:hanging="360"/>
      </w:pPr>
    </w:lvl>
    <w:lvl w:ilvl="5" w:tplc="798096F0" w:tentative="1">
      <w:start w:val="1"/>
      <w:numFmt w:val="lowerRoman"/>
      <w:lvlText w:val="%6."/>
      <w:lvlJc w:val="right"/>
      <w:pPr>
        <w:ind w:left="4320" w:hanging="180"/>
      </w:pPr>
    </w:lvl>
    <w:lvl w:ilvl="6" w:tplc="EDC8AD9E" w:tentative="1">
      <w:start w:val="1"/>
      <w:numFmt w:val="decimal"/>
      <w:lvlText w:val="%7."/>
      <w:lvlJc w:val="left"/>
      <w:pPr>
        <w:ind w:left="5040" w:hanging="360"/>
      </w:pPr>
    </w:lvl>
    <w:lvl w:ilvl="7" w:tplc="093ECE0C" w:tentative="1">
      <w:start w:val="1"/>
      <w:numFmt w:val="lowerLetter"/>
      <w:lvlText w:val="%8."/>
      <w:lvlJc w:val="left"/>
      <w:pPr>
        <w:ind w:left="5760" w:hanging="360"/>
      </w:pPr>
    </w:lvl>
    <w:lvl w:ilvl="8" w:tplc="36280CB8" w:tentative="1">
      <w:start w:val="1"/>
      <w:numFmt w:val="lowerRoman"/>
      <w:lvlText w:val="%9."/>
      <w:lvlJc w:val="right"/>
      <w:pPr>
        <w:ind w:left="6480" w:hanging="180"/>
      </w:pPr>
    </w:lvl>
  </w:abstractNum>
  <w:abstractNum w:abstractNumId="5" w15:restartNumberingAfterBreak="0">
    <w:nsid w:val="2F504FC6"/>
    <w:multiLevelType w:val="multilevel"/>
    <w:tmpl w:val="33A0FCD4"/>
    <w:lvl w:ilvl="0">
      <w:start w:val="1"/>
      <w:numFmt w:val="decimal"/>
      <w:lvlText w:val="%1."/>
      <w:lvlJc w:val="left"/>
      <w:pPr>
        <w:tabs>
          <w:tab w:val="num" w:pos="720"/>
        </w:tabs>
        <w:ind w:left="720" w:hanging="720"/>
      </w:pPr>
      <w:rPr>
        <w:rFonts w:hint="default"/>
        <w:color w:val="000000"/>
      </w:rPr>
    </w:lvl>
    <w:lvl w:ilvl="1">
      <w:start w:val="1"/>
      <w:numFmt w:val="bullet"/>
      <w:lvlText w:val=""/>
      <w:lvlJc w:val="left"/>
      <w:pPr>
        <w:ind w:left="1077" w:hanging="360"/>
      </w:pPr>
      <w:rPr>
        <w:rFonts w:ascii="Symbol" w:hAnsi="Symbol" w:hint="default"/>
      </w:rPr>
    </w:lvl>
    <w:lvl w:ilvl="2">
      <w:start w:val="1"/>
      <w:numFmt w:val="lowerLetter"/>
      <w:lvlText w:val="(%3)"/>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6" w15:restartNumberingAfterBreak="0">
    <w:nsid w:val="310416CA"/>
    <w:multiLevelType w:val="hybridMultilevel"/>
    <w:tmpl w:val="072EDEC8"/>
    <w:lvl w:ilvl="0" w:tplc="E3E6823E">
      <w:start w:val="1"/>
      <w:numFmt w:val="bullet"/>
      <w:pStyle w:val="subclause2Bullet2"/>
      <w:lvlText w:val=""/>
      <w:lvlJc w:val="left"/>
      <w:pPr>
        <w:ind w:left="2279" w:hanging="360"/>
      </w:pPr>
      <w:rPr>
        <w:rFonts w:ascii="Symbol" w:hAnsi="Symbol" w:hint="default"/>
        <w:color w:val="000000"/>
      </w:rPr>
    </w:lvl>
    <w:lvl w:ilvl="1" w:tplc="04EEA0CA" w:tentative="1">
      <w:start w:val="1"/>
      <w:numFmt w:val="bullet"/>
      <w:lvlText w:val="o"/>
      <w:lvlJc w:val="left"/>
      <w:pPr>
        <w:ind w:left="2999" w:hanging="360"/>
      </w:pPr>
      <w:rPr>
        <w:rFonts w:ascii="Courier New" w:hAnsi="Courier New" w:cs="Courier New" w:hint="default"/>
      </w:rPr>
    </w:lvl>
    <w:lvl w:ilvl="2" w:tplc="F80A5D26" w:tentative="1">
      <w:start w:val="1"/>
      <w:numFmt w:val="bullet"/>
      <w:lvlText w:val=""/>
      <w:lvlJc w:val="left"/>
      <w:pPr>
        <w:ind w:left="3719" w:hanging="360"/>
      </w:pPr>
      <w:rPr>
        <w:rFonts w:ascii="Wingdings" w:hAnsi="Wingdings" w:hint="default"/>
      </w:rPr>
    </w:lvl>
    <w:lvl w:ilvl="3" w:tplc="DFB2694C" w:tentative="1">
      <w:start w:val="1"/>
      <w:numFmt w:val="bullet"/>
      <w:lvlText w:val=""/>
      <w:lvlJc w:val="left"/>
      <w:pPr>
        <w:ind w:left="4439" w:hanging="360"/>
      </w:pPr>
      <w:rPr>
        <w:rFonts w:ascii="Symbol" w:hAnsi="Symbol" w:hint="default"/>
      </w:rPr>
    </w:lvl>
    <w:lvl w:ilvl="4" w:tplc="DEC6F426" w:tentative="1">
      <w:start w:val="1"/>
      <w:numFmt w:val="bullet"/>
      <w:lvlText w:val="o"/>
      <w:lvlJc w:val="left"/>
      <w:pPr>
        <w:ind w:left="5159" w:hanging="360"/>
      </w:pPr>
      <w:rPr>
        <w:rFonts w:ascii="Courier New" w:hAnsi="Courier New" w:cs="Courier New" w:hint="default"/>
      </w:rPr>
    </w:lvl>
    <w:lvl w:ilvl="5" w:tplc="E7A43162" w:tentative="1">
      <w:start w:val="1"/>
      <w:numFmt w:val="bullet"/>
      <w:lvlText w:val=""/>
      <w:lvlJc w:val="left"/>
      <w:pPr>
        <w:ind w:left="5879" w:hanging="360"/>
      </w:pPr>
      <w:rPr>
        <w:rFonts w:ascii="Wingdings" w:hAnsi="Wingdings" w:hint="default"/>
      </w:rPr>
    </w:lvl>
    <w:lvl w:ilvl="6" w:tplc="0C86E0B8" w:tentative="1">
      <w:start w:val="1"/>
      <w:numFmt w:val="bullet"/>
      <w:lvlText w:val=""/>
      <w:lvlJc w:val="left"/>
      <w:pPr>
        <w:ind w:left="6599" w:hanging="360"/>
      </w:pPr>
      <w:rPr>
        <w:rFonts w:ascii="Symbol" w:hAnsi="Symbol" w:hint="default"/>
      </w:rPr>
    </w:lvl>
    <w:lvl w:ilvl="7" w:tplc="9F2E5850" w:tentative="1">
      <w:start w:val="1"/>
      <w:numFmt w:val="bullet"/>
      <w:lvlText w:val="o"/>
      <w:lvlJc w:val="left"/>
      <w:pPr>
        <w:ind w:left="7319" w:hanging="360"/>
      </w:pPr>
      <w:rPr>
        <w:rFonts w:ascii="Courier New" w:hAnsi="Courier New" w:cs="Courier New" w:hint="default"/>
      </w:rPr>
    </w:lvl>
    <w:lvl w:ilvl="8" w:tplc="496AC9C6" w:tentative="1">
      <w:start w:val="1"/>
      <w:numFmt w:val="bullet"/>
      <w:lvlText w:val=""/>
      <w:lvlJc w:val="left"/>
      <w:pPr>
        <w:ind w:left="8039" w:hanging="360"/>
      </w:pPr>
      <w:rPr>
        <w:rFonts w:ascii="Wingdings" w:hAnsi="Wingdings" w:hint="default"/>
      </w:rPr>
    </w:lvl>
  </w:abstractNum>
  <w:abstractNum w:abstractNumId="7" w15:restartNumberingAfterBreak="0">
    <w:nsid w:val="31E9741F"/>
    <w:multiLevelType w:val="hybridMultilevel"/>
    <w:tmpl w:val="0CAC7D4E"/>
    <w:lvl w:ilvl="0" w:tplc="E54295D4">
      <w:start w:val="1"/>
      <w:numFmt w:val="bullet"/>
      <w:pStyle w:val="BulletList2"/>
      <w:lvlText w:val=""/>
      <w:lvlJc w:val="left"/>
      <w:pPr>
        <w:tabs>
          <w:tab w:val="num" w:pos="1077"/>
        </w:tabs>
        <w:ind w:left="1077" w:hanging="357"/>
      </w:pPr>
      <w:rPr>
        <w:rFonts w:ascii="Symbol" w:hAnsi="Symbol" w:hint="default"/>
        <w:color w:val="000000"/>
      </w:rPr>
    </w:lvl>
    <w:lvl w:ilvl="1" w:tplc="8452CFA0" w:tentative="1">
      <w:start w:val="1"/>
      <w:numFmt w:val="bullet"/>
      <w:lvlText w:val="o"/>
      <w:lvlJc w:val="left"/>
      <w:pPr>
        <w:tabs>
          <w:tab w:val="num" w:pos="1440"/>
        </w:tabs>
        <w:ind w:left="1440" w:hanging="360"/>
      </w:pPr>
      <w:rPr>
        <w:rFonts w:ascii="Courier New" w:hAnsi="Courier New" w:cs="Courier New" w:hint="default"/>
      </w:rPr>
    </w:lvl>
    <w:lvl w:ilvl="2" w:tplc="ADEAA046" w:tentative="1">
      <w:start w:val="1"/>
      <w:numFmt w:val="bullet"/>
      <w:lvlText w:val=""/>
      <w:lvlJc w:val="left"/>
      <w:pPr>
        <w:tabs>
          <w:tab w:val="num" w:pos="2160"/>
        </w:tabs>
        <w:ind w:left="2160" w:hanging="360"/>
      </w:pPr>
      <w:rPr>
        <w:rFonts w:ascii="Wingdings" w:hAnsi="Wingdings" w:hint="default"/>
      </w:rPr>
    </w:lvl>
    <w:lvl w:ilvl="3" w:tplc="0A583264" w:tentative="1">
      <w:start w:val="1"/>
      <w:numFmt w:val="bullet"/>
      <w:lvlText w:val=""/>
      <w:lvlJc w:val="left"/>
      <w:pPr>
        <w:tabs>
          <w:tab w:val="num" w:pos="2880"/>
        </w:tabs>
        <w:ind w:left="2880" w:hanging="360"/>
      </w:pPr>
      <w:rPr>
        <w:rFonts w:ascii="Symbol" w:hAnsi="Symbol" w:hint="default"/>
      </w:rPr>
    </w:lvl>
    <w:lvl w:ilvl="4" w:tplc="7590A7EA" w:tentative="1">
      <w:start w:val="1"/>
      <w:numFmt w:val="bullet"/>
      <w:lvlText w:val="o"/>
      <w:lvlJc w:val="left"/>
      <w:pPr>
        <w:tabs>
          <w:tab w:val="num" w:pos="3600"/>
        </w:tabs>
        <w:ind w:left="3600" w:hanging="360"/>
      </w:pPr>
      <w:rPr>
        <w:rFonts w:ascii="Courier New" w:hAnsi="Courier New" w:cs="Courier New" w:hint="default"/>
      </w:rPr>
    </w:lvl>
    <w:lvl w:ilvl="5" w:tplc="3F3667DC" w:tentative="1">
      <w:start w:val="1"/>
      <w:numFmt w:val="bullet"/>
      <w:lvlText w:val=""/>
      <w:lvlJc w:val="left"/>
      <w:pPr>
        <w:tabs>
          <w:tab w:val="num" w:pos="4320"/>
        </w:tabs>
        <w:ind w:left="4320" w:hanging="360"/>
      </w:pPr>
      <w:rPr>
        <w:rFonts w:ascii="Wingdings" w:hAnsi="Wingdings" w:hint="default"/>
      </w:rPr>
    </w:lvl>
    <w:lvl w:ilvl="6" w:tplc="FACC1DA8" w:tentative="1">
      <w:start w:val="1"/>
      <w:numFmt w:val="bullet"/>
      <w:lvlText w:val=""/>
      <w:lvlJc w:val="left"/>
      <w:pPr>
        <w:tabs>
          <w:tab w:val="num" w:pos="5040"/>
        </w:tabs>
        <w:ind w:left="5040" w:hanging="360"/>
      </w:pPr>
      <w:rPr>
        <w:rFonts w:ascii="Symbol" w:hAnsi="Symbol" w:hint="default"/>
      </w:rPr>
    </w:lvl>
    <w:lvl w:ilvl="7" w:tplc="05085192" w:tentative="1">
      <w:start w:val="1"/>
      <w:numFmt w:val="bullet"/>
      <w:lvlText w:val="o"/>
      <w:lvlJc w:val="left"/>
      <w:pPr>
        <w:tabs>
          <w:tab w:val="num" w:pos="5760"/>
        </w:tabs>
        <w:ind w:left="5760" w:hanging="360"/>
      </w:pPr>
      <w:rPr>
        <w:rFonts w:ascii="Courier New" w:hAnsi="Courier New" w:cs="Courier New" w:hint="default"/>
      </w:rPr>
    </w:lvl>
    <w:lvl w:ilvl="8" w:tplc="9DE4BAF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3CC668D"/>
    <w:multiLevelType w:val="hybridMultilevel"/>
    <w:tmpl w:val="594C4DAE"/>
    <w:lvl w:ilvl="0" w:tplc="80EE8D74">
      <w:start w:val="1"/>
      <w:numFmt w:val="bullet"/>
      <w:pStyle w:val="Bullet4"/>
      <w:lvlText w:val=""/>
      <w:lvlJc w:val="left"/>
      <w:pPr>
        <w:tabs>
          <w:tab w:val="num" w:pos="2676"/>
        </w:tabs>
        <w:ind w:left="2676" w:hanging="357"/>
      </w:pPr>
      <w:rPr>
        <w:rFonts w:ascii="Symbol" w:hAnsi="Symbol" w:hint="default"/>
        <w:color w:val="000000"/>
      </w:rPr>
    </w:lvl>
    <w:lvl w:ilvl="1" w:tplc="17D23F8E" w:tentative="1">
      <w:start w:val="1"/>
      <w:numFmt w:val="bullet"/>
      <w:lvlText w:val="o"/>
      <w:lvlJc w:val="left"/>
      <w:pPr>
        <w:tabs>
          <w:tab w:val="num" w:pos="1440"/>
        </w:tabs>
        <w:ind w:left="1440" w:hanging="360"/>
      </w:pPr>
      <w:rPr>
        <w:rFonts w:ascii="Courier New" w:hAnsi="Courier New" w:cs="Courier New" w:hint="default"/>
      </w:rPr>
    </w:lvl>
    <w:lvl w:ilvl="2" w:tplc="90D6F436" w:tentative="1">
      <w:start w:val="1"/>
      <w:numFmt w:val="bullet"/>
      <w:lvlText w:val=""/>
      <w:lvlJc w:val="left"/>
      <w:pPr>
        <w:tabs>
          <w:tab w:val="num" w:pos="2160"/>
        </w:tabs>
        <w:ind w:left="2160" w:hanging="360"/>
      </w:pPr>
      <w:rPr>
        <w:rFonts w:ascii="Wingdings" w:hAnsi="Wingdings" w:hint="default"/>
      </w:rPr>
    </w:lvl>
    <w:lvl w:ilvl="3" w:tplc="7FB48A32" w:tentative="1">
      <w:start w:val="1"/>
      <w:numFmt w:val="bullet"/>
      <w:lvlText w:val=""/>
      <w:lvlJc w:val="left"/>
      <w:pPr>
        <w:tabs>
          <w:tab w:val="num" w:pos="2880"/>
        </w:tabs>
        <w:ind w:left="2880" w:hanging="360"/>
      </w:pPr>
      <w:rPr>
        <w:rFonts w:ascii="Symbol" w:hAnsi="Symbol" w:hint="default"/>
      </w:rPr>
    </w:lvl>
    <w:lvl w:ilvl="4" w:tplc="4904AF72" w:tentative="1">
      <w:start w:val="1"/>
      <w:numFmt w:val="bullet"/>
      <w:lvlText w:val="o"/>
      <w:lvlJc w:val="left"/>
      <w:pPr>
        <w:tabs>
          <w:tab w:val="num" w:pos="3600"/>
        </w:tabs>
        <w:ind w:left="3600" w:hanging="360"/>
      </w:pPr>
      <w:rPr>
        <w:rFonts w:ascii="Courier New" w:hAnsi="Courier New" w:cs="Courier New" w:hint="default"/>
      </w:rPr>
    </w:lvl>
    <w:lvl w:ilvl="5" w:tplc="40402EB4" w:tentative="1">
      <w:start w:val="1"/>
      <w:numFmt w:val="bullet"/>
      <w:lvlText w:val=""/>
      <w:lvlJc w:val="left"/>
      <w:pPr>
        <w:tabs>
          <w:tab w:val="num" w:pos="4320"/>
        </w:tabs>
        <w:ind w:left="4320" w:hanging="360"/>
      </w:pPr>
      <w:rPr>
        <w:rFonts w:ascii="Wingdings" w:hAnsi="Wingdings" w:hint="default"/>
      </w:rPr>
    </w:lvl>
    <w:lvl w:ilvl="6" w:tplc="0EA065F2" w:tentative="1">
      <w:start w:val="1"/>
      <w:numFmt w:val="bullet"/>
      <w:lvlText w:val=""/>
      <w:lvlJc w:val="left"/>
      <w:pPr>
        <w:tabs>
          <w:tab w:val="num" w:pos="5040"/>
        </w:tabs>
        <w:ind w:left="5040" w:hanging="360"/>
      </w:pPr>
      <w:rPr>
        <w:rFonts w:ascii="Symbol" w:hAnsi="Symbol" w:hint="default"/>
      </w:rPr>
    </w:lvl>
    <w:lvl w:ilvl="7" w:tplc="83EC69E2" w:tentative="1">
      <w:start w:val="1"/>
      <w:numFmt w:val="bullet"/>
      <w:lvlText w:val="o"/>
      <w:lvlJc w:val="left"/>
      <w:pPr>
        <w:tabs>
          <w:tab w:val="num" w:pos="5760"/>
        </w:tabs>
        <w:ind w:left="5760" w:hanging="360"/>
      </w:pPr>
      <w:rPr>
        <w:rFonts w:ascii="Courier New" w:hAnsi="Courier New" w:cs="Courier New" w:hint="default"/>
      </w:rPr>
    </w:lvl>
    <w:lvl w:ilvl="8" w:tplc="723021F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10" w15:restartNumberingAfterBreak="0">
    <w:nsid w:val="38130038"/>
    <w:multiLevelType w:val="hybridMultilevel"/>
    <w:tmpl w:val="FF8A0FAE"/>
    <w:lvl w:ilvl="0" w:tplc="0166EF20">
      <w:start w:val="1"/>
      <w:numFmt w:val="bullet"/>
      <w:pStyle w:val="ClauseBullet2"/>
      <w:lvlText w:val=""/>
      <w:lvlJc w:val="left"/>
      <w:pPr>
        <w:ind w:left="1440" w:hanging="360"/>
      </w:pPr>
      <w:rPr>
        <w:rFonts w:ascii="Symbol" w:hAnsi="Symbol" w:hint="default"/>
        <w:color w:val="000000"/>
      </w:rPr>
    </w:lvl>
    <w:lvl w:ilvl="1" w:tplc="22160E6A" w:tentative="1">
      <w:start w:val="1"/>
      <w:numFmt w:val="bullet"/>
      <w:lvlText w:val="o"/>
      <w:lvlJc w:val="left"/>
      <w:pPr>
        <w:ind w:left="2160" w:hanging="360"/>
      </w:pPr>
      <w:rPr>
        <w:rFonts w:ascii="Courier New" w:hAnsi="Courier New" w:cs="Courier New" w:hint="default"/>
      </w:rPr>
    </w:lvl>
    <w:lvl w:ilvl="2" w:tplc="6F74395C" w:tentative="1">
      <w:start w:val="1"/>
      <w:numFmt w:val="bullet"/>
      <w:lvlText w:val=""/>
      <w:lvlJc w:val="left"/>
      <w:pPr>
        <w:ind w:left="2880" w:hanging="360"/>
      </w:pPr>
      <w:rPr>
        <w:rFonts w:ascii="Wingdings" w:hAnsi="Wingdings" w:hint="default"/>
      </w:rPr>
    </w:lvl>
    <w:lvl w:ilvl="3" w:tplc="EBB41FD0" w:tentative="1">
      <w:start w:val="1"/>
      <w:numFmt w:val="bullet"/>
      <w:lvlText w:val=""/>
      <w:lvlJc w:val="left"/>
      <w:pPr>
        <w:ind w:left="3600" w:hanging="360"/>
      </w:pPr>
      <w:rPr>
        <w:rFonts w:ascii="Symbol" w:hAnsi="Symbol" w:hint="default"/>
      </w:rPr>
    </w:lvl>
    <w:lvl w:ilvl="4" w:tplc="F2703F12" w:tentative="1">
      <w:start w:val="1"/>
      <w:numFmt w:val="bullet"/>
      <w:lvlText w:val="o"/>
      <w:lvlJc w:val="left"/>
      <w:pPr>
        <w:ind w:left="4320" w:hanging="360"/>
      </w:pPr>
      <w:rPr>
        <w:rFonts w:ascii="Courier New" w:hAnsi="Courier New" w:cs="Courier New" w:hint="default"/>
      </w:rPr>
    </w:lvl>
    <w:lvl w:ilvl="5" w:tplc="E970245A" w:tentative="1">
      <w:start w:val="1"/>
      <w:numFmt w:val="bullet"/>
      <w:lvlText w:val=""/>
      <w:lvlJc w:val="left"/>
      <w:pPr>
        <w:ind w:left="5040" w:hanging="360"/>
      </w:pPr>
      <w:rPr>
        <w:rFonts w:ascii="Wingdings" w:hAnsi="Wingdings" w:hint="default"/>
      </w:rPr>
    </w:lvl>
    <w:lvl w:ilvl="6" w:tplc="DBDC1FA6" w:tentative="1">
      <w:start w:val="1"/>
      <w:numFmt w:val="bullet"/>
      <w:lvlText w:val=""/>
      <w:lvlJc w:val="left"/>
      <w:pPr>
        <w:ind w:left="5760" w:hanging="360"/>
      </w:pPr>
      <w:rPr>
        <w:rFonts w:ascii="Symbol" w:hAnsi="Symbol" w:hint="default"/>
      </w:rPr>
    </w:lvl>
    <w:lvl w:ilvl="7" w:tplc="AE9E8192" w:tentative="1">
      <w:start w:val="1"/>
      <w:numFmt w:val="bullet"/>
      <w:lvlText w:val="o"/>
      <w:lvlJc w:val="left"/>
      <w:pPr>
        <w:ind w:left="6480" w:hanging="360"/>
      </w:pPr>
      <w:rPr>
        <w:rFonts w:ascii="Courier New" w:hAnsi="Courier New" w:cs="Courier New" w:hint="default"/>
      </w:rPr>
    </w:lvl>
    <w:lvl w:ilvl="8" w:tplc="5B0066E2" w:tentative="1">
      <w:start w:val="1"/>
      <w:numFmt w:val="bullet"/>
      <w:lvlText w:val=""/>
      <w:lvlJc w:val="left"/>
      <w:pPr>
        <w:ind w:left="7200" w:hanging="360"/>
      </w:pPr>
      <w:rPr>
        <w:rFonts w:ascii="Wingdings" w:hAnsi="Wingdings" w:hint="default"/>
      </w:rPr>
    </w:lvl>
  </w:abstractNum>
  <w:abstractNum w:abstractNumId="11" w15:restartNumberingAfterBreak="0">
    <w:nsid w:val="44D67987"/>
    <w:multiLevelType w:val="hybridMultilevel"/>
    <w:tmpl w:val="EBD6FB80"/>
    <w:lvl w:ilvl="0" w:tplc="E1D2ECB0">
      <w:start w:val="1"/>
      <w:numFmt w:val="bullet"/>
      <w:pStyle w:val="subclause1Bullet2"/>
      <w:lvlText w:val=""/>
      <w:lvlJc w:val="left"/>
      <w:pPr>
        <w:ind w:left="1440" w:hanging="360"/>
      </w:pPr>
      <w:rPr>
        <w:rFonts w:ascii="Symbol" w:hAnsi="Symbol" w:hint="default"/>
        <w:color w:val="000000"/>
      </w:rPr>
    </w:lvl>
    <w:lvl w:ilvl="1" w:tplc="BA62EE18" w:tentative="1">
      <w:start w:val="1"/>
      <w:numFmt w:val="bullet"/>
      <w:lvlText w:val="o"/>
      <w:lvlJc w:val="left"/>
      <w:pPr>
        <w:ind w:left="2160" w:hanging="360"/>
      </w:pPr>
      <w:rPr>
        <w:rFonts w:ascii="Courier New" w:hAnsi="Courier New" w:cs="Courier New" w:hint="default"/>
      </w:rPr>
    </w:lvl>
    <w:lvl w:ilvl="2" w:tplc="BC361BAE" w:tentative="1">
      <w:start w:val="1"/>
      <w:numFmt w:val="bullet"/>
      <w:lvlText w:val=""/>
      <w:lvlJc w:val="left"/>
      <w:pPr>
        <w:ind w:left="2880" w:hanging="360"/>
      </w:pPr>
      <w:rPr>
        <w:rFonts w:ascii="Wingdings" w:hAnsi="Wingdings" w:hint="default"/>
      </w:rPr>
    </w:lvl>
    <w:lvl w:ilvl="3" w:tplc="242AB520" w:tentative="1">
      <w:start w:val="1"/>
      <w:numFmt w:val="bullet"/>
      <w:lvlText w:val=""/>
      <w:lvlJc w:val="left"/>
      <w:pPr>
        <w:ind w:left="3600" w:hanging="360"/>
      </w:pPr>
      <w:rPr>
        <w:rFonts w:ascii="Symbol" w:hAnsi="Symbol" w:hint="default"/>
      </w:rPr>
    </w:lvl>
    <w:lvl w:ilvl="4" w:tplc="1DE409C6" w:tentative="1">
      <w:start w:val="1"/>
      <w:numFmt w:val="bullet"/>
      <w:lvlText w:val="o"/>
      <w:lvlJc w:val="left"/>
      <w:pPr>
        <w:ind w:left="4320" w:hanging="360"/>
      </w:pPr>
      <w:rPr>
        <w:rFonts w:ascii="Courier New" w:hAnsi="Courier New" w:cs="Courier New" w:hint="default"/>
      </w:rPr>
    </w:lvl>
    <w:lvl w:ilvl="5" w:tplc="57862824" w:tentative="1">
      <w:start w:val="1"/>
      <w:numFmt w:val="bullet"/>
      <w:lvlText w:val=""/>
      <w:lvlJc w:val="left"/>
      <w:pPr>
        <w:ind w:left="5040" w:hanging="360"/>
      </w:pPr>
      <w:rPr>
        <w:rFonts w:ascii="Wingdings" w:hAnsi="Wingdings" w:hint="default"/>
      </w:rPr>
    </w:lvl>
    <w:lvl w:ilvl="6" w:tplc="6F4AC9E8" w:tentative="1">
      <w:start w:val="1"/>
      <w:numFmt w:val="bullet"/>
      <w:lvlText w:val=""/>
      <w:lvlJc w:val="left"/>
      <w:pPr>
        <w:ind w:left="5760" w:hanging="360"/>
      </w:pPr>
      <w:rPr>
        <w:rFonts w:ascii="Symbol" w:hAnsi="Symbol" w:hint="default"/>
      </w:rPr>
    </w:lvl>
    <w:lvl w:ilvl="7" w:tplc="444EB6F0" w:tentative="1">
      <w:start w:val="1"/>
      <w:numFmt w:val="bullet"/>
      <w:lvlText w:val="o"/>
      <w:lvlJc w:val="left"/>
      <w:pPr>
        <w:ind w:left="6480" w:hanging="360"/>
      </w:pPr>
      <w:rPr>
        <w:rFonts w:ascii="Courier New" w:hAnsi="Courier New" w:cs="Courier New" w:hint="default"/>
      </w:rPr>
    </w:lvl>
    <w:lvl w:ilvl="8" w:tplc="8DB87038" w:tentative="1">
      <w:start w:val="1"/>
      <w:numFmt w:val="bullet"/>
      <w:lvlText w:val=""/>
      <w:lvlJc w:val="left"/>
      <w:pPr>
        <w:ind w:left="7200" w:hanging="360"/>
      </w:pPr>
      <w:rPr>
        <w:rFonts w:ascii="Wingdings" w:hAnsi="Wingdings" w:hint="default"/>
      </w:rPr>
    </w:lvl>
  </w:abstractNum>
  <w:abstractNum w:abstractNumId="12" w15:restartNumberingAfterBreak="0">
    <w:nsid w:val="44E96665"/>
    <w:multiLevelType w:val="hybridMultilevel"/>
    <w:tmpl w:val="EF1E142A"/>
    <w:lvl w:ilvl="0" w:tplc="5E22931A">
      <w:start w:val="1"/>
      <w:numFmt w:val="bullet"/>
      <w:pStyle w:val="subclause3Bullet1"/>
      <w:lvlText w:val=""/>
      <w:lvlJc w:val="left"/>
      <w:pPr>
        <w:ind w:left="2988" w:hanging="360"/>
      </w:pPr>
      <w:rPr>
        <w:rFonts w:ascii="Symbol" w:hAnsi="Symbol" w:hint="default"/>
        <w:color w:val="000000"/>
      </w:rPr>
    </w:lvl>
    <w:lvl w:ilvl="1" w:tplc="C68A1A70" w:tentative="1">
      <w:start w:val="1"/>
      <w:numFmt w:val="bullet"/>
      <w:lvlText w:val="o"/>
      <w:lvlJc w:val="left"/>
      <w:pPr>
        <w:ind w:left="3708" w:hanging="360"/>
      </w:pPr>
      <w:rPr>
        <w:rFonts w:ascii="Courier New" w:hAnsi="Courier New" w:cs="Courier New" w:hint="default"/>
      </w:rPr>
    </w:lvl>
    <w:lvl w:ilvl="2" w:tplc="9462E62E" w:tentative="1">
      <w:start w:val="1"/>
      <w:numFmt w:val="bullet"/>
      <w:lvlText w:val=""/>
      <w:lvlJc w:val="left"/>
      <w:pPr>
        <w:ind w:left="4428" w:hanging="360"/>
      </w:pPr>
      <w:rPr>
        <w:rFonts w:ascii="Wingdings" w:hAnsi="Wingdings" w:hint="default"/>
      </w:rPr>
    </w:lvl>
    <w:lvl w:ilvl="3" w:tplc="11BCC4EE" w:tentative="1">
      <w:start w:val="1"/>
      <w:numFmt w:val="bullet"/>
      <w:lvlText w:val=""/>
      <w:lvlJc w:val="left"/>
      <w:pPr>
        <w:ind w:left="5148" w:hanging="360"/>
      </w:pPr>
      <w:rPr>
        <w:rFonts w:ascii="Symbol" w:hAnsi="Symbol" w:hint="default"/>
      </w:rPr>
    </w:lvl>
    <w:lvl w:ilvl="4" w:tplc="514E8B2A" w:tentative="1">
      <w:start w:val="1"/>
      <w:numFmt w:val="bullet"/>
      <w:lvlText w:val="o"/>
      <w:lvlJc w:val="left"/>
      <w:pPr>
        <w:ind w:left="5868" w:hanging="360"/>
      </w:pPr>
      <w:rPr>
        <w:rFonts w:ascii="Courier New" w:hAnsi="Courier New" w:cs="Courier New" w:hint="default"/>
      </w:rPr>
    </w:lvl>
    <w:lvl w:ilvl="5" w:tplc="6982FA9A" w:tentative="1">
      <w:start w:val="1"/>
      <w:numFmt w:val="bullet"/>
      <w:lvlText w:val=""/>
      <w:lvlJc w:val="left"/>
      <w:pPr>
        <w:ind w:left="6588" w:hanging="360"/>
      </w:pPr>
      <w:rPr>
        <w:rFonts w:ascii="Wingdings" w:hAnsi="Wingdings" w:hint="default"/>
      </w:rPr>
    </w:lvl>
    <w:lvl w:ilvl="6" w:tplc="68D4F052" w:tentative="1">
      <w:start w:val="1"/>
      <w:numFmt w:val="bullet"/>
      <w:lvlText w:val=""/>
      <w:lvlJc w:val="left"/>
      <w:pPr>
        <w:ind w:left="7308" w:hanging="360"/>
      </w:pPr>
      <w:rPr>
        <w:rFonts w:ascii="Symbol" w:hAnsi="Symbol" w:hint="default"/>
      </w:rPr>
    </w:lvl>
    <w:lvl w:ilvl="7" w:tplc="2DAA62F8" w:tentative="1">
      <w:start w:val="1"/>
      <w:numFmt w:val="bullet"/>
      <w:lvlText w:val="o"/>
      <w:lvlJc w:val="left"/>
      <w:pPr>
        <w:ind w:left="8028" w:hanging="360"/>
      </w:pPr>
      <w:rPr>
        <w:rFonts w:ascii="Courier New" w:hAnsi="Courier New" w:cs="Courier New" w:hint="default"/>
      </w:rPr>
    </w:lvl>
    <w:lvl w:ilvl="8" w:tplc="19DC7E22" w:tentative="1">
      <w:start w:val="1"/>
      <w:numFmt w:val="bullet"/>
      <w:lvlText w:val=""/>
      <w:lvlJc w:val="left"/>
      <w:pPr>
        <w:ind w:left="8748" w:hanging="360"/>
      </w:pPr>
      <w:rPr>
        <w:rFonts w:ascii="Wingdings" w:hAnsi="Wingdings" w:hint="default"/>
      </w:rPr>
    </w:lvl>
  </w:abstractNum>
  <w:abstractNum w:abstractNumId="13" w15:restartNumberingAfterBreak="0">
    <w:nsid w:val="46AC04C6"/>
    <w:multiLevelType w:val="hybridMultilevel"/>
    <w:tmpl w:val="E6C47700"/>
    <w:lvl w:ilvl="0" w:tplc="390283B4">
      <w:start w:val="1"/>
      <w:numFmt w:val="bullet"/>
      <w:pStyle w:val="subclause2Bullet1"/>
      <w:lvlText w:val=""/>
      <w:lvlJc w:val="left"/>
      <w:pPr>
        <w:ind w:left="2279" w:hanging="360"/>
      </w:pPr>
      <w:rPr>
        <w:rFonts w:ascii="Symbol" w:hAnsi="Symbol" w:hint="default"/>
        <w:color w:val="000000"/>
      </w:rPr>
    </w:lvl>
    <w:lvl w:ilvl="1" w:tplc="2A6027A6" w:tentative="1">
      <w:start w:val="1"/>
      <w:numFmt w:val="bullet"/>
      <w:lvlText w:val="o"/>
      <w:lvlJc w:val="left"/>
      <w:pPr>
        <w:ind w:left="2999" w:hanging="360"/>
      </w:pPr>
      <w:rPr>
        <w:rFonts w:ascii="Courier New" w:hAnsi="Courier New" w:cs="Courier New" w:hint="default"/>
      </w:rPr>
    </w:lvl>
    <w:lvl w:ilvl="2" w:tplc="4DE8264A" w:tentative="1">
      <w:start w:val="1"/>
      <w:numFmt w:val="bullet"/>
      <w:lvlText w:val=""/>
      <w:lvlJc w:val="left"/>
      <w:pPr>
        <w:ind w:left="3719" w:hanging="360"/>
      </w:pPr>
      <w:rPr>
        <w:rFonts w:ascii="Wingdings" w:hAnsi="Wingdings" w:hint="default"/>
      </w:rPr>
    </w:lvl>
    <w:lvl w:ilvl="3" w:tplc="548853B8" w:tentative="1">
      <w:start w:val="1"/>
      <w:numFmt w:val="bullet"/>
      <w:lvlText w:val=""/>
      <w:lvlJc w:val="left"/>
      <w:pPr>
        <w:ind w:left="4439" w:hanging="360"/>
      </w:pPr>
      <w:rPr>
        <w:rFonts w:ascii="Symbol" w:hAnsi="Symbol" w:hint="default"/>
      </w:rPr>
    </w:lvl>
    <w:lvl w:ilvl="4" w:tplc="530C5746" w:tentative="1">
      <w:start w:val="1"/>
      <w:numFmt w:val="bullet"/>
      <w:lvlText w:val="o"/>
      <w:lvlJc w:val="left"/>
      <w:pPr>
        <w:ind w:left="5159" w:hanging="360"/>
      </w:pPr>
      <w:rPr>
        <w:rFonts w:ascii="Courier New" w:hAnsi="Courier New" w:cs="Courier New" w:hint="default"/>
      </w:rPr>
    </w:lvl>
    <w:lvl w:ilvl="5" w:tplc="84BED582" w:tentative="1">
      <w:start w:val="1"/>
      <w:numFmt w:val="bullet"/>
      <w:lvlText w:val=""/>
      <w:lvlJc w:val="left"/>
      <w:pPr>
        <w:ind w:left="5879" w:hanging="360"/>
      </w:pPr>
      <w:rPr>
        <w:rFonts w:ascii="Wingdings" w:hAnsi="Wingdings" w:hint="default"/>
      </w:rPr>
    </w:lvl>
    <w:lvl w:ilvl="6" w:tplc="5920BC7A" w:tentative="1">
      <w:start w:val="1"/>
      <w:numFmt w:val="bullet"/>
      <w:lvlText w:val=""/>
      <w:lvlJc w:val="left"/>
      <w:pPr>
        <w:ind w:left="6599" w:hanging="360"/>
      </w:pPr>
      <w:rPr>
        <w:rFonts w:ascii="Symbol" w:hAnsi="Symbol" w:hint="default"/>
      </w:rPr>
    </w:lvl>
    <w:lvl w:ilvl="7" w:tplc="28BAF43A" w:tentative="1">
      <w:start w:val="1"/>
      <w:numFmt w:val="bullet"/>
      <w:lvlText w:val="o"/>
      <w:lvlJc w:val="left"/>
      <w:pPr>
        <w:ind w:left="7319" w:hanging="360"/>
      </w:pPr>
      <w:rPr>
        <w:rFonts w:ascii="Courier New" w:hAnsi="Courier New" w:cs="Courier New" w:hint="default"/>
      </w:rPr>
    </w:lvl>
    <w:lvl w:ilvl="8" w:tplc="155A9CDA" w:tentative="1">
      <w:start w:val="1"/>
      <w:numFmt w:val="bullet"/>
      <w:lvlText w:val=""/>
      <w:lvlJc w:val="left"/>
      <w:pPr>
        <w:ind w:left="8039" w:hanging="360"/>
      </w:pPr>
      <w:rPr>
        <w:rFonts w:ascii="Wingdings" w:hAnsi="Wingdings" w:hint="default"/>
      </w:rPr>
    </w:lvl>
  </w:abstractNum>
  <w:abstractNum w:abstractNumId="14" w15:restartNumberingAfterBreak="0">
    <w:nsid w:val="47F42723"/>
    <w:multiLevelType w:val="hybridMultilevel"/>
    <w:tmpl w:val="C5A02EE6"/>
    <w:lvl w:ilvl="0" w:tplc="6D107FF6">
      <w:start w:val="1"/>
      <w:numFmt w:val="bullet"/>
      <w:pStyle w:val="subclause1Bullet1"/>
      <w:lvlText w:val=""/>
      <w:lvlJc w:val="left"/>
      <w:pPr>
        <w:ind w:left="1440" w:hanging="360"/>
      </w:pPr>
      <w:rPr>
        <w:rFonts w:ascii="Symbol" w:hAnsi="Symbol" w:hint="default"/>
        <w:color w:val="000000"/>
      </w:rPr>
    </w:lvl>
    <w:lvl w:ilvl="1" w:tplc="74EE54DC" w:tentative="1">
      <w:start w:val="1"/>
      <w:numFmt w:val="bullet"/>
      <w:lvlText w:val="o"/>
      <w:lvlJc w:val="left"/>
      <w:pPr>
        <w:ind w:left="2160" w:hanging="360"/>
      </w:pPr>
      <w:rPr>
        <w:rFonts w:ascii="Courier New" w:hAnsi="Courier New" w:cs="Courier New" w:hint="default"/>
      </w:rPr>
    </w:lvl>
    <w:lvl w:ilvl="2" w:tplc="F324717C" w:tentative="1">
      <w:start w:val="1"/>
      <w:numFmt w:val="bullet"/>
      <w:lvlText w:val=""/>
      <w:lvlJc w:val="left"/>
      <w:pPr>
        <w:ind w:left="2880" w:hanging="360"/>
      </w:pPr>
      <w:rPr>
        <w:rFonts w:ascii="Wingdings" w:hAnsi="Wingdings" w:hint="default"/>
      </w:rPr>
    </w:lvl>
    <w:lvl w:ilvl="3" w:tplc="3F307992" w:tentative="1">
      <w:start w:val="1"/>
      <w:numFmt w:val="bullet"/>
      <w:lvlText w:val=""/>
      <w:lvlJc w:val="left"/>
      <w:pPr>
        <w:ind w:left="3600" w:hanging="360"/>
      </w:pPr>
      <w:rPr>
        <w:rFonts w:ascii="Symbol" w:hAnsi="Symbol" w:hint="default"/>
      </w:rPr>
    </w:lvl>
    <w:lvl w:ilvl="4" w:tplc="6490454E" w:tentative="1">
      <w:start w:val="1"/>
      <w:numFmt w:val="bullet"/>
      <w:lvlText w:val="o"/>
      <w:lvlJc w:val="left"/>
      <w:pPr>
        <w:ind w:left="4320" w:hanging="360"/>
      </w:pPr>
      <w:rPr>
        <w:rFonts w:ascii="Courier New" w:hAnsi="Courier New" w:cs="Courier New" w:hint="default"/>
      </w:rPr>
    </w:lvl>
    <w:lvl w:ilvl="5" w:tplc="17E2BC2A" w:tentative="1">
      <w:start w:val="1"/>
      <w:numFmt w:val="bullet"/>
      <w:lvlText w:val=""/>
      <w:lvlJc w:val="left"/>
      <w:pPr>
        <w:ind w:left="5040" w:hanging="360"/>
      </w:pPr>
      <w:rPr>
        <w:rFonts w:ascii="Wingdings" w:hAnsi="Wingdings" w:hint="default"/>
      </w:rPr>
    </w:lvl>
    <w:lvl w:ilvl="6" w:tplc="1FAC8146" w:tentative="1">
      <w:start w:val="1"/>
      <w:numFmt w:val="bullet"/>
      <w:lvlText w:val=""/>
      <w:lvlJc w:val="left"/>
      <w:pPr>
        <w:ind w:left="5760" w:hanging="360"/>
      </w:pPr>
      <w:rPr>
        <w:rFonts w:ascii="Symbol" w:hAnsi="Symbol" w:hint="default"/>
      </w:rPr>
    </w:lvl>
    <w:lvl w:ilvl="7" w:tplc="E0F6D41E" w:tentative="1">
      <w:start w:val="1"/>
      <w:numFmt w:val="bullet"/>
      <w:lvlText w:val="o"/>
      <w:lvlJc w:val="left"/>
      <w:pPr>
        <w:ind w:left="6480" w:hanging="360"/>
      </w:pPr>
      <w:rPr>
        <w:rFonts w:ascii="Courier New" w:hAnsi="Courier New" w:cs="Courier New" w:hint="default"/>
      </w:rPr>
    </w:lvl>
    <w:lvl w:ilvl="8" w:tplc="0AD87870" w:tentative="1">
      <w:start w:val="1"/>
      <w:numFmt w:val="bullet"/>
      <w:lvlText w:val=""/>
      <w:lvlJc w:val="left"/>
      <w:pPr>
        <w:ind w:left="7200" w:hanging="360"/>
      </w:pPr>
      <w:rPr>
        <w:rFonts w:ascii="Wingdings" w:hAnsi="Wingdings" w:hint="default"/>
      </w:rPr>
    </w:lvl>
  </w:abstractNum>
  <w:abstractNum w:abstractNumId="15" w15:restartNumberingAfterBreak="0">
    <w:nsid w:val="55CB0AF0"/>
    <w:multiLevelType w:val="hybridMultilevel"/>
    <w:tmpl w:val="EB98B43A"/>
    <w:lvl w:ilvl="0" w:tplc="B71079A2">
      <w:start w:val="1"/>
      <w:numFmt w:val="decimal"/>
      <w:pStyle w:val="LongQuestionPara"/>
      <w:lvlText w:val="%1."/>
      <w:lvlJc w:val="left"/>
      <w:pPr>
        <w:ind w:left="360" w:hanging="360"/>
      </w:pPr>
      <w:rPr>
        <w:rFonts w:hint="default"/>
        <w:b/>
        <w:i w:val="0"/>
        <w:color w:val="000000"/>
        <w:sz w:val="24"/>
      </w:rPr>
    </w:lvl>
    <w:lvl w:ilvl="1" w:tplc="96E69D2E" w:tentative="1">
      <w:start w:val="1"/>
      <w:numFmt w:val="lowerLetter"/>
      <w:lvlText w:val="%2."/>
      <w:lvlJc w:val="left"/>
      <w:pPr>
        <w:ind w:left="1440" w:hanging="360"/>
      </w:pPr>
    </w:lvl>
    <w:lvl w:ilvl="2" w:tplc="89A042AC" w:tentative="1">
      <w:start w:val="1"/>
      <w:numFmt w:val="lowerRoman"/>
      <w:lvlText w:val="%3."/>
      <w:lvlJc w:val="right"/>
      <w:pPr>
        <w:ind w:left="2160" w:hanging="180"/>
      </w:pPr>
    </w:lvl>
    <w:lvl w:ilvl="3" w:tplc="3F7032E8" w:tentative="1">
      <w:start w:val="1"/>
      <w:numFmt w:val="decimal"/>
      <w:lvlText w:val="%4."/>
      <w:lvlJc w:val="left"/>
      <w:pPr>
        <w:ind w:left="2880" w:hanging="360"/>
      </w:pPr>
    </w:lvl>
    <w:lvl w:ilvl="4" w:tplc="68061A82" w:tentative="1">
      <w:start w:val="1"/>
      <w:numFmt w:val="lowerLetter"/>
      <w:lvlText w:val="%5."/>
      <w:lvlJc w:val="left"/>
      <w:pPr>
        <w:ind w:left="3600" w:hanging="360"/>
      </w:pPr>
    </w:lvl>
    <w:lvl w:ilvl="5" w:tplc="47CE2F3E" w:tentative="1">
      <w:start w:val="1"/>
      <w:numFmt w:val="lowerRoman"/>
      <w:lvlText w:val="%6."/>
      <w:lvlJc w:val="right"/>
      <w:pPr>
        <w:ind w:left="4320" w:hanging="180"/>
      </w:pPr>
    </w:lvl>
    <w:lvl w:ilvl="6" w:tplc="C60072D2" w:tentative="1">
      <w:start w:val="1"/>
      <w:numFmt w:val="decimal"/>
      <w:lvlText w:val="%7."/>
      <w:lvlJc w:val="left"/>
      <w:pPr>
        <w:ind w:left="5040" w:hanging="360"/>
      </w:pPr>
    </w:lvl>
    <w:lvl w:ilvl="7" w:tplc="5B74E87A" w:tentative="1">
      <w:start w:val="1"/>
      <w:numFmt w:val="lowerLetter"/>
      <w:lvlText w:val="%8."/>
      <w:lvlJc w:val="left"/>
      <w:pPr>
        <w:ind w:left="5760" w:hanging="360"/>
      </w:pPr>
    </w:lvl>
    <w:lvl w:ilvl="8" w:tplc="2298ABF8" w:tentative="1">
      <w:start w:val="1"/>
      <w:numFmt w:val="lowerRoman"/>
      <w:lvlText w:val="%9."/>
      <w:lvlJc w:val="right"/>
      <w:pPr>
        <w:ind w:left="6480" w:hanging="180"/>
      </w:pPr>
    </w:lvl>
  </w:abstractNum>
  <w:abstractNum w:abstractNumId="16"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7" w15:restartNumberingAfterBreak="0">
    <w:nsid w:val="61071422"/>
    <w:multiLevelType w:val="hybridMultilevel"/>
    <w:tmpl w:val="59B858D8"/>
    <w:lvl w:ilvl="0" w:tplc="D34EE560">
      <w:start w:val="1"/>
      <w:numFmt w:val="bullet"/>
      <w:pStyle w:val="ClauseBullet1"/>
      <w:lvlText w:val=""/>
      <w:lvlJc w:val="left"/>
      <w:pPr>
        <w:ind w:left="1080" w:hanging="360"/>
      </w:pPr>
      <w:rPr>
        <w:rFonts w:ascii="Symbol" w:hAnsi="Symbol" w:hint="default"/>
        <w:color w:val="000000"/>
      </w:rPr>
    </w:lvl>
    <w:lvl w:ilvl="1" w:tplc="40C06CC4" w:tentative="1">
      <w:start w:val="1"/>
      <w:numFmt w:val="bullet"/>
      <w:lvlText w:val="o"/>
      <w:lvlJc w:val="left"/>
      <w:pPr>
        <w:ind w:left="1800" w:hanging="360"/>
      </w:pPr>
      <w:rPr>
        <w:rFonts w:ascii="Courier New" w:hAnsi="Courier New" w:cs="Courier New" w:hint="default"/>
      </w:rPr>
    </w:lvl>
    <w:lvl w:ilvl="2" w:tplc="376EEEF0" w:tentative="1">
      <w:start w:val="1"/>
      <w:numFmt w:val="bullet"/>
      <w:lvlText w:val=""/>
      <w:lvlJc w:val="left"/>
      <w:pPr>
        <w:ind w:left="2520" w:hanging="360"/>
      </w:pPr>
      <w:rPr>
        <w:rFonts w:ascii="Wingdings" w:hAnsi="Wingdings" w:hint="default"/>
      </w:rPr>
    </w:lvl>
    <w:lvl w:ilvl="3" w:tplc="19D41814" w:tentative="1">
      <w:start w:val="1"/>
      <w:numFmt w:val="bullet"/>
      <w:lvlText w:val=""/>
      <w:lvlJc w:val="left"/>
      <w:pPr>
        <w:ind w:left="3240" w:hanging="360"/>
      </w:pPr>
      <w:rPr>
        <w:rFonts w:ascii="Symbol" w:hAnsi="Symbol" w:hint="default"/>
      </w:rPr>
    </w:lvl>
    <w:lvl w:ilvl="4" w:tplc="02FCF3E0" w:tentative="1">
      <w:start w:val="1"/>
      <w:numFmt w:val="bullet"/>
      <w:lvlText w:val="o"/>
      <w:lvlJc w:val="left"/>
      <w:pPr>
        <w:ind w:left="3960" w:hanging="360"/>
      </w:pPr>
      <w:rPr>
        <w:rFonts w:ascii="Courier New" w:hAnsi="Courier New" w:cs="Courier New" w:hint="default"/>
      </w:rPr>
    </w:lvl>
    <w:lvl w:ilvl="5" w:tplc="7EC83C06" w:tentative="1">
      <w:start w:val="1"/>
      <w:numFmt w:val="bullet"/>
      <w:lvlText w:val=""/>
      <w:lvlJc w:val="left"/>
      <w:pPr>
        <w:ind w:left="4680" w:hanging="360"/>
      </w:pPr>
      <w:rPr>
        <w:rFonts w:ascii="Wingdings" w:hAnsi="Wingdings" w:hint="default"/>
      </w:rPr>
    </w:lvl>
    <w:lvl w:ilvl="6" w:tplc="21982414" w:tentative="1">
      <w:start w:val="1"/>
      <w:numFmt w:val="bullet"/>
      <w:lvlText w:val=""/>
      <w:lvlJc w:val="left"/>
      <w:pPr>
        <w:ind w:left="5400" w:hanging="360"/>
      </w:pPr>
      <w:rPr>
        <w:rFonts w:ascii="Symbol" w:hAnsi="Symbol" w:hint="default"/>
      </w:rPr>
    </w:lvl>
    <w:lvl w:ilvl="7" w:tplc="54A220C0" w:tentative="1">
      <w:start w:val="1"/>
      <w:numFmt w:val="bullet"/>
      <w:lvlText w:val="o"/>
      <w:lvlJc w:val="left"/>
      <w:pPr>
        <w:ind w:left="6120" w:hanging="360"/>
      </w:pPr>
      <w:rPr>
        <w:rFonts w:ascii="Courier New" w:hAnsi="Courier New" w:cs="Courier New" w:hint="default"/>
      </w:rPr>
    </w:lvl>
    <w:lvl w:ilvl="8" w:tplc="A66272FC" w:tentative="1">
      <w:start w:val="1"/>
      <w:numFmt w:val="bullet"/>
      <w:lvlText w:val=""/>
      <w:lvlJc w:val="left"/>
      <w:pPr>
        <w:ind w:left="6840" w:hanging="360"/>
      </w:pPr>
      <w:rPr>
        <w:rFonts w:ascii="Wingdings" w:hAnsi="Wingdings" w:hint="default"/>
      </w:rPr>
    </w:lvl>
  </w:abstractNum>
  <w:abstractNum w:abstractNumId="18" w15:restartNumberingAfterBreak="0">
    <w:nsid w:val="642371CD"/>
    <w:multiLevelType w:val="hybridMultilevel"/>
    <w:tmpl w:val="3B76A654"/>
    <w:lvl w:ilvl="0" w:tplc="B9B87256">
      <w:start w:val="1"/>
      <w:numFmt w:val="bullet"/>
      <w:pStyle w:val="subclause3Bullet2"/>
      <w:lvlText w:val=""/>
      <w:lvlJc w:val="left"/>
      <w:pPr>
        <w:ind w:left="3748" w:hanging="360"/>
      </w:pPr>
      <w:rPr>
        <w:rFonts w:ascii="Symbol" w:hAnsi="Symbol" w:hint="default"/>
        <w:color w:val="000000"/>
      </w:rPr>
    </w:lvl>
    <w:lvl w:ilvl="1" w:tplc="F1C4B230" w:tentative="1">
      <w:start w:val="1"/>
      <w:numFmt w:val="bullet"/>
      <w:lvlText w:val="o"/>
      <w:lvlJc w:val="left"/>
      <w:pPr>
        <w:ind w:left="4468" w:hanging="360"/>
      </w:pPr>
      <w:rPr>
        <w:rFonts w:ascii="Courier New" w:hAnsi="Courier New" w:cs="Courier New" w:hint="default"/>
      </w:rPr>
    </w:lvl>
    <w:lvl w:ilvl="2" w:tplc="5738701A" w:tentative="1">
      <w:start w:val="1"/>
      <w:numFmt w:val="bullet"/>
      <w:lvlText w:val=""/>
      <w:lvlJc w:val="left"/>
      <w:pPr>
        <w:ind w:left="5188" w:hanging="360"/>
      </w:pPr>
      <w:rPr>
        <w:rFonts w:ascii="Wingdings" w:hAnsi="Wingdings" w:hint="default"/>
      </w:rPr>
    </w:lvl>
    <w:lvl w:ilvl="3" w:tplc="FCB8E38A" w:tentative="1">
      <w:start w:val="1"/>
      <w:numFmt w:val="bullet"/>
      <w:lvlText w:val=""/>
      <w:lvlJc w:val="left"/>
      <w:pPr>
        <w:ind w:left="5908" w:hanging="360"/>
      </w:pPr>
      <w:rPr>
        <w:rFonts w:ascii="Symbol" w:hAnsi="Symbol" w:hint="default"/>
      </w:rPr>
    </w:lvl>
    <w:lvl w:ilvl="4" w:tplc="BA6682BC" w:tentative="1">
      <w:start w:val="1"/>
      <w:numFmt w:val="bullet"/>
      <w:lvlText w:val="o"/>
      <w:lvlJc w:val="left"/>
      <w:pPr>
        <w:ind w:left="6628" w:hanging="360"/>
      </w:pPr>
      <w:rPr>
        <w:rFonts w:ascii="Courier New" w:hAnsi="Courier New" w:cs="Courier New" w:hint="default"/>
      </w:rPr>
    </w:lvl>
    <w:lvl w:ilvl="5" w:tplc="D2CC7B3E" w:tentative="1">
      <w:start w:val="1"/>
      <w:numFmt w:val="bullet"/>
      <w:lvlText w:val=""/>
      <w:lvlJc w:val="left"/>
      <w:pPr>
        <w:ind w:left="7348" w:hanging="360"/>
      </w:pPr>
      <w:rPr>
        <w:rFonts w:ascii="Wingdings" w:hAnsi="Wingdings" w:hint="default"/>
      </w:rPr>
    </w:lvl>
    <w:lvl w:ilvl="6" w:tplc="910633F8" w:tentative="1">
      <w:start w:val="1"/>
      <w:numFmt w:val="bullet"/>
      <w:lvlText w:val=""/>
      <w:lvlJc w:val="left"/>
      <w:pPr>
        <w:ind w:left="8068" w:hanging="360"/>
      </w:pPr>
      <w:rPr>
        <w:rFonts w:ascii="Symbol" w:hAnsi="Symbol" w:hint="default"/>
      </w:rPr>
    </w:lvl>
    <w:lvl w:ilvl="7" w:tplc="3BE890E6" w:tentative="1">
      <w:start w:val="1"/>
      <w:numFmt w:val="bullet"/>
      <w:lvlText w:val="o"/>
      <w:lvlJc w:val="left"/>
      <w:pPr>
        <w:ind w:left="8788" w:hanging="360"/>
      </w:pPr>
      <w:rPr>
        <w:rFonts w:ascii="Courier New" w:hAnsi="Courier New" w:cs="Courier New" w:hint="default"/>
      </w:rPr>
    </w:lvl>
    <w:lvl w:ilvl="8" w:tplc="67A6C600" w:tentative="1">
      <w:start w:val="1"/>
      <w:numFmt w:val="bullet"/>
      <w:lvlText w:val=""/>
      <w:lvlJc w:val="left"/>
      <w:pPr>
        <w:ind w:left="9508" w:hanging="360"/>
      </w:pPr>
      <w:rPr>
        <w:rFonts w:ascii="Wingdings" w:hAnsi="Wingdings" w:hint="default"/>
      </w:rPr>
    </w:lvl>
  </w:abstractNum>
  <w:abstractNum w:abstractNumId="19"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20" w15:restartNumberingAfterBreak="0">
    <w:nsid w:val="6A14466B"/>
    <w:multiLevelType w:val="hybridMultilevel"/>
    <w:tmpl w:val="2402A666"/>
    <w:lvl w:ilvl="0" w:tplc="1CC2982A">
      <w:start w:val="1"/>
      <w:numFmt w:val="bullet"/>
      <w:pStyle w:val="BulletList1"/>
      <w:lvlText w:val="·"/>
      <w:lvlJc w:val="left"/>
      <w:pPr>
        <w:tabs>
          <w:tab w:val="num" w:pos="360"/>
        </w:tabs>
        <w:ind w:left="360" w:hanging="360"/>
      </w:pPr>
      <w:rPr>
        <w:rFonts w:ascii="Symbol" w:hAnsi="Symbol" w:hint="default"/>
        <w:color w:val="000000"/>
      </w:rPr>
    </w:lvl>
    <w:lvl w:ilvl="1" w:tplc="EAF082D2" w:tentative="1">
      <w:start w:val="1"/>
      <w:numFmt w:val="bullet"/>
      <w:lvlText w:val="·"/>
      <w:lvlJc w:val="left"/>
      <w:pPr>
        <w:tabs>
          <w:tab w:val="num" w:pos="1440"/>
        </w:tabs>
        <w:ind w:left="1440" w:hanging="360"/>
      </w:pPr>
      <w:rPr>
        <w:rFonts w:ascii="Symbol" w:hAnsi="Symbol" w:hint="default"/>
      </w:rPr>
    </w:lvl>
    <w:lvl w:ilvl="2" w:tplc="1D84A012" w:tentative="1">
      <w:start w:val="1"/>
      <w:numFmt w:val="bullet"/>
      <w:lvlText w:val="·"/>
      <w:lvlJc w:val="left"/>
      <w:pPr>
        <w:tabs>
          <w:tab w:val="num" w:pos="2160"/>
        </w:tabs>
        <w:ind w:left="2160" w:hanging="360"/>
      </w:pPr>
      <w:rPr>
        <w:rFonts w:ascii="Symbol" w:hAnsi="Symbol" w:hint="default"/>
      </w:rPr>
    </w:lvl>
    <w:lvl w:ilvl="3" w:tplc="57CEDBA8" w:tentative="1">
      <w:start w:val="1"/>
      <w:numFmt w:val="bullet"/>
      <w:lvlText w:val="·"/>
      <w:lvlJc w:val="left"/>
      <w:pPr>
        <w:tabs>
          <w:tab w:val="num" w:pos="2880"/>
        </w:tabs>
        <w:ind w:left="2880" w:hanging="360"/>
      </w:pPr>
      <w:rPr>
        <w:rFonts w:ascii="Symbol" w:hAnsi="Symbol" w:hint="default"/>
      </w:rPr>
    </w:lvl>
    <w:lvl w:ilvl="4" w:tplc="6E508AF0" w:tentative="1">
      <w:start w:val="1"/>
      <w:numFmt w:val="bullet"/>
      <w:lvlText w:val="o"/>
      <w:lvlJc w:val="left"/>
      <w:pPr>
        <w:tabs>
          <w:tab w:val="num" w:pos="3600"/>
        </w:tabs>
        <w:ind w:left="3600" w:hanging="360"/>
      </w:pPr>
      <w:rPr>
        <w:rFonts w:ascii="Courier New" w:hAnsi="Courier New" w:hint="default"/>
      </w:rPr>
    </w:lvl>
    <w:lvl w:ilvl="5" w:tplc="998E54B8" w:tentative="1">
      <w:start w:val="1"/>
      <w:numFmt w:val="bullet"/>
      <w:lvlText w:val="§"/>
      <w:lvlJc w:val="left"/>
      <w:pPr>
        <w:tabs>
          <w:tab w:val="num" w:pos="4320"/>
        </w:tabs>
        <w:ind w:left="4320" w:hanging="360"/>
      </w:pPr>
      <w:rPr>
        <w:rFonts w:ascii="Wingdings" w:hAnsi="Wingdings" w:hint="default"/>
      </w:rPr>
    </w:lvl>
    <w:lvl w:ilvl="6" w:tplc="A84E36F4" w:tentative="1">
      <w:start w:val="1"/>
      <w:numFmt w:val="bullet"/>
      <w:lvlText w:val="·"/>
      <w:lvlJc w:val="left"/>
      <w:pPr>
        <w:tabs>
          <w:tab w:val="num" w:pos="5040"/>
        </w:tabs>
        <w:ind w:left="5040" w:hanging="360"/>
      </w:pPr>
      <w:rPr>
        <w:rFonts w:ascii="Symbol" w:hAnsi="Symbol" w:hint="default"/>
      </w:rPr>
    </w:lvl>
    <w:lvl w:ilvl="7" w:tplc="7D161B2C" w:tentative="1">
      <w:start w:val="1"/>
      <w:numFmt w:val="bullet"/>
      <w:lvlText w:val="o"/>
      <w:lvlJc w:val="left"/>
      <w:pPr>
        <w:tabs>
          <w:tab w:val="num" w:pos="5760"/>
        </w:tabs>
        <w:ind w:left="5760" w:hanging="360"/>
      </w:pPr>
      <w:rPr>
        <w:rFonts w:ascii="Courier New" w:hAnsi="Courier New" w:hint="default"/>
      </w:rPr>
    </w:lvl>
    <w:lvl w:ilvl="8" w:tplc="ACCCB61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67D7B4E"/>
    <w:multiLevelType w:val="hybridMultilevel"/>
    <w:tmpl w:val="81CAB1D2"/>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3"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DB5644F"/>
    <w:multiLevelType w:val="hybridMultilevel"/>
    <w:tmpl w:val="8BCC9C08"/>
    <w:lvl w:ilvl="0" w:tplc="5C06CB5C">
      <w:start w:val="1"/>
      <w:numFmt w:val="bullet"/>
      <w:pStyle w:val="BulletList3"/>
      <w:lvlText w:val=""/>
      <w:lvlJc w:val="left"/>
      <w:pPr>
        <w:tabs>
          <w:tab w:val="num" w:pos="1945"/>
        </w:tabs>
        <w:ind w:left="1945" w:hanging="357"/>
      </w:pPr>
      <w:rPr>
        <w:rFonts w:ascii="Symbol" w:hAnsi="Symbol" w:hint="default"/>
        <w:color w:val="000000"/>
      </w:rPr>
    </w:lvl>
    <w:lvl w:ilvl="1" w:tplc="363C2A0C" w:tentative="1">
      <w:start w:val="1"/>
      <w:numFmt w:val="bullet"/>
      <w:lvlText w:val="o"/>
      <w:lvlJc w:val="left"/>
      <w:pPr>
        <w:tabs>
          <w:tab w:val="num" w:pos="1440"/>
        </w:tabs>
        <w:ind w:left="1440" w:hanging="360"/>
      </w:pPr>
      <w:rPr>
        <w:rFonts w:ascii="Courier New" w:hAnsi="Courier New" w:cs="Courier New" w:hint="default"/>
      </w:rPr>
    </w:lvl>
    <w:lvl w:ilvl="2" w:tplc="8D9E6460" w:tentative="1">
      <w:start w:val="1"/>
      <w:numFmt w:val="bullet"/>
      <w:lvlText w:val=""/>
      <w:lvlJc w:val="left"/>
      <w:pPr>
        <w:tabs>
          <w:tab w:val="num" w:pos="2160"/>
        </w:tabs>
        <w:ind w:left="2160" w:hanging="360"/>
      </w:pPr>
      <w:rPr>
        <w:rFonts w:ascii="Wingdings" w:hAnsi="Wingdings" w:hint="default"/>
      </w:rPr>
    </w:lvl>
    <w:lvl w:ilvl="3" w:tplc="4EDA5462" w:tentative="1">
      <w:start w:val="1"/>
      <w:numFmt w:val="bullet"/>
      <w:lvlText w:val=""/>
      <w:lvlJc w:val="left"/>
      <w:pPr>
        <w:tabs>
          <w:tab w:val="num" w:pos="2880"/>
        </w:tabs>
        <w:ind w:left="2880" w:hanging="360"/>
      </w:pPr>
      <w:rPr>
        <w:rFonts w:ascii="Symbol" w:hAnsi="Symbol" w:hint="default"/>
      </w:rPr>
    </w:lvl>
    <w:lvl w:ilvl="4" w:tplc="B1C09488" w:tentative="1">
      <w:start w:val="1"/>
      <w:numFmt w:val="bullet"/>
      <w:lvlText w:val="o"/>
      <w:lvlJc w:val="left"/>
      <w:pPr>
        <w:tabs>
          <w:tab w:val="num" w:pos="3600"/>
        </w:tabs>
        <w:ind w:left="3600" w:hanging="360"/>
      </w:pPr>
      <w:rPr>
        <w:rFonts w:ascii="Courier New" w:hAnsi="Courier New" w:cs="Courier New" w:hint="default"/>
      </w:rPr>
    </w:lvl>
    <w:lvl w:ilvl="5" w:tplc="977619EA" w:tentative="1">
      <w:start w:val="1"/>
      <w:numFmt w:val="bullet"/>
      <w:lvlText w:val=""/>
      <w:lvlJc w:val="left"/>
      <w:pPr>
        <w:tabs>
          <w:tab w:val="num" w:pos="4320"/>
        </w:tabs>
        <w:ind w:left="4320" w:hanging="360"/>
      </w:pPr>
      <w:rPr>
        <w:rFonts w:ascii="Wingdings" w:hAnsi="Wingdings" w:hint="default"/>
      </w:rPr>
    </w:lvl>
    <w:lvl w:ilvl="6" w:tplc="ACC44DDC" w:tentative="1">
      <w:start w:val="1"/>
      <w:numFmt w:val="bullet"/>
      <w:lvlText w:val=""/>
      <w:lvlJc w:val="left"/>
      <w:pPr>
        <w:tabs>
          <w:tab w:val="num" w:pos="5040"/>
        </w:tabs>
        <w:ind w:left="5040" w:hanging="360"/>
      </w:pPr>
      <w:rPr>
        <w:rFonts w:ascii="Symbol" w:hAnsi="Symbol" w:hint="default"/>
      </w:rPr>
    </w:lvl>
    <w:lvl w:ilvl="7" w:tplc="5322A018" w:tentative="1">
      <w:start w:val="1"/>
      <w:numFmt w:val="bullet"/>
      <w:lvlText w:val="o"/>
      <w:lvlJc w:val="left"/>
      <w:pPr>
        <w:tabs>
          <w:tab w:val="num" w:pos="5760"/>
        </w:tabs>
        <w:ind w:left="5760" w:hanging="360"/>
      </w:pPr>
      <w:rPr>
        <w:rFonts w:ascii="Courier New" w:hAnsi="Courier New" w:cs="Courier New" w:hint="default"/>
      </w:rPr>
    </w:lvl>
    <w:lvl w:ilvl="8" w:tplc="367A3A9A"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26" w15:restartNumberingAfterBreak="0">
    <w:nsid w:val="7DB56452"/>
    <w:multiLevelType w:val="multilevel"/>
    <w:tmpl w:val="7DB56451"/>
    <w:numStyleLink w:val="ScheduleListStyle"/>
  </w:abstractNum>
  <w:abstractNum w:abstractNumId="27" w15:restartNumberingAfterBreak="0">
    <w:nsid w:val="7DB56455"/>
    <w:multiLevelType w:val="multilevel"/>
    <w:tmpl w:val="3BF216E8"/>
    <w:styleLink w:val="PartListStyle"/>
    <w:lvl w:ilvl="0">
      <w:start w:val="1"/>
      <w:numFmt w:val="decimal"/>
      <w:pStyle w:val="Part"/>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28" w15:restartNumberingAfterBreak="0">
    <w:nsid w:val="7DB56457"/>
    <w:multiLevelType w:val="multilevel"/>
    <w:tmpl w:val="3BF216E8"/>
    <w:numStyleLink w:val="PartListStyle"/>
  </w:abstractNum>
  <w:abstractNum w:abstractNumId="29" w15:restartNumberingAfterBreak="0">
    <w:nsid w:val="7DB56459"/>
    <w:multiLevelType w:val="multilevel"/>
    <w:tmpl w:val="7DB56459"/>
    <w:styleLink w:val="ClauseListStyle"/>
    <w:lvl w:ilvl="0">
      <w:start w:val="1"/>
      <w:numFmt w:val="decimal"/>
      <w:pStyle w:val="ScheduleTitleClause"/>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30" w15:restartNumberingAfterBreak="0">
    <w:nsid w:val="7DB5645A"/>
    <w:multiLevelType w:val="multilevel"/>
    <w:tmpl w:val="7DB56459"/>
    <w:numStyleLink w:val="ClauseListStyle"/>
  </w:abstractNum>
  <w:num w:numId="1" w16cid:durableId="1371300315">
    <w:abstractNumId w:val="19"/>
  </w:num>
  <w:num w:numId="2" w16cid:durableId="777600016">
    <w:abstractNumId w:val="20"/>
  </w:num>
  <w:num w:numId="3" w16cid:durableId="154415568">
    <w:abstractNumId w:val="7"/>
  </w:num>
  <w:num w:numId="4" w16cid:durableId="1822694096">
    <w:abstractNumId w:val="24"/>
  </w:num>
  <w:num w:numId="5" w16cid:durableId="1234046188">
    <w:abstractNumId w:val="23"/>
  </w:num>
  <w:num w:numId="6" w16cid:durableId="2636810">
    <w:abstractNumId w:val="2"/>
  </w:num>
  <w:num w:numId="7" w16cid:durableId="39674926">
    <w:abstractNumId w:val="9"/>
  </w:num>
  <w:num w:numId="8" w16cid:durableId="662466961">
    <w:abstractNumId w:val="8"/>
  </w:num>
  <w:num w:numId="9" w16cid:durableId="559167770">
    <w:abstractNumId w:val="4"/>
  </w:num>
  <w:num w:numId="10" w16cid:durableId="206064106">
    <w:abstractNumId w:val="16"/>
  </w:num>
  <w:num w:numId="11" w16cid:durableId="1037241235">
    <w:abstractNumId w:val="3"/>
  </w:num>
  <w:num w:numId="12" w16cid:durableId="116221396">
    <w:abstractNumId w:val="15"/>
  </w:num>
  <w:num w:numId="13" w16cid:durableId="376660890">
    <w:abstractNumId w:val="17"/>
  </w:num>
  <w:num w:numId="14" w16cid:durableId="1461877363">
    <w:abstractNumId w:val="10"/>
  </w:num>
  <w:num w:numId="15" w16cid:durableId="147551638">
    <w:abstractNumId w:val="14"/>
  </w:num>
  <w:num w:numId="16" w16cid:durableId="1982614567">
    <w:abstractNumId w:val="12"/>
  </w:num>
  <w:num w:numId="17" w16cid:durableId="517813263">
    <w:abstractNumId w:val="13"/>
  </w:num>
  <w:num w:numId="18" w16cid:durableId="1364138570">
    <w:abstractNumId w:val="11"/>
  </w:num>
  <w:num w:numId="19" w16cid:durableId="1664430334">
    <w:abstractNumId w:val="6"/>
  </w:num>
  <w:num w:numId="20" w16cid:durableId="1105273595">
    <w:abstractNumId w:val="18"/>
  </w:num>
  <w:num w:numId="21" w16cid:durableId="743991333">
    <w:abstractNumId w:val="1"/>
  </w:num>
  <w:num w:numId="22" w16cid:durableId="1874616742">
    <w:abstractNumId w:val="0"/>
  </w:num>
  <w:num w:numId="23" w16cid:durableId="376243357">
    <w:abstractNumId w:val="21"/>
  </w:num>
  <w:num w:numId="24" w16cid:durableId="1596136046">
    <w:abstractNumId w:val="0"/>
  </w:num>
  <w:num w:numId="25" w16cid:durableId="1936398639">
    <w:abstractNumId w:val="25"/>
  </w:num>
  <w:num w:numId="26" w16cid:durableId="1508710538">
    <w:abstractNumId w:val="26"/>
    <w:lvlOverride w:ilvl="0">
      <w:lvl w:ilvl="0">
        <w:start w:val="1"/>
        <w:numFmt w:val="decimal"/>
        <w:pStyle w:val="Schedule"/>
        <w:lvlText w:val="Schedule %1"/>
        <w:lvlJc w:val="left"/>
        <w:pPr>
          <w:tabs>
            <w:tab w:val="num" w:pos="0"/>
          </w:tabs>
          <w:ind w:left="360" w:hanging="360"/>
        </w:pPr>
        <w:rPr>
          <w:rFonts w:hint="default"/>
          <w:caps/>
          <w:color w:val="0000FF"/>
        </w:rPr>
      </w:lvl>
    </w:lvlOverride>
  </w:num>
  <w:num w:numId="27" w16cid:durableId="1874997891">
    <w:abstractNumId w:val="27"/>
  </w:num>
  <w:num w:numId="28" w16cid:durableId="1577323316">
    <w:abstractNumId w:val="28"/>
    <w:lvlOverride w:ilvl="0">
      <w:lvl w:ilvl="0">
        <w:start w:val="1"/>
        <w:numFmt w:val="decimal"/>
        <w:pStyle w:val="Part"/>
        <w:lvlText w:val="Part %1"/>
        <w:lvlJc w:val="left"/>
        <w:pPr>
          <w:tabs>
            <w:tab w:val="num" w:pos="0"/>
          </w:tabs>
          <w:ind w:left="357" w:hanging="357"/>
        </w:pPr>
        <w:rPr>
          <w:rFonts w:hint="default"/>
          <w:color w:val="009999"/>
        </w:rPr>
      </w:lvl>
    </w:lvlOverride>
  </w:num>
  <w:num w:numId="29" w16cid:durableId="1094128277">
    <w:abstractNumId w:val="29"/>
  </w:num>
  <w:num w:numId="30" w16cid:durableId="1168978775">
    <w:abstractNumId w:val="30"/>
  </w:num>
  <w:num w:numId="31" w16cid:durableId="1425881671">
    <w:abstractNumId w:val="28"/>
    <w:lvlOverride w:ilvl="0">
      <w:lvl w:ilvl="0">
        <w:start w:val="1"/>
        <w:numFmt w:val="decimal"/>
        <w:pStyle w:val="Part"/>
        <w:lvlText w:val="Part %1"/>
        <w:lvlJc w:val="left"/>
        <w:pPr>
          <w:tabs>
            <w:tab w:val="num" w:pos="0"/>
          </w:tabs>
          <w:ind w:left="357" w:hanging="357"/>
        </w:pPr>
        <w:rPr>
          <w:rFonts w:hint="default"/>
          <w:color w:val="009999"/>
        </w:rPr>
      </w:lvl>
    </w:lvlOverride>
  </w:num>
  <w:num w:numId="32" w16cid:durableId="1327322126">
    <w:abstractNumId w:val="22"/>
  </w:num>
  <w:num w:numId="33" w16cid:durableId="91904602">
    <w:abstractNumId w:val="28"/>
    <w:lvlOverride w:ilvl="0">
      <w:lvl w:ilvl="0">
        <w:start w:val="1"/>
        <w:numFmt w:val="decimal"/>
        <w:pStyle w:val="Part"/>
        <w:lvlText w:val="Part %1"/>
        <w:lvlJc w:val="left"/>
        <w:pPr>
          <w:tabs>
            <w:tab w:val="num" w:pos="0"/>
          </w:tabs>
          <w:ind w:left="357" w:hanging="357"/>
        </w:pPr>
        <w:rPr>
          <w:rFonts w:hint="default"/>
          <w:color w:val="009999"/>
        </w:rPr>
      </w:lvl>
    </w:lvlOverride>
    <w:lvlOverride w:ilvl="1">
      <w:lvl w:ilvl="1">
        <w:numFmt w:val="none"/>
        <w:lvlRestart w:val="0"/>
        <w:suff w:val="nothing"/>
        <w:lvlText w:val=""/>
        <w:lvlJc w:val="left"/>
        <w:pPr>
          <w:tabs>
            <w:tab w:val="num" w:pos="0"/>
          </w:tabs>
          <w:ind w:left="0" w:firstLine="0"/>
        </w:pPr>
      </w:lvl>
    </w:lvlOverride>
    <w:lvlOverride w:ilvl="2">
      <w:lvl w:ilvl="2">
        <w:numFmt w:val="none"/>
        <w:lvlRestart w:val="0"/>
        <w:suff w:val="nothing"/>
        <w:lvlText w:val=""/>
        <w:lvlJc w:val="left"/>
        <w:pPr>
          <w:tabs>
            <w:tab w:val="num" w:pos="0"/>
          </w:tabs>
          <w:ind w:left="0" w:firstLine="0"/>
        </w:pPr>
      </w:lvl>
    </w:lvlOverride>
    <w:lvlOverride w:ilvl="3">
      <w:lvl w:ilvl="3">
        <w:numFmt w:val="none"/>
        <w:lvlRestart w:val="0"/>
        <w:suff w:val="nothing"/>
        <w:lvlText w:val=""/>
        <w:lvlJc w:val="left"/>
        <w:pPr>
          <w:tabs>
            <w:tab w:val="num" w:pos="0"/>
          </w:tabs>
          <w:ind w:left="0" w:firstLine="0"/>
        </w:pPr>
      </w:lvl>
    </w:lvlOverride>
    <w:lvlOverride w:ilvl="4">
      <w:lvl w:ilvl="4">
        <w:numFmt w:val="none"/>
        <w:lvlRestart w:val="0"/>
        <w:suff w:val="nothing"/>
        <w:lvlText w:val=""/>
        <w:lvlJc w:val="left"/>
        <w:pPr>
          <w:tabs>
            <w:tab w:val="num" w:pos="0"/>
          </w:tabs>
          <w:ind w:left="0" w:firstLine="0"/>
        </w:pPr>
      </w:lvl>
    </w:lvlOverride>
    <w:lvlOverride w:ilvl="5">
      <w:lvl w:ilvl="5">
        <w:numFmt w:val="none"/>
        <w:lvlRestart w:val="0"/>
        <w:suff w:val="nothing"/>
        <w:lvlText w:val=""/>
        <w:lvlJc w:val="left"/>
        <w:pPr>
          <w:tabs>
            <w:tab w:val="num" w:pos="0"/>
          </w:tabs>
          <w:ind w:left="0" w:firstLine="0"/>
        </w:pPr>
      </w:lvl>
    </w:lvlOverride>
    <w:lvlOverride w:ilvl="6">
      <w:lvl w:ilvl="6">
        <w:numFmt w:val="none"/>
        <w:lvlRestart w:val="0"/>
        <w:suff w:val="nothing"/>
        <w:lvlText w:val=""/>
        <w:lvlJc w:val="left"/>
        <w:pPr>
          <w:tabs>
            <w:tab w:val="num" w:pos="0"/>
          </w:tabs>
          <w:ind w:left="0" w:firstLine="0"/>
        </w:pPr>
      </w:lvl>
    </w:lvlOverride>
    <w:lvlOverride w:ilvl="7">
      <w:lvl w:ilvl="7">
        <w:numFmt w:val="none"/>
        <w:lvlRestart w:val="0"/>
        <w:suff w:val="nothing"/>
        <w:lvlText w:val=""/>
        <w:lvlJc w:val="left"/>
        <w:pPr>
          <w:tabs>
            <w:tab w:val="num" w:pos="0"/>
          </w:tabs>
          <w:ind w:left="0" w:firstLine="0"/>
        </w:pPr>
      </w:lvl>
    </w:lvlOverride>
    <w:lvlOverride w:ilvl="8">
      <w:lvl w:ilvl="8">
        <w:numFmt w:val="none"/>
        <w:lvlRestart w:val="0"/>
        <w:suff w:val="nothing"/>
        <w:lvlText w:val=""/>
        <w:lvlJc w:val="left"/>
        <w:pPr>
          <w:tabs>
            <w:tab w:val="num" w:pos="0"/>
          </w:tabs>
          <w:ind w:left="0" w:firstLine="0"/>
        </w:pPr>
      </w:lvl>
    </w:lvlOverride>
  </w:num>
  <w:num w:numId="34" w16cid:durableId="224995598">
    <w:abstractNumId w:val="28"/>
    <w:lvlOverride w:ilvl="0">
      <w:startOverride w:val="1"/>
      <w:lvl w:ilvl="0">
        <w:start w:val="1"/>
        <w:numFmt w:val="decimal"/>
        <w:pStyle w:val="Part"/>
        <w:lvlText w:val="Part %1"/>
        <w:lvlJc w:val="left"/>
        <w:pPr>
          <w:tabs>
            <w:tab w:val="num" w:pos="0"/>
          </w:tabs>
          <w:ind w:left="357" w:hanging="357"/>
        </w:pPr>
        <w:rPr>
          <w:rFonts w:hint="default"/>
          <w:color w:val="009999"/>
        </w:rPr>
      </w:lvl>
    </w:lvlOverride>
    <w:lvlOverride w:ilvl="1">
      <w:lvl w:ilvl="1">
        <w:numFmt w:val="none"/>
        <w:lvlRestart w:val="0"/>
        <w:suff w:val="nothing"/>
        <w:lvlText w:val=""/>
        <w:lvlJc w:val="left"/>
        <w:pPr>
          <w:tabs>
            <w:tab w:val="num" w:pos="0"/>
          </w:tabs>
          <w:ind w:left="0" w:firstLine="0"/>
        </w:pPr>
      </w:lvl>
    </w:lvlOverride>
    <w:lvlOverride w:ilvl="2">
      <w:lvl w:ilvl="2">
        <w:numFmt w:val="none"/>
        <w:lvlRestart w:val="0"/>
        <w:suff w:val="nothing"/>
        <w:lvlText w:val=""/>
        <w:lvlJc w:val="left"/>
        <w:pPr>
          <w:tabs>
            <w:tab w:val="num" w:pos="0"/>
          </w:tabs>
          <w:ind w:left="0" w:firstLine="0"/>
        </w:pPr>
      </w:lvl>
    </w:lvlOverride>
    <w:lvlOverride w:ilvl="3">
      <w:lvl w:ilvl="3">
        <w:numFmt w:val="none"/>
        <w:lvlRestart w:val="0"/>
        <w:suff w:val="nothing"/>
        <w:lvlText w:val=""/>
        <w:lvlJc w:val="left"/>
        <w:pPr>
          <w:tabs>
            <w:tab w:val="num" w:pos="0"/>
          </w:tabs>
          <w:ind w:left="0" w:firstLine="0"/>
        </w:pPr>
      </w:lvl>
    </w:lvlOverride>
    <w:lvlOverride w:ilvl="4">
      <w:lvl w:ilvl="4">
        <w:numFmt w:val="none"/>
        <w:lvlRestart w:val="0"/>
        <w:suff w:val="nothing"/>
        <w:lvlText w:val=""/>
        <w:lvlJc w:val="left"/>
        <w:pPr>
          <w:tabs>
            <w:tab w:val="num" w:pos="0"/>
          </w:tabs>
          <w:ind w:left="0" w:firstLine="0"/>
        </w:pPr>
      </w:lvl>
    </w:lvlOverride>
    <w:lvlOverride w:ilvl="5">
      <w:lvl w:ilvl="5">
        <w:numFmt w:val="none"/>
        <w:lvlRestart w:val="0"/>
        <w:suff w:val="nothing"/>
        <w:lvlText w:val=""/>
        <w:lvlJc w:val="left"/>
        <w:pPr>
          <w:tabs>
            <w:tab w:val="num" w:pos="0"/>
          </w:tabs>
          <w:ind w:left="0" w:firstLine="0"/>
        </w:pPr>
      </w:lvl>
    </w:lvlOverride>
    <w:lvlOverride w:ilvl="6">
      <w:lvl w:ilvl="6">
        <w:numFmt w:val="none"/>
        <w:lvlRestart w:val="0"/>
        <w:suff w:val="nothing"/>
        <w:lvlText w:val=""/>
        <w:lvlJc w:val="left"/>
        <w:pPr>
          <w:tabs>
            <w:tab w:val="num" w:pos="0"/>
          </w:tabs>
          <w:ind w:left="0" w:firstLine="0"/>
        </w:pPr>
      </w:lvl>
    </w:lvlOverride>
    <w:lvlOverride w:ilvl="7">
      <w:lvl w:ilvl="7">
        <w:numFmt w:val="none"/>
        <w:lvlRestart w:val="0"/>
        <w:suff w:val="nothing"/>
        <w:lvlText w:val=""/>
        <w:lvlJc w:val="left"/>
        <w:pPr>
          <w:tabs>
            <w:tab w:val="num" w:pos="0"/>
          </w:tabs>
          <w:ind w:left="0" w:firstLine="0"/>
        </w:pPr>
      </w:lvl>
    </w:lvlOverride>
    <w:lvlOverride w:ilvl="8">
      <w:lvl w:ilvl="8">
        <w:numFmt w:val="none"/>
        <w:lvlRestart w:val="0"/>
        <w:suff w:val="nothing"/>
        <w:lvlText w:val=""/>
        <w:lvlJc w:val="left"/>
        <w:pPr>
          <w:tabs>
            <w:tab w:val="num" w:pos="0"/>
          </w:tabs>
          <w:ind w:left="0" w:firstLine="0"/>
        </w:pPr>
      </w:lvl>
    </w:lvlOverride>
  </w:num>
  <w:num w:numId="35" w16cid:durableId="609435762">
    <w:abstractNumId w:val="5"/>
  </w:num>
  <w:num w:numId="36" w16cid:durableId="153884655">
    <w:abstractNumId w:val="28"/>
    <w:lvlOverride w:ilvl="0">
      <w:startOverride w:val="1"/>
      <w:lvl w:ilvl="0">
        <w:start w:val="1"/>
        <w:numFmt w:val="decimal"/>
        <w:pStyle w:val="Part"/>
        <w:lvlText w:val="Part %1"/>
        <w:lvlJc w:val="left"/>
        <w:pPr>
          <w:tabs>
            <w:tab w:val="num" w:pos="0"/>
          </w:tabs>
          <w:ind w:left="357" w:hanging="357"/>
        </w:pPr>
        <w:rPr>
          <w:rFonts w:hint="default"/>
          <w:color w:val="009999"/>
        </w:rPr>
      </w:lvl>
    </w:lvlOverride>
    <w:lvlOverride w:ilvl="1">
      <w:lvl w:ilvl="1">
        <w:numFmt w:val="none"/>
        <w:lvlRestart w:val="0"/>
        <w:suff w:val="nothing"/>
        <w:lvlText w:val=""/>
        <w:lvlJc w:val="left"/>
        <w:pPr>
          <w:tabs>
            <w:tab w:val="num" w:pos="0"/>
          </w:tabs>
          <w:ind w:left="0" w:firstLine="0"/>
        </w:pPr>
      </w:lvl>
    </w:lvlOverride>
    <w:lvlOverride w:ilvl="2">
      <w:lvl w:ilvl="2">
        <w:numFmt w:val="none"/>
        <w:lvlRestart w:val="0"/>
        <w:suff w:val="nothing"/>
        <w:lvlText w:val=""/>
        <w:lvlJc w:val="left"/>
        <w:pPr>
          <w:tabs>
            <w:tab w:val="num" w:pos="0"/>
          </w:tabs>
          <w:ind w:left="0" w:firstLine="0"/>
        </w:pPr>
      </w:lvl>
    </w:lvlOverride>
    <w:lvlOverride w:ilvl="3">
      <w:lvl w:ilvl="3">
        <w:numFmt w:val="none"/>
        <w:lvlRestart w:val="0"/>
        <w:suff w:val="nothing"/>
        <w:lvlText w:val=""/>
        <w:lvlJc w:val="left"/>
        <w:pPr>
          <w:tabs>
            <w:tab w:val="num" w:pos="0"/>
          </w:tabs>
          <w:ind w:left="0" w:firstLine="0"/>
        </w:pPr>
      </w:lvl>
    </w:lvlOverride>
    <w:lvlOverride w:ilvl="4">
      <w:lvl w:ilvl="4">
        <w:numFmt w:val="none"/>
        <w:lvlRestart w:val="0"/>
        <w:suff w:val="nothing"/>
        <w:lvlText w:val=""/>
        <w:lvlJc w:val="left"/>
        <w:pPr>
          <w:tabs>
            <w:tab w:val="num" w:pos="0"/>
          </w:tabs>
          <w:ind w:left="0" w:firstLine="0"/>
        </w:pPr>
      </w:lvl>
    </w:lvlOverride>
    <w:lvlOverride w:ilvl="5">
      <w:lvl w:ilvl="5">
        <w:numFmt w:val="none"/>
        <w:lvlRestart w:val="0"/>
        <w:suff w:val="nothing"/>
        <w:lvlText w:val=""/>
        <w:lvlJc w:val="left"/>
        <w:pPr>
          <w:tabs>
            <w:tab w:val="num" w:pos="0"/>
          </w:tabs>
          <w:ind w:left="0" w:firstLine="0"/>
        </w:pPr>
      </w:lvl>
    </w:lvlOverride>
    <w:lvlOverride w:ilvl="6">
      <w:lvl w:ilvl="6">
        <w:numFmt w:val="none"/>
        <w:lvlRestart w:val="0"/>
        <w:suff w:val="nothing"/>
        <w:lvlText w:val=""/>
        <w:lvlJc w:val="left"/>
        <w:pPr>
          <w:tabs>
            <w:tab w:val="num" w:pos="0"/>
          </w:tabs>
          <w:ind w:left="0" w:firstLine="0"/>
        </w:pPr>
      </w:lvl>
    </w:lvlOverride>
    <w:lvlOverride w:ilvl="7">
      <w:lvl w:ilvl="7">
        <w:numFmt w:val="none"/>
        <w:lvlRestart w:val="0"/>
        <w:suff w:val="nothing"/>
        <w:lvlText w:val=""/>
        <w:lvlJc w:val="left"/>
        <w:pPr>
          <w:tabs>
            <w:tab w:val="num" w:pos="0"/>
          </w:tabs>
          <w:ind w:left="0" w:firstLine="0"/>
        </w:pPr>
      </w:lvl>
    </w:lvlOverride>
    <w:lvlOverride w:ilvl="8">
      <w:lvl w:ilvl="8">
        <w:numFmt w:val="none"/>
        <w:lvlRestart w:val="0"/>
        <w:suff w:val="nothing"/>
        <w:lvlText w:val=""/>
        <w:lvlJc w:val="left"/>
        <w:pPr>
          <w:tabs>
            <w:tab w:val="num" w:pos="0"/>
          </w:tabs>
          <w:ind w:left="0" w:firstLine="0"/>
        </w:pPr>
      </w:lvl>
    </w:lvlOverride>
  </w:num>
  <w:num w:numId="37" w16cid:durableId="611909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057214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759907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24459388">
    <w:abstractNumId w:val="0"/>
  </w:num>
  <w:num w:numId="41" w16cid:durableId="1397628706">
    <w:abstractNumId w:val="0"/>
  </w:num>
  <w:num w:numId="42" w16cid:durableId="1663463755">
    <w:abstractNumId w:val="0"/>
  </w:num>
  <w:num w:numId="43" w16cid:durableId="432745011">
    <w:abstractNumId w:val="0"/>
  </w:num>
  <w:num w:numId="44" w16cid:durableId="910963100">
    <w:abstractNumId w:val="30"/>
  </w:num>
  <w:num w:numId="45" w16cid:durableId="425074690">
    <w:abstractNumId w:val="28"/>
    <w:lvlOverride w:ilvl="0">
      <w:lvl w:ilvl="0">
        <w:start w:val="1"/>
        <w:numFmt w:val="decimal"/>
        <w:pStyle w:val="Part"/>
        <w:lvlText w:val="Part %1"/>
        <w:lvlJc w:val="left"/>
        <w:pPr>
          <w:tabs>
            <w:tab w:val="num" w:pos="0"/>
          </w:tabs>
          <w:ind w:left="357" w:hanging="357"/>
        </w:pPr>
        <w:rPr>
          <w:rFonts w:hint="default"/>
          <w:color w:val="009999"/>
        </w:rPr>
      </w:lvl>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0d__x000a_  &lt;Precedent&gt;agreement&lt;/Precedent&gt;_x000d__x000a_  &lt;Operative&gt;clause&lt;/Operative&gt;_x000d__x000a_  &lt;TemplateType&gt;null&lt;/TemplateType&gt;_x000d__x000a_  &lt;SignaturePageBreakType&gt;No&lt;/SignaturePageBreakType&gt;_x000d__x000a_&lt;/docParts&gt;"/>
    <w:docVar w:name="gentXMLPartID" w:val="{65E89537-668A-403C-9462-F494957E0799}"/>
  </w:docVars>
  <w:rsids>
    <w:rsidRoot w:val="004407B1"/>
    <w:rsid w:val="00021987"/>
    <w:rsid w:val="000348D1"/>
    <w:rsid w:val="000548D4"/>
    <w:rsid w:val="00062EE7"/>
    <w:rsid w:val="0009615C"/>
    <w:rsid w:val="000D7269"/>
    <w:rsid w:val="00102F86"/>
    <w:rsid w:val="001146B0"/>
    <w:rsid w:val="001524DE"/>
    <w:rsid w:val="00162215"/>
    <w:rsid w:val="00175BE2"/>
    <w:rsid w:val="00175F18"/>
    <w:rsid w:val="0019328B"/>
    <w:rsid w:val="001B1624"/>
    <w:rsid w:val="001B4134"/>
    <w:rsid w:val="001D015E"/>
    <w:rsid w:val="001D7A0D"/>
    <w:rsid w:val="00215F11"/>
    <w:rsid w:val="00231914"/>
    <w:rsid w:val="002414D8"/>
    <w:rsid w:val="002815B3"/>
    <w:rsid w:val="0028313A"/>
    <w:rsid w:val="002D2685"/>
    <w:rsid w:val="002D528A"/>
    <w:rsid w:val="003068E2"/>
    <w:rsid w:val="00307BEC"/>
    <w:rsid w:val="00325DC7"/>
    <w:rsid w:val="00340DA6"/>
    <w:rsid w:val="003427A4"/>
    <w:rsid w:val="00346F88"/>
    <w:rsid w:val="0037437B"/>
    <w:rsid w:val="00377B8B"/>
    <w:rsid w:val="003D202A"/>
    <w:rsid w:val="003F5F2C"/>
    <w:rsid w:val="00416FC0"/>
    <w:rsid w:val="00424188"/>
    <w:rsid w:val="004407B1"/>
    <w:rsid w:val="00445BD3"/>
    <w:rsid w:val="004839D8"/>
    <w:rsid w:val="004923E4"/>
    <w:rsid w:val="004A2262"/>
    <w:rsid w:val="004A632E"/>
    <w:rsid w:val="004A65CC"/>
    <w:rsid w:val="00502111"/>
    <w:rsid w:val="005028E0"/>
    <w:rsid w:val="0050565C"/>
    <w:rsid w:val="00505A0F"/>
    <w:rsid w:val="00511203"/>
    <w:rsid w:val="00514A5E"/>
    <w:rsid w:val="00522EB2"/>
    <w:rsid w:val="005A315D"/>
    <w:rsid w:val="005E6F3F"/>
    <w:rsid w:val="005F25C4"/>
    <w:rsid w:val="006044A0"/>
    <w:rsid w:val="00606375"/>
    <w:rsid w:val="006078A8"/>
    <w:rsid w:val="00614A39"/>
    <w:rsid w:val="00651201"/>
    <w:rsid w:val="00654104"/>
    <w:rsid w:val="00676AA2"/>
    <w:rsid w:val="00682FF9"/>
    <w:rsid w:val="006876EC"/>
    <w:rsid w:val="00687C0C"/>
    <w:rsid w:val="006A723B"/>
    <w:rsid w:val="006B1E3C"/>
    <w:rsid w:val="006B3B4D"/>
    <w:rsid w:val="006C4AF4"/>
    <w:rsid w:val="006D0D62"/>
    <w:rsid w:val="006F4EB4"/>
    <w:rsid w:val="00746829"/>
    <w:rsid w:val="007623F6"/>
    <w:rsid w:val="0076491A"/>
    <w:rsid w:val="00765925"/>
    <w:rsid w:val="007833FC"/>
    <w:rsid w:val="007B07EA"/>
    <w:rsid w:val="00805FA0"/>
    <w:rsid w:val="00826401"/>
    <w:rsid w:val="00826874"/>
    <w:rsid w:val="008303C6"/>
    <w:rsid w:val="00841BB0"/>
    <w:rsid w:val="0085083F"/>
    <w:rsid w:val="00854786"/>
    <w:rsid w:val="0088423F"/>
    <w:rsid w:val="00894C14"/>
    <w:rsid w:val="008A657B"/>
    <w:rsid w:val="008C0267"/>
    <w:rsid w:val="008D18BA"/>
    <w:rsid w:val="008E0A0A"/>
    <w:rsid w:val="008F30C7"/>
    <w:rsid w:val="00907BEB"/>
    <w:rsid w:val="00916224"/>
    <w:rsid w:val="009371CE"/>
    <w:rsid w:val="0094077D"/>
    <w:rsid w:val="00982DBF"/>
    <w:rsid w:val="009A238E"/>
    <w:rsid w:val="009B79EC"/>
    <w:rsid w:val="009C6D3D"/>
    <w:rsid w:val="009E5A66"/>
    <w:rsid w:val="00A038EE"/>
    <w:rsid w:val="00A1759D"/>
    <w:rsid w:val="00A3506D"/>
    <w:rsid w:val="00A36B2D"/>
    <w:rsid w:val="00A55636"/>
    <w:rsid w:val="00A63699"/>
    <w:rsid w:val="00A64DBD"/>
    <w:rsid w:val="00A85B72"/>
    <w:rsid w:val="00A90DA2"/>
    <w:rsid w:val="00AA6D76"/>
    <w:rsid w:val="00AB54DA"/>
    <w:rsid w:val="00AE29B9"/>
    <w:rsid w:val="00AE68A9"/>
    <w:rsid w:val="00B06F70"/>
    <w:rsid w:val="00B13F75"/>
    <w:rsid w:val="00B51744"/>
    <w:rsid w:val="00B65059"/>
    <w:rsid w:val="00B716DA"/>
    <w:rsid w:val="00B80336"/>
    <w:rsid w:val="00B8312E"/>
    <w:rsid w:val="00B84159"/>
    <w:rsid w:val="00BA1BD3"/>
    <w:rsid w:val="00BA26AA"/>
    <w:rsid w:val="00BB3E5C"/>
    <w:rsid w:val="00BC3B3D"/>
    <w:rsid w:val="00BD7FC8"/>
    <w:rsid w:val="00BE5E6E"/>
    <w:rsid w:val="00BF7230"/>
    <w:rsid w:val="00C06DBC"/>
    <w:rsid w:val="00C16CB2"/>
    <w:rsid w:val="00C20D89"/>
    <w:rsid w:val="00C246D3"/>
    <w:rsid w:val="00C422E8"/>
    <w:rsid w:val="00C57A4B"/>
    <w:rsid w:val="00C629F9"/>
    <w:rsid w:val="00CA6115"/>
    <w:rsid w:val="00CA7072"/>
    <w:rsid w:val="00CC3042"/>
    <w:rsid w:val="00CD2943"/>
    <w:rsid w:val="00CE2932"/>
    <w:rsid w:val="00CE739D"/>
    <w:rsid w:val="00CF405F"/>
    <w:rsid w:val="00D1381E"/>
    <w:rsid w:val="00D25307"/>
    <w:rsid w:val="00D33358"/>
    <w:rsid w:val="00D8247A"/>
    <w:rsid w:val="00DC5B8E"/>
    <w:rsid w:val="00DF3156"/>
    <w:rsid w:val="00DF5481"/>
    <w:rsid w:val="00E14261"/>
    <w:rsid w:val="00E22E8E"/>
    <w:rsid w:val="00E27BF6"/>
    <w:rsid w:val="00E36532"/>
    <w:rsid w:val="00E45C2E"/>
    <w:rsid w:val="00E5757C"/>
    <w:rsid w:val="00E639B4"/>
    <w:rsid w:val="00E73CDB"/>
    <w:rsid w:val="00E90145"/>
    <w:rsid w:val="00F15624"/>
    <w:rsid w:val="00F17DE0"/>
    <w:rsid w:val="00F22470"/>
    <w:rsid w:val="00F232A3"/>
    <w:rsid w:val="00F4170D"/>
    <w:rsid w:val="00F52633"/>
    <w:rsid w:val="00F6089B"/>
    <w:rsid w:val="00F717B5"/>
    <w:rsid w:val="00F83A91"/>
    <w:rsid w:val="00F902A1"/>
    <w:rsid w:val="00F914B9"/>
    <w:rsid w:val="00FA20CF"/>
    <w:rsid w:val="00FB4893"/>
    <w:rsid w:val="00FC51BA"/>
    <w:rsid w:val="00FC5906"/>
    <w:rsid w:val="00FE57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20C06"/>
  <w15:docId w15:val="{49B1EE60-96FC-4E5E-AECD-CB2577BE5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2924"/>
    <w:pPr>
      <w:spacing w:line="240" w:lineRule="atLeast"/>
    </w:pPr>
    <w:rPr>
      <w:rFonts w:ascii="Arial" w:eastAsia="Arial" w:hAnsi="Arial" w:cs="Arial"/>
      <w:color w:val="000000"/>
    </w:rPr>
  </w:style>
  <w:style w:type="paragraph" w:styleId="Heading1">
    <w:name w:val="heading 1"/>
    <w:basedOn w:val="Normal"/>
    <w:next w:val="Normal"/>
    <w:link w:val="Heading1Char"/>
    <w:uiPriority w:val="9"/>
    <w:qFormat/>
    <w:rsid w:val="00622924"/>
    <w:pPr>
      <w:keepNext/>
      <w:keepLines/>
      <w:numPr>
        <w:numId w:val="10"/>
      </w:numPr>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622924"/>
    <w:pPr>
      <w:keepNext/>
      <w:keepLines/>
      <w:numPr>
        <w:ilvl w:val="1"/>
        <w:numId w:val="10"/>
      </w:num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622924"/>
    <w:pPr>
      <w:keepNext/>
      <w:keepLines/>
      <w:numPr>
        <w:ilvl w:val="2"/>
        <w:numId w:val="10"/>
      </w:numPr>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622924"/>
    <w:pPr>
      <w:keepNext/>
      <w:keepLines/>
      <w:numPr>
        <w:ilvl w:val="3"/>
        <w:numId w:val="10"/>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622924"/>
    <w:pPr>
      <w:keepNext/>
      <w:keepLines/>
      <w:numPr>
        <w:ilvl w:val="4"/>
        <w:numId w:val="10"/>
      </w:numPr>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622924"/>
    <w:pPr>
      <w:keepNext/>
      <w:keepLines/>
      <w:numPr>
        <w:ilvl w:val="5"/>
        <w:numId w:val="10"/>
      </w:numPr>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622924"/>
    <w:pPr>
      <w:keepNext/>
      <w:keepLines/>
      <w:numPr>
        <w:ilvl w:val="6"/>
        <w:numId w:val="10"/>
      </w:numPr>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622924"/>
    <w:pPr>
      <w:keepNext/>
      <w:keepLines/>
      <w:numPr>
        <w:ilvl w:val="7"/>
        <w:numId w:val="10"/>
      </w:numPr>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622924"/>
    <w:pPr>
      <w:keepNext/>
      <w:keepLines/>
      <w:numPr>
        <w:ilvl w:val="8"/>
        <w:numId w:val="10"/>
      </w:numPr>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229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2924"/>
    <w:rPr>
      <w:rFonts w:ascii="Tahoma" w:hAnsi="Tahoma" w:cs="Tahoma"/>
      <w:color w:val="000000"/>
      <w:sz w:val="16"/>
      <w:szCs w:val="16"/>
    </w:rPr>
  </w:style>
  <w:style w:type="paragraph" w:styleId="Header">
    <w:name w:val="header"/>
    <w:basedOn w:val="Normal"/>
    <w:link w:val="HeaderChar"/>
    <w:uiPriority w:val="99"/>
    <w:unhideWhenUsed/>
    <w:rsid w:val="006229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2924"/>
    <w:rPr>
      <w:color w:val="000000"/>
    </w:rPr>
  </w:style>
  <w:style w:type="paragraph" w:styleId="Footer">
    <w:name w:val="footer"/>
    <w:basedOn w:val="Normal"/>
    <w:link w:val="FooterChar"/>
    <w:rsid w:val="00622924"/>
    <w:pPr>
      <w:tabs>
        <w:tab w:val="center" w:pos="4153"/>
        <w:tab w:val="right" w:pos="8306"/>
      </w:tabs>
      <w:spacing w:after="240" w:line="300" w:lineRule="atLeast"/>
      <w:jc w:val="both"/>
    </w:pPr>
    <w:rPr>
      <w:rFonts w:ascii="Times New Roman" w:eastAsia="Times New Roman" w:hAnsi="Times New Roman" w:cs="Times New Roman"/>
      <w:szCs w:val="20"/>
      <w:lang w:eastAsia="en-US"/>
    </w:rPr>
  </w:style>
  <w:style w:type="character" w:customStyle="1" w:styleId="FooterChar">
    <w:name w:val="Footer Char"/>
    <w:basedOn w:val="DefaultParagraphFont"/>
    <w:link w:val="Footer"/>
    <w:rsid w:val="00622924"/>
    <w:rPr>
      <w:rFonts w:ascii="Times New Roman" w:eastAsia="Times New Roman" w:hAnsi="Times New Roman" w:cs="Times New Roman"/>
      <w:color w:val="000000"/>
      <w:szCs w:val="20"/>
      <w:lang w:eastAsia="en-US"/>
    </w:rPr>
  </w:style>
  <w:style w:type="character" w:customStyle="1" w:styleId="Heading1Char">
    <w:name w:val="Heading 1 Char"/>
    <w:basedOn w:val="DefaultParagraphFont"/>
    <w:link w:val="Heading1"/>
    <w:uiPriority w:val="9"/>
    <w:rsid w:val="00622924"/>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622924"/>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622924"/>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622924"/>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622924"/>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622924"/>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622924"/>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622924"/>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622924"/>
    <w:rPr>
      <w:rFonts w:asciiTheme="majorHAnsi" w:eastAsiaTheme="majorEastAsia" w:hAnsiTheme="majorHAnsi" w:cstheme="majorBidi"/>
      <w:i/>
      <w:iCs/>
      <w:color w:val="000000"/>
      <w:sz w:val="20"/>
      <w:szCs w:val="20"/>
    </w:rPr>
  </w:style>
  <w:style w:type="character" w:styleId="PlaceholderText">
    <w:name w:val="Placeholder Text"/>
    <w:basedOn w:val="DefaultParagraphFont"/>
    <w:uiPriority w:val="99"/>
    <w:rsid w:val="00622924"/>
    <w:rPr>
      <w:color w:val="000000"/>
    </w:rPr>
  </w:style>
  <w:style w:type="paragraph" w:customStyle="1" w:styleId="Abstract">
    <w:name w:val="Abstract"/>
    <w:link w:val="AbstractChar"/>
    <w:rsid w:val="00622924"/>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622924"/>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622924"/>
    <w:pPr>
      <w:numPr>
        <w:numId w:val="11"/>
      </w:numPr>
      <w:spacing w:before="240" w:after="240"/>
    </w:pPr>
    <w:rPr>
      <w:b/>
    </w:rPr>
  </w:style>
  <w:style w:type="paragraph" w:customStyle="1" w:styleId="AuthoringGroup">
    <w:name w:val="Authoring Group"/>
    <w:link w:val="AuthoringGroupChar"/>
    <w:rsid w:val="00622924"/>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622924"/>
    <w:rPr>
      <w:rFonts w:ascii="Arial" w:eastAsia="Arial Unicode MS" w:hAnsi="Arial" w:cs="Arial"/>
      <w:color w:val="000000"/>
      <w:sz w:val="24"/>
      <w:lang w:val="en-US" w:eastAsia="en-US"/>
    </w:rPr>
  </w:style>
  <w:style w:type="paragraph" w:customStyle="1" w:styleId="Background">
    <w:name w:val="Background"/>
    <w:aliases w:val="(A) Background"/>
    <w:basedOn w:val="Normal"/>
    <w:rsid w:val="00622924"/>
    <w:pPr>
      <w:numPr>
        <w:numId w:val="1"/>
      </w:numPr>
      <w:spacing w:before="120" w:after="120" w:line="300" w:lineRule="atLeast"/>
      <w:jc w:val="both"/>
    </w:pPr>
    <w:rPr>
      <w:rFonts w:eastAsia="Arial Unicode MS"/>
      <w:szCs w:val="20"/>
      <w:lang w:eastAsia="en-US"/>
    </w:rPr>
  </w:style>
  <w:style w:type="paragraph" w:customStyle="1" w:styleId="BulletList1">
    <w:name w:val="Bullet List 1"/>
    <w:aliases w:val="Bullet1"/>
    <w:basedOn w:val="Normal"/>
    <w:link w:val="BulletList1Char"/>
    <w:rsid w:val="00622924"/>
    <w:pPr>
      <w:numPr>
        <w:numId w:val="2"/>
      </w:numPr>
      <w:spacing w:after="240" w:line="300" w:lineRule="atLeast"/>
      <w:jc w:val="both"/>
    </w:pPr>
    <w:rPr>
      <w:rFonts w:eastAsia="Arial Unicode MS"/>
      <w:szCs w:val="20"/>
      <w:lang w:eastAsia="en-US"/>
    </w:rPr>
  </w:style>
  <w:style w:type="paragraph" w:customStyle="1" w:styleId="BulletList2">
    <w:name w:val="Bullet List 2"/>
    <w:aliases w:val="Bullet2"/>
    <w:basedOn w:val="Normal"/>
    <w:rsid w:val="00622924"/>
    <w:pPr>
      <w:numPr>
        <w:numId w:val="3"/>
      </w:numPr>
      <w:spacing w:after="120" w:line="240" w:lineRule="auto"/>
      <w:ind w:left="1080" w:hanging="720"/>
      <w:jc w:val="both"/>
    </w:pPr>
    <w:rPr>
      <w:rFonts w:eastAsia="Arial Unicode MS"/>
      <w:szCs w:val="20"/>
      <w:lang w:eastAsia="en-US"/>
    </w:rPr>
  </w:style>
  <w:style w:type="paragraph" w:customStyle="1" w:styleId="BulletList3">
    <w:name w:val="Bullet List 3"/>
    <w:aliases w:val="Bullet3"/>
    <w:basedOn w:val="Normal"/>
    <w:rsid w:val="00622924"/>
    <w:pPr>
      <w:numPr>
        <w:numId w:val="4"/>
      </w:numPr>
      <w:spacing w:after="240" w:line="240" w:lineRule="auto"/>
      <w:jc w:val="both"/>
    </w:pPr>
    <w:rPr>
      <w:rFonts w:eastAsia="Arial Unicode MS"/>
      <w:szCs w:val="20"/>
      <w:lang w:eastAsia="en-US"/>
    </w:rPr>
  </w:style>
  <w:style w:type="paragraph" w:customStyle="1" w:styleId="TitleClause">
    <w:name w:val="Title Clause"/>
    <w:basedOn w:val="Normal"/>
    <w:link w:val="TitleClauseChar"/>
    <w:rsid w:val="00622924"/>
    <w:pPr>
      <w:keepNext/>
      <w:numPr>
        <w:numId w:val="24"/>
      </w:numPr>
      <w:spacing w:before="240" w:after="240" w:line="300" w:lineRule="atLeast"/>
      <w:jc w:val="both"/>
      <w:outlineLvl w:val="0"/>
    </w:pPr>
    <w:rPr>
      <w:rFonts w:eastAsia="Arial Unicode MS"/>
      <w:b/>
      <w:kern w:val="28"/>
      <w:szCs w:val="20"/>
      <w:lang w:eastAsia="en-US"/>
    </w:rPr>
  </w:style>
  <w:style w:type="paragraph" w:customStyle="1" w:styleId="ScheduleTitleClause">
    <w:name w:val="Schedule Title Clause"/>
    <w:basedOn w:val="Normal"/>
    <w:rsid w:val="00622924"/>
    <w:pPr>
      <w:keepNext/>
      <w:numPr>
        <w:numId w:val="30"/>
      </w:numPr>
      <w:spacing w:before="240" w:after="240" w:line="300" w:lineRule="atLeast"/>
      <w:jc w:val="both"/>
      <w:outlineLvl w:val="0"/>
    </w:pPr>
    <w:rPr>
      <w:rFonts w:eastAsia="Arial Unicode MS"/>
      <w:b/>
      <w:kern w:val="28"/>
      <w:szCs w:val="20"/>
      <w:lang w:eastAsia="en-US"/>
    </w:rPr>
  </w:style>
  <w:style w:type="paragraph" w:customStyle="1" w:styleId="ClauseNoTitle">
    <w:name w:val="Clause No Title"/>
    <w:basedOn w:val="TitleClause"/>
    <w:rsid w:val="00622924"/>
    <w:rPr>
      <w:b w:val="0"/>
      <w:smallCaps/>
    </w:rPr>
  </w:style>
  <w:style w:type="paragraph" w:customStyle="1" w:styleId="ClosingPara">
    <w:name w:val="Closing Para"/>
    <w:basedOn w:val="Normal"/>
    <w:rsid w:val="00622924"/>
    <w:pPr>
      <w:spacing w:before="120" w:after="240" w:line="300" w:lineRule="atLeast"/>
      <w:jc w:val="both"/>
    </w:pPr>
    <w:rPr>
      <w:rFonts w:eastAsia="Arial Unicode MS"/>
      <w:szCs w:val="20"/>
      <w:lang w:eastAsia="en-US"/>
    </w:rPr>
  </w:style>
  <w:style w:type="paragraph" w:customStyle="1" w:styleId="ClosingSignOff">
    <w:name w:val="Closing SignOff"/>
    <w:basedOn w:val="Normal"/>
    <w:rsid w:val="00622924"/>
    <w:pPr>
      <w:spacing w:after="120" w:line="300" w:lineRule="atLeast"/>
      <w:jc w:val="both"/>
    </w:pPr>
    <w:rPr>
      <w:rFonts w:eastAsia="Arial Unicode MS"/>
      <w:szCs w:val="20"/>
      <w:lang w:eastAsia="en-US"/>
    </w:rPr>
  </w:style>
  <w:style w:type="paragraph" w:customStyle="1" w:styleId="CoversheetTitle">
    <w:name w:val="Coversheet Title"/>
    <w:basedOn w:val="Normal"/>
    <w:autoRedefine/>
    <w:rsid w:val="00622924"/>
    <w:pPr>
      <w:spacing w:before="480" w:after="480" w:line="300" w:lineRule="atLeast"/>
      <w:jc w:val="center"/>
    </w:pPr>
    <w:rPr>
      <w:rFonts w:eastAsia="Arial Unicode MS"/>
      <w:b/>
      <w:smallCaps/>
      <w:sz w:val="28"/>
      <w:szCs w:val="20"/>
      <w:lang w:eastAsia="en-US"/>
    </w:rPr>
  </w:style>
  <w:style w:type="paragraph" w:customStyle="1" w:styleId="CoverSheetHeading">
    <w:name w:val="Cover Sheet Heading"/>
    <w:aliases w:val="Coversheet Title2"/>
    <w:basedOn w:val="CoversheetTitle"/>
    <w:rsid w:val="00622924"/>
  </w:style>
  <w:style w:type="paragraph" w:customStyle="1" w:styleId="CoverSheetSubjectText">
    <w:name w:val="Cover Sheet Subject Text"/>
    <w:basedOn w:val="Normal"/>
    <w:rsid w:val="00622924"/>
    <w:pPr>
      <w:spacing w:after="0" w:line="300" w:lineRule="atLeast"/>
      <w:jc w:val="center"/>
    </w:pPr>
    <w:rPr>
      <w:rFonts w:eastAsia="Arial Unicode MS"/>
      <w:szCs w:val="20"/>
      <w:lang w:eastAsia="en-US"/>
    </w:rPr>
  </w:style>
  <w:style w:type="paragraph" w:customStyle="1" w:styleId="CoverSheetSubjectTitle">
    <w:name w:val="Cover Sheet Subject Title"/>
    <w:basedOn w:val="Normal"/>
    <w:rsid w:val="00622924"/>
    <w:pPr>
      <w:spacing w:after="0" w:line="300" w:lineRule="atLeast"/>
      <w:jc w:val="center"/>
    </w:pPr>
    <w:rPr>
      <w:rFonts w:eastAsia="Arial Unicode MS"/>
      <w:szCs w:val="20"/>
      <w:lang w:eastAsia="en-US"/>
    </w:rPr>
  </w:style>
  <w:style w:type="paragraph" w:customStyle="1" w:styleId="DefinedTermPara">
    <w:name w:val="Defined Term Para"/>
    <w:basedOn w:val="Paragraph"/>
    <w:qFormat/>
    <w:rsid w:val="00622924"/>
    <w:pPr>
      <w:numPr>
        <w:numId w:val="23"/>
      </w:numPr>
    </w:pPr>
  </w:style>
  <w:style w:type="paragraph" w:customStyle="1" w:styleId="DescriptiveHeading">
    <w:name w:val="DescriptiveHeading"/>
    <w:next w:val="Paragraph"/>
    <w:link w:val="DescriptiveHeadingChar"/>
    <w:rsid w:val="00622924"/>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622924"/>
    <w:rPr>
      <w:rFonts w:ascii="Arial" w:eastAsia="Arial Unicode MS" w:hAnsi="Arial" w:cs="Arial"/>
      <w:b/>
      <w:color w:val="000000"/>
      <w:lang w:val="en-US" w:eastAsia="en-US"/>
    </w:rPr>
  </w:style>
  <w:style w:type="paragraph" w:customStyle="1" w:styleId="DraftingnoteSection1Para">
    <w:name w:val="Draftingnote Section1 Para"/>
    <w:basedOn w:val="Normal"/>
    <w:rsid w:val="00622924"/>
    <w:pPr>
      <w:spacing w:after="120" w:line="300" w:lineRule="atLeast"/>
      <w:jc w:val="both"/>
    </w:pPr>
    <w:rPr>
      <w:rFonts w:eastAsia="Arial Unicode MS"/>
      <w:szCs w:val="20"/>
      <w:lang w:eastAsia="en-US"/>
    </w:rPr>
  </w:style>
  <w:style w:type="paragraph" w:customStyle="1" w:styleId="DraftingnoteSection1Title">
    <w:name w:val="Draftingnote Section1 Title"/>
    <w:basedOn w:val="Normal"/>
    <w:rsid w:val="00622924"/>
    <w:pPr>
      <w:spacing w:after="120" w:line="300" w:lineRule="atLeast"/>
      <w:jc w:val="both"/>
    </w:pPr>
    <w:rPr>
      <w:rFonts w:eastAsia="Arial Unicode MS"/>
      <w:b/>
      <w:sz w:val="36"/>
      <w:szCs w:val="20"/>
      <w:lang w:eastAsia="en-US"/>
    </w:rPr>
  </w:style>
  <w:style w:type="paragraph" w:customStyle="1" w:styleId="DraftingnoteSection2Para">
    <w:name w:val="Draftingnote Section2 Para"/>
    <w:basedOn w:val="Normal"/>
    <w:rsid w:val="00622924"/>
    <w:pPr>
      <w:spacing w:after="120" w:line="300" w:lineRule="atLeast"/>
      <w:jc w:val="both"/>
    </w:pPr>
    <w:rPr>
      <w:rFonts w:eastAsia="Arial Unicode MS"/>
      <w:szCs w:val="20"/>
      <w:lang w:eastAsia="en-US"/>
    </w:rPr>
  </w:style>
  <w:style w:type="paragraph" w:customStyle="1" w:styleId="DraftingnoteSection2Title">
    <w:name w:val="Draftingnote Section2 Title"/>
    <w:basedOn w:val="Normal"/>
    <w:rsid w:val="00622924"/>
    <w:pPr>
      <w:spacing w:after="120" w:line="300" w:lineRule="atLeast"/>
      <w:jc w:val="both"/>
    </w:pPr>
    <w:rPr>
      <w:rFonts w:eastAsia="Arial Unicode MS"/>
      <w:b/>
      <w:sz w:val="28"/>
      <w:szCs w:val="20"/>
      <w:lang w:eastAsia="en-US"/>
    </w:rPr>
  </w:style>
  <w:style w:type="paragraph" w:customStyle="1" w:styleId="DraftingnoteSection3Para">
    <w:name w:val="Draftingnote Section3 Para"/>
    <w:basedOn w:val="Normal"/>
    <w:rsid w:val="00622924"/>
    <w:pPr>
      <w:spacing w:after="120" w:line="300" w:lineRule="atLeast"/>
      <w:jc w:val="both"/>
    </w:pPr>
    <w:rPr>
      <w:rFonts w:eastAsia="Arial Unicode MS"/>
      <w:szCs w:val="20"/>
      <w:lang w:eastAsia="en-US"/>
    </w:rPr>
  </w:style>
  <w:style w:type="paragraph" w:customStyle="1" w:styleId="DraftingnoteSection3Title">
    <w:name w:val="Draftingnote Section3 Title"/>
    <w:basedOn w:val="Normal"/>
    <w:rsid w:val="00622924"/>
    <w:pPr>
      <w:spacing w:after="120" w:line="300" w:lineRule="atLeast"/>
      <w:jc w:val="both"/>
    </w:pPr>
    <w:rPr>
      <w:rFonts w:eastAsia="Arial Unicode MS"/>
      <w:b/>
      <w:i/>
      <w:sz w:val="28"/>
      <w:szCs w:val="20"/>
      <w:lang w:eastAsia="en-US"/>
    </w:rPr>
  </w:style>
  <w:style w:type="paragraph" w:customStyle="1" w:styleId="DraftingnoteSection4Para">
    <w:name w:val="Draftingnote Section4 Para"/>
    <w:basedOn w:val="Normal"/>
    <w:rsid w:val="00622924"/>
    <w:pPr>
      <w:spacing w:after="120" w:line="300" w:lineRule="atLeast"/>
      <w:jc w:val="both"/>
    </w:pPr>
    <w:rPr>
      <w:rFonts w:eastAsia="Arial Unicode MS"/>
      <w:szCs w:val="20"/>
      <w:lang w:eastAsia="en-US"/>
    </w:rPr>
  </w:style>
  <w:style w:type="paragraph" w:customStyle="1" w:styleId="DraftingnoteSection4Title">
    <w:name w:val="Draftingnote Section4 Title"/>
    <w:basedOn w:val="Normal"/>
    <w:rsid w:val="00622924"/>
    <w:pPr>
      <w:spacing w:after="120" w:line="300" w:lineRule="atLeast"/>
      <w:jc w:val="both"/>
    </w:pPr>
    <w:rPr>
      <w:rFonts w:eastAsia="Arial Unicode MS"/>
      <w:b/>
      <w:i/>
      <w:sz w:val="28"/>
      <w:szCs w:val="20"/>
      <w:lang w:eastAsia="en-US"/>
    </w:rPr>
  </w:style>
  <w:style w:type="paragraph" w:customStyle="1" w:styleId="DraftingnoteTitle">
    <w:name w:val="Draftingnote Title"/>
    <w:basedOn w:val="Normal"/>
    <w:rsid w:val="00622924"/>
    <w:pPr>
      <w:spacing w:after="120" w:line="300" w:lineRule="atLeast"/>
      <w:jc w:val="both"/>
    </w:pPr>
    <w:rPr>
      <w:rFonts w:eastAsia="Arial Unicode MS"/>
      <w:b/>
      <w:sz w:val="28"/>
      <w:szCs w:val="20"/>
      <w:lang w:eastAsia="en-US"/>
    </w:rPr>
  </w:style>
  <w:style w:type="paragraph" w:customStyle="1" w:styleId="FulltextBridgehead">
    <w:name w:val="Fulltext Bridgehead"/>
    <w:basedOn w:val="Normal"/>
    <w:rsid w:val="00622924"/>
    <w:pPr>
      <w:spacing w:after="120" w:line="300" w:lineRule="atLeast"/>
      <w:jc w:val="both"/>
    </w:pPr>
    <w:rPr>
      <w:rFonts w:eastAsia="Arial Unicode MS"/>
      <w:b/>
      <w:sz w:val="48"/>
      <w:szCs w:val="20"/>
      <w:lang w:eastAsia="en-US"/>
    </w:rPr>
  </w:style>
  <w:style w:type="paragraph" w:customStyle="1" w:styleId="FulltextSection1Para">
    <w:name w:val="Fulltext Section1 Para"/>
    <w:basedOn w:val="Normal"/>
    <w:rsid w:val="00622924"/>
    <w:pPr>
      <w:spacing w:after="120" w:line="300" w:lineRule="atLeast"/>
      <w:jc w:val="both"/>
    </w:pPr>
    <w:rPr>
      <w:rFonts w:eastAsia="Arial Unicode MS"/>
      <w:szCs w:val="20"/>
      <w:lang w:eastAsia="en-US"/>
    </w:rPr>
  </w:style>
  <w:style w:type="paragraph" w:customStyle="1" w:styleId="FulltextSection1Title">
    <w:name w:val="Fulltext Section1 Title"/>
    <w:basedOn w:val="Normal"/>
    <w:rsid w:val="00622924"/>
    <w:pPr>
      <w:spacing w:after="120" w:line="300" w:lineRule="atLeast"/>
      <w:jc w:val="both"/>
    </w:pPr>
    <w:rPr>
      <w:rFonts w:eastAsia="Arial Unicode MS"/>
      <w:b/>
      <w:sz w:val="36"/>
      <w:szCs w:val="20"/>
      <w:lang w:eastAsia="en-US"/>
    </w:rPr>
  </w:style>
  <w:style w:type="paragraph" w:customStyle="1" w:styleId="FulltextSection2Para">
    <w:name w:val="Fulltext Section2 Para"/>
    <w:basedOn w:val="Normal"/>
    <w:rsid w:val="00622924"/>
    <w:pPr>
      <w:spacing w:after="120" w:line="300" w:lineRule="atLeast"/>
      <w:jc w:val="both"/>
    </w:pPr>
    <w:rPr>
      <w:rFonts w:eastAsia="Arial Unicode MS"/>
      <w:szCs w:val="20"/>
      <w:lang w:eastAsia="en-US"/>
    </w:rPr>
  </w:style>
  <w:style w:type="paragraph" w:customStyle="1" w:styleId="FulltextSection2Title">
    <w:name w:val="Fulltext Section2 Title"/>
    <w:basedOn w:val="Normal"/>
    <w:rsid w:val="00622924"/>
    <w:pPr>
      <w:spacing w:after="120" w:line="300" w:lineRule="atLeast"/>
      <w:jc w:val="both"/>
    </w:pPr>
    <w:rPr>
      <w:rFonts w:eastAsia="Arial Unicode MS"/>
      <w:b/>
      <w:sz w:val="28"/>
      <w:szCs w:val="20"/>
      <w:lang w:eastAsia="en-US"/>
    </w:rPr>
  </w:style>
  <w:style w:type="paragraph" w:customStyle="1" w:styleId="FulltextSection3Para">
    <w:name w:val="Fulltext Section3 Para"/>
    <w:basedOn w:val="Normal"/>
    <w:rsid w:val="00622924"/>
    <w:pPr>
      <w:spacing w:after="120" w:line="300" w:lineRule="atLeast"/>
      <w:jc w:val="both"/>
    </w:pPr>
    <w:rPr>
      <w:rFonts w:eastAsia="Arial Unicode MS"/>
      <w:szCs w:val="20"/>
      <w:lang w:eastAsia="en-US"/>
    </w:rPr>
  </w:style>
  <w:style w:type="paragraph" w:customStyle="1" w:styleId="FulltextSection3Title">
    <w:name w:val="Fulltext Section3 Title"/>
    <w:basedOn w:val="Normal"/>
    <w:rsid w:val="00622924"/>
    <w:pPr>
      <w:spacing w:after="120" w:line="300" w:lineRule="atLeast"/>
      <w:jc w:val="both"/>
    </w:pPr>
    <w:rPr>
      <w:rFonts w:eastAsia="Arial Unicode MS"/>
      <w:b/>
      <w:i/>
      <w:sz w:val="28"/>
      <w:szCs w:val="20"/>
      <w:lang w:eastAsia="en-US"/>
    </w:rPr>
  </w:style>
  <w:style w:type="paragraph" w:customStyle="1" w:styleId="FulltextSection4Para">
    <w:name w:val="Fulltext Section4 Para"/>
    <w:basedOn w:val="Normal"/>
    <w:rsid w:val="00622924"/>
    <w:pPr>
      <w:spacing w:after="120" w:line="300" w:lineRule="atLeast"/>
      <w:jc w:val="both"/>
    </w:pPr>
    <w:rPr>
      <w:rFonts w:eastAsia="Arial Unicode MS"/>
      <w:szCs w:val="20"/>
      <w:lang w:eastAsia="en-US"/>
    </w:rPr>
  </w:style>
  <w:style w:type="paragraph" w:customStyle="1" w:styleId="FulltextSection4Title">
    <w:name w:val="Fulltext Section4 Title"/>
    <w:basedOn w:val="Normal"/>
    <w:rsid w:val="00622924"/>
    <w:pPr>
      <w:spacing w:after="120" w:line="300" w:lineRule="atLeast"/>
      <w:jc w:val="both"/>
    </w:pPr>
    <w:rPr>
      <w:rFonts w:eastAsia="Arial Unicode MS"/>
      <w:b/>
      <w:i/>
      <w:sz w:val="28"/>
      <w:szCs w:val="20"/>
      <w:lang w:eastAsia="en-US"/>
    </w:rPr>
  </w:style>
  <w:style w:type="paragraph" w:customStyle="1" w:styleId="GlossItemGlossdefPara">
    <w:name w:val="GlossItem Glossdef Para"/>
    <w:basedOn w:val="Normal"/>
    <w:rsid w:val="00622924"/>
    <w:pPr>
      <w:spacing w:after="120" w:line="300" w:lineRule="atLeast"/>
      <w:jc w:val="both"/>
    </w:pPr>
    <w:rPr>
      <w:rFonts w:eastAsia="Arial Unicode MS"/>
      <w:szCs w:val="20"/>
      <w:lang w:eastAsia="en-US"/>
    </w:rPr>
  </w:style>
  <w:style w:type="paragraph" w:customStyle="1" w:styleId="GlossItemGlossterm">
    <w:name w:val="GlossItem Glossterm"/>
    <w:basedOn w:val="Normal"/>
    <w:rsid w:val="00622924"/>
    <w:pPr>
      <w:spacing w:after="120" w:line="300" w:lineRule="atLeast"/>
      <w:jc w:val="both"/>
    </w:pPr>
    <w:rPr>
      <w:rFonts w:eastAsia="Arial Unicode MS"/>
      <w:b/>
      <w:sz w:val="48"/>
      <w:szCs w:val="20"/>
      <w:lang w:eastAsia="en-US"/>
    </w:rPr>
  </w:style>
  <w:style w:type="paragraph" w:customStyle="1" w:styleId="HeadingAddressLine">
    <w:name w:val="Heading Address Line"/>
    <w:basedOn w:val="Normal"/>
    <w:rsid w:val="00622924"/>
    <w:pPr>
      <w:spacing w:after="120" w:line="300" w:lineRule="atLeast"/>
      <w:jc w:val="both"/>
    </w:pPr>
    <w:rPr>
      <w:rFonts w:eastAsia="Arial Unicode MS"/>
      <w:szCs w:val="20"/>
      <w:lang w:eastAsia="en-US"/>
    </w:rPr>
  </w:style>
  <w:style w:type="paragraph" w:customStyle="1" w:styleId="HeadingDate">
    <w:name w:val="Heading Date"/>
    <w:basedOn w:val="Normal"/>
    <w:rsid w:val="00622924"/>
    <w:pPr>
      <w:spacing w:after="120" w:line="300" w:lineRule="atLeast"/>
      <w:jc w:val="both"/>
    </w:pPr>
    <w:rPr>
      <w:rFonts w:eastAsia="Arial Unicode MS"/>
      <w:szCs w:val="20"/>
      <w:lang w:eastAsia="en-US"/>
    </w:rPr>
  </w:style>
  <w:style w:type="paragraph" w:customStyle="1" w:styleId="HeadingLetterheadBasedOnAttribute">
    <w:name w:val="Heading Letterhead Based On Attribute"/>
    <w:basedOn w:val="Normal"/>
    <w:rsid w:val="00622924"/>
    <w:pPr>
      <w:spacing w:after="120" w:line="300" w:lineRule="atLeast"/>
      <w:jc w:val="both"/>
    </w:pPr>
    <w:rPr>
      <w:rFonts w:eastAsia="Arial Unicode MS"/>
      <w:szCs w:val="20"/>
      <w:lang w:eastAsia="en-US"/>
    </w:rPr>
  </w:style>
  <w:style w:type="paragraph" w:customStyle="1" w:styleId="HeadingSalutation">
    <w:name w:val="Heading Salutation"/>
    <w:basedOn w:val="Normal"/>
    <w:rsid w:val="00622924"/>
    <w:pPr>
      <w:spacing w:after="120" w:line="300" w:lineRule="atLeast"/>
      <w:jc w:val="both"/>
    </w:pPr>
    <w:rPr>
      <w:rFonts w:eastAsia="Arial Unicode MS"/>
      <w:szCs w:val="20"/>
      <w:lang w:eastAsia="en-US"/>
    </w:rPr>
  </w:style>
  <w:style w:type="paragraph" w:customStyle="1" w:styleId="IgnoredSpacing">
    <w:name w:val="Ignored Spacing"/>
    <w:link w:val="IgnoredSpacingChar"/>
    <w:rsid w:val="00622924"/>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622924"/>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622924"/>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622924"/>
    <w:rPr>
      <w:rFonts w:ascii="Arial" w:eastAsia="Arial Unicode MS" w:hAnsi="Arial" w:cs="Arial"/>
      <w:color w:val="000000"/>
      <w:sz w:val="24"/>
      <w:lang w:val="en-US" w:eastAsia="en-US"/>
    </w:rPr>
  </w:style>
  <w:style w:type="paragraph" w:customStyle="1" w:styleId="MaintenanceEditor">
    <w:name w:val="Maintenance Editor"/>
    <w:link w:val="MaintenanceEditorChar"/>
    <w:rsid w:val="00622924"/>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622924"/>
    <w:rPr>
      <w:rFonts w:ascii="Arial" w:eastAsia="Arial Unicode MS" w:hAnsi="Arial" w:cs="Arial"/>
      <w:color w:val="000000"/>
      <w:sz w:val="24"/>
      <w:lang w:val="en-US" w:eastAsia="en-US"/>
    </w:rPr>
  </w:style>
  <w:style w:type="paragraph" w:customStyle="1" w:styleId="ParaClause">
    <w:name w:val="Para Clause"/>
    <w:basedOn w:val="Normal"/>
    <w:rsid w:val="00622924"/>
    <w:pPr>
      <w:spacing w:before="120" w:after="120" w:line="300" w:lineRule="atLeast"/>
      <w:ind w:left="720"/>
      <w:jc w:val="both"/>
    </w:pPr>
    <w:rPr>
      <w:rFonts w:eastAsia="Arial Unicode MS"/>
      <w:szCs w:val="20"/>
      <w:lang w:eastAsia="en-US"/>
    </w:rPr>
  </w:style>
  <w:style w:type="paragraph" w:customStyle="1" w:styleId="Parasubclause1">
    <w:name w:val="Para subclause 1"/>
    <w:basedOn w:val="Normal"/>
    <w:rsid w:val="00622924"/>
    <w:pPr>
      <w:spacing w:before="240" w:after="120" w:line="300" w:lineRule="atLeast"/>
      <w:ind w:left="720"/>
      <w:jc w:val="both"/>
    </w:pPr>
    <w:rPr>
      <w:rFonts w:eastAsia="Arial Unicode MS"/>
      <w:szCs w:val="20"/>
      <w:lang w:eastAsia="en-US"/>
    </w:rPr>
  </w:style>
  <w:style w:type="paragraph" w:customStyle="1" w:styleId="Untitledsubclause1">
    <w:name w:val="Untitled subclause 1"/>
    <w:basedOn w:val="Normal"/>
    <w:link w:val="Untitledsubclause1Char"/>
    <w:rsid w:val="00622924"/>
    <w:pPr>
      <w:numPr>
        <w:ilvl w:val="1"/>
        <w:numId w:val="24"/>
      </w:numPr>
      <w:spacing w:before="280" w:after="120" w:line="300" w:lineRule="atLeast"/>
      <w:jc w:val="both"/>
      <w:outlineLvl w:val="1"/>
    </w:pPr>
    <w:rPr>
      <w:rFonts w:eastAsia="Arial Unicode MS"/>
      <w:szCs w:val="20"/>
      <w:lang w:eastAsia="en-US"/>
    </w:rPr>
  </w:style>
  <w:style w:type="paragraph" w:customStyle="1" w:styleId="ScheduleUntitledsubclause1">
    <w:name w:val="Schedule Untitled subclause 1"/>
    <w:basedOn w:val="Normal"/>
    <w:rsid w:val="00622924"/>
    <w:pPr>
      <w:numPr>
        <w:ilvl w:val="1"/>
        <w:numId w:val="30"/>
      </w:numPr>
      <w:spacing w:before="280" w:after="120" w:line="300" w:lineRule="atLeast"/>
      <w:jc w:val="both"/>
      <w:outlineLvl w:val="1"/>
    </w:pPr>
    <w:rPr>
      <w:rFonts w:eastAsia="Arial Unicode MS"/>
      <w:szCs w:val="20"/>
      <w:lang w:eastAsia="en-US"/>
    </w:rPr>
  </w:style>
  <w:style w:type="paragraph" w:customStyle="1" w:styleId="Parasubclause2">
    <w:name w:val="Para subclause 2"/>
    <w:basedOn w:val="Normal"/>
    <w:rsid w:val="00622924"/>
    <w:pPr>
      <w:spacing w:after="240" w:line="300" w:lineRule="atLeast"/>
      <w:ind w:left="1559"/>
      <w:jc w:val="both"/>
    </w:pPr>
    <w:rPr>
      <w:rFonts w:eastAsia="Arial Unicode MS"/>
      <w:szCs w:val="20"/>
      <w:lang w:eastAsia="en-US"/>
    </w:rPr>
  </w:style>
  <w:style w:type="paragraph" w:customStyle="1" w:styleId="Untitledsubclause2">
    <w:name w:val="Untitled subclause 2"/>
    <w:basedOn w:val="Normal"/>
    <w:rsid w:val="00622924"/>
    <w:pPr>
      <w:numPr>
        <w:ilvl w:val="2"/>
        <w:numId w:val="24"/>
      </w:numPr>
      <w:spacing w:after="120" w:line="300" w:lineRule="atLeast"/>
      <w:jc w:val="both"/>
      <w:outlineLvl w:val="2"/>
    </w:pPr>
    <w:rPr>
      <w:rFonts w:eastAsia="Arial Unicode MS"/>
      <w:szCs w:val="20"/>
      <w:lang w:eastAsia="en-US"/>
    </w:rPr>
  </w:style>
  <w:style w:type="paragraph" w:customStyle="1" w:styleId="ScheduleUntitledsubclause2">
    <w:name w:val="Schedule Untitled subclause 2"/>
    <w:basedOn w:val="Normal"/>
    <w:rsid w:val="00622924"/>
    <w:pPr>
      <w:numPr>
        <w:ilvl w:val="2"/>
        <w:numId w:val="30"/>
      </w:numPr>
      <w:spacing w:after="120" w:line="300" w:lineRule="atLeast"/>
      <w:jc w:val="both"/>
      <w:outlineLvl w:val="2"/>
    </w:pPr>
    <w:rPr>
      <w:rFonts w:eastAsia="Arial Unicode MS"/>
      <w:szCs w:val="20"/>
      <w:lang w:eastAsia="en-US"/>
    </w:rPr>
  </w:style>
  <w:style w:type="paragraph" w:customStyle="1" w:styleId="Parasubclause3">
    <w:name w:val="Para subclause 3"/>
    <w:basedOn w:val="Normal"/>
    <w:next w:val="Untitledsubclause2"/>
    <w:rsid w:val="00622924"/>
    <w:pPr>
      <w:spacing w:after="120" w:line="300" w:lineRule="atLeast"/>
      <w:ind w:left="2268"/>
      <w:jc w:val="both"/>
    </w:pPr>
    <w:rPr>
      <w:rFonts w:eastAsia="Arial Unicode MS"/>
      <w:szCs w:val="20"/>
      <w:lang w:eastAsia="en-US"/>
    </w:rPr>
  </w:style>
  <w:style w:type="paragraph" w:customStyle="1" w:styleId="Untitledsubclause3">
    <w:name w:val="Untitled subclause 3"/>
    <w:basedOn w:val="Normal"/>
    <w:rsid w:val="00622924"/>
    <w:pPr>
      <w:numPr>
        <w:ilvl w:val="3"/>
        <w:numId w:val="24"/>
      </w:numPr>
      <w:tabs>
        <w:tab w:val="left" w:pos="2261"/>
      </w:tabs>
      <w:spacing w:after="120" w:line="300" w:lineRule="atLeast"/>
      <w:jc w:val="both"/>
      <w:outlineLvl w:val="3"/>
    </w:pPr>
    <w:rPr>
      <w:rFonts w:eastAsia="Arial Unicode MS"/>
      <w:szCs w:val="20"/>
      <w:lang w:eastAsia="en-US"/>
    </w:rPr>
  </w:style>
  <w:style w:type="paragraph" w:customStyle="1" w:styleId="ScheduleUntitledsubclause3">
    <w:name w:val="Schedule Untitled subclause 3"/>
    <w:basedOn w:val="Normal"/>
    <w:rsid w:val="00622924"/>
    <w:pPr>
      <w:numPr>
        <w:ilvl w:val="3"/>
        <w:numId w:val="30"/>
      </w:numPr>
      <w:tabs>
        <w:tab w:val="left" w:pos="2261"/>
      </w:tabs>
      <w:spacing w:after="120" w:line="300" w:lineRule="atLeast"/>
      <w:jc w:val="both"/>
      <w:outlineLvl w:val="3"/>
    </w:pPr>
    <w:rPr>
      <w:rFonts w:eastAsia="Arial Unicode MS"/>
      <w:szCs w:val="20"/>
      <w:lang w:eastAsia="en-US"/>
    </w:rPr>
  </w:style>
  <w:style w:type="paragraph" w:customStyle="1" w:styleId="Parasubclause4">
    <w:name w:val="Para subclause 4"/>
    <w:basedOn w:val="Parasubclause3"/>
    <w:rsid w:val="00622924"/>
    <w:pPr>
      <w:spacing w:after="240"/>
      <w:ind w:left="3028"/>
    </w:pPr>
  </w:style>
  <w:style w:type="paragraph" w:customStyle="1" w:styleId="Untitledsubclause4">
    <w:name w:val="Untitled subclause 4"/>
    <w:basedOn w:val="Normal"/>
    <w:rsid w:val="00622924"/>
    <w:pPr>
      <w:numPr>
        <w:ilvl w:val="4"/>
        <w:numId w:val="24"/>
      </w:numPr>
      <w:spacing w:after="120" w:line="300" w:lineRule="atLeast"/>
      <w:jc w:val="both"/>
      <w:outlineLvl w:val="4"/>
    </w:pPr>
    <w:rPr>
      <w:rFonts w:eastAsia="Arial Unicode MS"/>
      <w:szCs w:val="20"/>
      <w:lang w:eastAsia="en-US"/>
    </w:rPr>
  </w:style>
  <w:style w:type="paragraph" w:customStyle="1" w:styleId="ScheduleUntitledsubclause4">
    <w:name w:val="Schedule Untitled subclause 4"/>
    <w:basedOn w:val="Normal"/>
    <w:rsid w:val="00622924"/>
    <w:pPr>
      <w:spacing w:after="120" w:line="300" w:lineRule="atLeast"/>
      <w:jc w:val="both"/>
      <w:outlineLvl w:val="4"/>
    </w:pPr>
    <w:rPr>
      <w:rFonts w:eastAsia="Arial Unicode MS"/>
      <w:szCs w:val="20"/>
      <w:lang w:eastAsia="en-US"/>
    </w:rPr>
  </w:style>
  <w:style w:type="paragraph" w:customStyle="1" w:styleId="Para">
    <w:name w:val="Para"/>
    <w:aliases w:val="PLC Style - Normal"/>
    <w:basedOn w:val="Normal"/>
    <w:rsid w:val="00622924"/>
    <w:pPr>
      <w:spacing w:after="120" w:line="300" w:lineRule="atLeast"/>
      <w:jc w:val="both"/>
    </w:pPr>
    <w:rPr>
      <w:rFonts w:eastAsia="Arial Unicode MS"/>
      <w:szCs w:val="20"/>
      <w:lang w:eastAsia="en-US"/>
    </w:rPr>
  </w:style>
  <w:style w:type="paragraph" w:customStyle="1" w:styleId="Parties">
    <w:name w:val="Parties"/>
    <w:aliases w:val="(1) Parties"/>
    <w:basedOn w:val="Normal"/>
    <w:rsid w:val="00622924"/>
    <w:pPr>
      <w:numPr>
        <w:numId w:val="5"/>
      </w:numPr>
      <w:spacing w:before="120" w:after="120" w:line="300" w:lineRule="atLeast"/>
      <w:jc w:val="both"/>
    </w:pPr>
    <w:rPr>
      <w:rFonts w:eastAsia="Arial Unicode MS"/>
      <w:szCs w:val="20"/>
      <w:lang w:eastAsia="en-US"/>
    </w:rPr>
  </w:style>
  <w:style w:type="paragraph" w:customStyle="1" w:styleId="ResourceHistoryAuthor">
    <w:name w:val="Resource History Author"/>
    <w:link w:val="ResourceHistoryAuthorChar"/>
    <w:rsid w:val="00622924"/>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622924"/>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622924"/>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622924"/>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622924"/>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622924"/>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622924"/>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622924"/>
    <w:rPr>
      <w:rFonts w:ascii="Arial" w:eastAsia="Arial Unicode MS" w:hAnsi="Arial" w:cs="Arial"/>
      <w:b/>
      <w:bCs/>
      <w:color w:val="000000"/>
      <w:sz w:val="24"/>
      <w:lang w:val="en-US" w:eastAsia="en-US"/>
    </w:rPr>
  </w:style>
  <w:style w:type="paragraph" w:customStyle="1" w:styleId="ResourceType">
    <w:name w:val="Resource Type"/>
    <w:link w:val="ResourceTypeChar"/>
    <w:rsid w:val="00622924"/>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622924"/>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622924"/>
    <w:pPr>
      <w:numPr>
        <w:numId w:val="6"/>
      </w:numPr>
      <w:spacing w:before="240" w:after="360" w:line="300" w:lineRule="atLeast"/>
      <w:jc w:val="both"/>
    </w:pPr>
    <w:rPr>
      <w:rFonts w:eastAsia="Arial Unicode MS"/>
      <w:b/>
      <w:kern w:val="28"/>
      <w:szCs w:val="20"/>
      <w:lang w:eastAsia="en-US"/>
    </w:rPr>
  </w:style>
  <w:style w:type="paragraph" w:customStyle="1" w:styleId="ScheduleHeading">
    <w:name w:val="Schedule Heading"/>
    <w:aliases w:val="Sch   main head"/>
    <w:basedOn w:val="Normal"/>
    <w:next w:val="Normal"/>
    <w:autoRedefine/>
    <w:rsid w:val="00622924"/>
    <w:pPr>
      <w:keepNext/>
      <w:pageBreakBefore/>
      <w:numPr>
        <w:numId w:val="7"/>
      </w:numPr>
      <w:spacing w:before="240" w:after="360" w:line="300" w:lineRule="atLeast"/>
      <w:jc w:val="center"/>
      <w:outlineLvl w:val="0"/>
    </w:pPr>
    <w:rPr>
      <w:rFonts w:eastAsia="Arial Unicode MS"/>
      <w:b/>
      <w:kern w:val="28"/>
      <w:szCs w:val="20"/>
      <w:lang w:eastAsia="en-US"/>
    </w:rPr>
  </w:style>
  <w:style w:type="paragraph" w:customStyle="1" w:styleId="SectionHeading">
    <w:name w:val="Section Heading"/>
    <w:aliases w:val="1stIntroHeadings"/>
    <w:basedOn w:val="Normal"/>
    <w:next w:val="Normal"/>
    <w:rsid w:val="00622924"/>
    <w:pPr>
      <w:tabs>
        <w:tab w:val="left" w:pos="709"/>
      </w:tabs>
      <w:spacing w:before="120" w:after="120" w:line="300" w:lineRule="atLeast"/>
      <w:jc w:val="both"/>
    </w:pPr>
    <w:rPr>
      <w:rFonts w:eastAsia="Arial Unicode MS"/>
      <w:b/>
      <w:smallCaps/>
      <w:sz w:val="24"/>
      <w:szCs w:val="20"/>
      <w:lang w:eastAsia="en-US"/>
    </w:rPr>
  </w:style>
  <w:style w:type="paragraph" w:customStyle="1" w:styleId="Shortquestion">
    <w:name w:val="Shortquestion"/>
    <w:basedOn w:val="Normal"/>
    <w:rsid w:val="00622924"/>
    <w:pPr>
      <w:spacing w:after="120" w:line="300" w:lineRule="atLeast"/>
      <w:jc w:val="both"/>
    </w:pPr>
    <w:rPr>
      <w:rFonts w:eastAsia="Arial Unicode MS"/>
      <w:szCs w:val="20"/>
      <w:lang w:eastAsia="en-US"/>
    </w:rPr>
  </w:style>
  <w:style w:type="paragraph" w:customStyle="1" w:styleId="SpeedreadPara">
    <w:name w:val="Speedread Para"/>
    <w:basedOn w:val="Normal"/>
    <w:rsid w:val="00622924"/>
    <w:pPr>
      <w:spacing w:after="120" w:line="300" w:lineRule="atLeast"/>
      <w:jc w:val="both"/>
    </w:pPr>
    <w:rPr>
      <w:rFonts w:eastAsia="Arial Unicode MS"/>
      <w:szCs w:val="20"/>
      <w:lang w:eastAsia="en-US"/>
    </w:rPr>
  </w:style>
  <w:style w:type="paragraph" w:customStyle="1" w:styleId="SpeedreadSection1Para">
    <w:name w:val="Speedread Section1 Para"/>
    <w:basedOn w:val="Normal"/>
    <w:rsid w:val="00622924"/>
    <w:pPr>
      <w:spacing w:after="120" w:line="300" w:lineRule="atLeast"/>
      <w:jc w:val="both"/>
    </w:pPr>
    <w:rPr>
      <w:rFonts w:eastAsia="Arial Unicode MS"/>
      <w:szCs w:val="20"/>
      <w:lang w:eastAsia="en-US"/>
    </w:rPr>
  </w:style>
  <w:style w:type="paragraph" w:customStyle="1" w:styleId="SpeedreadSection1Text">
    <w:name w:val="Speedread Section1 Text"/>
    <w:basedOn w:val="Normal"/>
    <w:rsid w:val="00622924"/>
    <w:pPr>
      <w:spacing w:after="120" w:line="300" w:lineRule="atLeast"/>
      <w:jc w:val="both"/>
    </w:pPr>
    <w:rPr>
      <w:rFonts w:eastAsia="Arial Unicode MS"/>
      <w:szCs w:val="20"/>
      <w:lang w:eastAsia="en-US"/>
    </w:rPr>
  </w:style>
  <w:style w:type="paragraph" w:customStyle="1" w:styleId="SpeedreadText">
    <w:name w:val="Speedread Text"/>
    <w:basedOn w:val="Normal"/>
    <w:rsid w:val="00622924"/>
    <w:pPr>
      <w:spacing w:after="120" w:line="300" w:lineRule="atLeast"/>
      <w:jc w:val="both"/>
    </w:pPr>
    <w:rPr>
      <w:rFonts w:eastAsia="Arial Unicode MS"/>
      <w:szCs w:val="20"/>
      <w:lang w:eastAsia="en-US"/>
    </w:rPr>
  </w:style>
  <w:style w:type="paragraph" w:customStyle="1" w:styleId="SpeedreadTitle">
    <w:name w:val="Speedread Title"/>
    <w:basedOn w:val="Normal"/>
    <w:rsid w:val="00622924"/>
    <w:pPr>
      <w:spacing w:after="120" w:line="300" w:lineRule="atLeast"/>
      <w:jc w:val="both"/>
    </w:pPr>
    <w:rPr>
      <w:rFonts w:eastAsia="Arial Unicode MS"/>
      <w:b/>
      <w:sz w:val="36"/>
      <w:szCs w:val="20"/>
      <w:lang w:eastAsia="en-US"/>
    </w:rPr>
  </w:style>
  <w:style w:type="paragraph" w:customStyle="1" w:styleId="TemplateType">
    <w:name w:val="Template Type"/>
    <w:link w:val="TemplateTypeChar"/>
    <w:rsid w:val="00622924"/>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622924"/>
    <w:rPr>
      <w:rFonts w:ascii="Arial" w:eastAsia="Arial Unicode MS" w:hAnsi="Arial" w:cs="Arial"/>
      <w:color w:val="000000"/>
      <w:sz w:val="24"/>
      <w:szCs w:val="24"/>
      <w:lang w:val="en-US" w:eastAsia="en-US"/>
    </w:rPr>
  </w:style>
  <w:style w:type="paragraph" w:styleId="Title">
    <w:name w:val="Title"/>
    <w:link w:val="TitleChar"/>
    <w:rsid w:val="00622924"/>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622924"/>
    <w:rPr>
      <w:rFonts w:ascii="Arial" w:eastAsia="Arial Unicode MS" w:hAnsi="Arial" w:cs="Arial"/>
      <w:color w:val="000000"/>
      <w:sz w:val="24"/>
      <w:lang w:val="en-US" w:eastAsia="en-US"/>
    </w:rPr>
  </w:style>
  <w:style w:type="character" w:styleId="Hyperlink">
    <w:name w:val="Hyperlink"/>
    <w:basedOn w:val="DefaultParagraphFont"/>
    <w:uiPriority w:val="99"/>
    <w:rsid w:val="00622924"/>
    <w:rPr>
      <w:i/>
      <w:color w:val="000000"/>
      <w:u w:val="single"/>
    </w:rPr>
  </w:style>
  <w:style w:type="paragraph" w:customStyle="1" w:styleId="Bullet4">
    <w:name w:val="Bullet4"/>
    <w:basedOn w:val="Normal"/>
    <w:rsid w:val="00622924"/>
    <w:pPr>
      <w:numPr>
        <w:numId w:val="8"/>
      </w:numPr>
      <w:spacing w:after="240" w:line="240" w:lineRule="auto"/>
      <w:jc w:val="both"/>
    </w:pPr>
    <w:rPr>
      <w:rFonts w:ascii="Times New Roman" w:eastAsia="Times New Roman" w:hAnsi="Times New Roman" w:cs="Times New Roman"/>
      <w:szCs w:val="20"/>
      <w:lang w:eastAsia="en-US"/>
    </w:rPr>
  </w:style>
  <w:style w:type="paragraph" w:customStyle="1" w:styleId="Paragraph">
    <w:name w:val="Paragraph"/>
    <w:basedOn w:val="Normal"/>
    <w:link w:val="ParagraphChar"/>
    <w:qFormat/>
    <w:rsid w:val="00622924"/>
    <w:pPr>
      <w:spacing w:after="120" w:line="300" w:lineRule="atLeast"/>
      <w:jc w:val="both"/>
    </w:pPr>
    <w:rPr>
      <w:rFonts w:eastAsia="Arial Unicode MS"/>
      <w:szCs w:val="20"/>
      <w:lang w:eastAsia="en-US"/>
    </w:rPr>
  </w:style>
  <w:style w:type="paragraph" w:customStyle="1" w:styleId="IgnoredTemplateText">
    <w:name w:val="Ignored Template Text"/>
    <w:link w:val="IgnoredTemplateTextChar"/>
    <w:rsid w:val="00622924"/>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622924"/>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622924"/>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622924"/>
    <w:pPr>
      <w:keepNext/>
      <w:spacing w:after="120" w:line="300" w:lineRule="atLeast"/>
      <w:jc w:val="both"/>
      <w:outlineLvl w:val="1"/>
    </w:pPr>
    <w:rPr>
      <w:rFonts w:eastAsia="Arial Unicode MS"/>
      <w:b/>
      <w:sz w:val="36"/>
      <w:szCs w:val="20"/>
      <w:lang w:eastAsia="en-US"/>
    </w:rPr>
  </w:style>
  <w:style w:type="paragraph" w:customStyle="1" w:styleId="HeadingLevel2">
    <w:name w:val="Heading Level 2"/>
    <w:basedOn w:val="Normal"/>
    <w:next w:val="Paragraph"/>
    <w:rsid w:val="00622924"/>
    <w:pPr>
      <w:keepNext/>
      <w:spacing w:after="120" w:line="300" w:lineRule="atLeast"/>
      <w:jc w:val="both"/>
      <w:outlineLvl w:val="2"/>
    </w:pPr>
    <w:rPr>
      <w:rFonts w:eastAsia="Arial Unicode MS"/>
      <w:b/>
      <w:sz w:val="28"/>
      <w:szCs w:val="20"/>
      <w:lang w:eastAsia="en-US"/>
    </w:rPr>
  </w:style>
  <w:style w:type="paragraph" w:customStyle="1" w:styleId="HeadingLevel3">
    <w:name w:val="Heading Level 3"/>
    <w:basedOn w:val="Normal"/>
    <w:next w:val="Paragraph"/>
    <w:rsid w:val="00622924"/>
    <w:pPr>
      <w:keepNext/>
      <w:spacing w:after="120" w:line="300" w:lineRule="atLeast"/>
      <w:jc w:val="both"/>
      <w:outlineLvl w:val="3"/>
    </w:pPr>
    <w:rPr>
      <w:rFonts w:eastAsia="Arial Unicode MS"/>
      <w:b/>
      <w:i/>
      <w:sz w:val="28"/>
      <w:szCs w:val="20"/>
      <w:lang w:eastAsia="en-US"/>
    </w:rPr>
  </w:style>
  <w:style w:type="paragraph" w:customStyle="1" w:styleId="PinPointRef">
    <w:name w:val="PinPoint Ref"/>
    <w:link w:val="PinPointRefChar"/>
    <w:qFormat/>
    <w:rsid w:val="00622924"/>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622924"/>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622924"/>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622924"/>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622924"/>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622924"/>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622924"/>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622924"/>
    <w:rPr>
      <w:rFonts w:ascii="Arial" w:eastAsia="Arial Unicode MS" w:hAnsi="Arial" w:cs="Arial"/>
      <w:color w:val="000000"/>
      <w:szCs w:val="24"/>
      <w:lang w:val="en-US" w:eastAsia="en-US"/>
    </w:rPr>
  </w:style>
  <w:style w:type="paragraph" w:customStyle="1" w:styleId="IntroDefault">
    <w:name w:val="Intro Default"/>
    <w:basedOn w:val="Paragraph"/>
    <w:qFormat/>
    <w:rsid w:val="00622924"/>
  </w:style>
  <w:style w:type="paragraph" w:customStyle="1" w:styleId="IntroCustom">
    <w:name w:val="Intro Custom"/>
    <w:basedOn w:val="Paragraph"/>
    <w:qFormat/>
    <w:rsid w:val="00622924"/>
  </w:style>
  <w:style w:type="paragraph" w:customStyle="1" w:styleId="PrecedentType">
    <w:name w:val="Precedent Type"/>
    <w:basedOn w:val="IgnoredSpacing"/>
    <w:qFormat/>
    <w:rsid w:val="00622924"/>
  </w:style>
  <w:style w:type="paragraph" w:customStyle="1" w:styleId="Operative">
    <w:name w:val="Operative"/>
    <w:basedOn w:val="IgnoredSpacing"/>
    <w:qFormat/>
    <w:rsid w:val="00622924"/>
    <w:rPr>
      <w:vanish/>
    </w:rPr>
  </w:style>
  <w:style w:type="paragraph" w:customStyle="1" w:styleId="SpeedreadBulletList1">
    <w:name w:val="Speedread Bullet List 1"/>
    <w:basedOn w:val="BulletList1"/>
    <w:qFormat/>
    <w:rsid w:val="00622924"/>
  </w:style>
  <w:style w:type="paragraph" w:customStyle="1" w:styleId="PartiesTitle">
    <w:name w:val="Parties Title"/>
    <w:basedOn w:val="Paragraph"/>
    <w:qFormat/>
    <w:rsid w:val="00622924"/>
    <w:rPr>
      <w:b/>
    </w:rPr>
  </w:style>
  <w:style w:type="table" w:styleId="TableGrid">
    <w:name w:val="Table Grid"/>
    <w:basedOn w:val="TableNormal"/>
    <w:rsid w:val="00622924"/>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622924"/>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Pattern1">
    <w:name w:val="Bullet List Pattern 1"/>
    <w:basedOn w:val="BulletList1"/>
    <w:qFormat/>
    <w:rsid w:val="00622924"/>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622924"/>
    <w:rPr>
      <w:rFonts w:ascii="Arial" w:eastAsia="Arial Unicode MS" w:hAnsi="Arial" w:cs="Arial"/>
      <w:color w:val="000000"/>
      <w:shd w:val="clear" w:color="auto" w:fill="D9D9D9" w:themeFill="background1" w:themeFillShade="D9"/>
      <w:lang w:val="en-US" w:eastAsia="en-US"/>
    </w:rPr>
  </w:style>
  <w:style w:type="paragraph" w:customStyle="1" w:styleId="BulletListPattern2">
    <w:name w:val="Bullet List Pattern 2"/>
    <w:basedOn w:val="BulletList2"/>
    <w:qFormat/>
    <w:rsid w:val="00622924"/>
    <w:pPr>
      <w:shd w:val="clear" w:color="auto" w:fill="D9D9D9" w:themeFill="background1" w:themeFillShade="D9"/>
      <w:ind w:left="1077"/>
    </w:pPr>
  </w:style>
  <w:style w:type="paragraph" w:customStyle="1" w:styleId="TestimoniumContract">
    <w:name w:val="Testimonium Contract"/>
    <w:basedOn w:val="Paragraph"/>
    <w:qFormat/>
    <w:rsid w:val="00622924"/>
  </w:style>
  <w:style w:type="paragraph" w:customStyle="1" w:styleId="TestimoniumDeed">
    <w:name w:val="Testimonium Deed"/>
    <w:basedOn w:val="Paragraph"/>
    <w:qFormat/>
    <w:rsid w:val="00622924"/>
  </w:style>
  <w:style w:type="paragraph" w:customStyle="1" w:styleId="Titlesubclause2">
    <w:name w:val="Title subclause2"/>
    <w:basedOn w:val="Untitledsubclause2"/>
    <w:qFormat/>
    <w:rsid w:val="00622924"/>
    <w:rPr>
      <w:b/>
    </w:rPr>
  </w:style>
  <w:style w:type="paragraph" w:customStyle="1" w:styleId="Titlesubclause3">
    <w:name w:val="Title subclause3"/>
    <w:basedOn w:val="Untitledsubclause3"/>
    <w:qFormat/>
    <w:rsid w:val="00622924"/>
    <w:rPr>
      <w:b/>
    </w:rPr>
  </w:style>
  <w:style w:type="paragraph" w:customStyle="1" w:styleId="Titlesubclause4">
    <w:name w:val="Title subclause4"/>
    <w:basedOn w:val="Untitledsubclause4"/>
    <w:qFormat/>
    <w:rsid w:val="00622924"/>
    <w:rPr>
      <w:b/>
    </w:rPr>
  </w:style>
  <w:style w:type="paragraph" w:customStyle="1" w:styleId="UntitledClause">
    <w:name w:val="Untitled Clause"/>
    <w:basedOn w:val="TitleClause"/>
    <w:qFormat/>
    <w:rsid w:val="00622924"/>
    <w:pPr>
      <w:spacing w:before="120"/>
    </w:pPr>
    <w:rPr>
      <w:b w:val="0"/>
    </w:rPr>
  </w:style>
  <w:style w:type="paragraph" w:customStyle="1" w:styleId="ScheduleUntitledClause">
    <w:name w:val="Schedule Untitled Clause"/>
    <w:basedOn w:val="ScheduleTitleClause"/>
    <w:qFormat/>
    <w:rsid w:val="00622924"/>
    <w:pPr>
      <w:spacing w:before="120"/>
    </w:pPr>
    <w:rPr>
      <w:b w:val="0"/>
    </w:rPr>
  </w:style>
  <w:style w:type="paragraph" w:customStyle="1" w:styleId="Titlesubclause1">
    <w:name w:val="Title subclause1"/>
    <w:basedOn w:val="Untitledsubclause1"/>
    <w:qFormat/>
    <w:rsid w:val="00622924"/>
    <w:pPr>
      <w:spacing w:before="120"/>
    </w:pPr>
    <w:rPr>
      <w:b/>
    </w:rPr>
  </w:style>
  <w:style w:type="paragraph" w:customStyle="1" w:styleId="Schedule">
    <w:name w:val="Schedule"/>
    <w:link w:val="ScheduleChar"/>
    <w:qFormat/>
    <w:rsid w:val="00622924"/>
    <w:pPr>
      <w:numPr>
        <w:numId w:val="26"/>
      </w:numPr>
      <w:spacing w:before="240" w:after="240" w:line="240" w:lineRule="atLeast"/>
    </w:pPr>
    <w:rPr>
      <w:rFonts w:ascii="Arial" w:eastAsia="Arial Unicode MS" w:hAnsi="Arial" w:cs="Arial"/>
      <w:b/>
      <w:color w:val="000000"/>
      <w:lang w:val="en-US" w:eastAsia="en-US"/>
    </w:rPr>
  </w:style>
  <w:style w:type="paragraph" w:customStyle="1" w:styleId="ScheduleTitle">
    <w:name w:val="Schedule Title"/>
    <w:basedOn w:val="Paragraph"/>
    <w:qFormat/>
    <w:rsid w:val="00622924"/>
    <w:rPr>
      <w:b/>
    </w:rPr>
  </w:style>
  <w:style w:type="paragraph" w:customStyle="1" w:styleId="Part">
    <w:name w:val="Part"/>
    <w:basedOn w:val="Paragraph"/>
    <w:qFormat/>
    <w:rsid w:val="00622924"/>
    <w:pPr>
      <w:numPr>
        <w:numId w:val="31"/>
      </w:numPr>
      <w:spacing w:before="240" w:after="240"/>
      <w:jc w:val="left"/>
    </w:pPr>
    <w:rPr>
      <w:b/>
    </w:rPr>
  </w:style>
  <w:style w:type="paragraph" w:customStyle="1" w:styleId="AnnexTitle">
    <w:name w:val="Annex Title"/>
    <w:basedOn w:val="Paragraph"/>
    <w:next w:val="Paragraph"/>
    <w:qFormat/>
    <w:rsid w:val="00622924"/>
    <w:pPr>
      <w:spacing w:before="240" w:after="240"/>
    </w:pPr>
    <w:rPr>
      <w:b/>
    </w:rPr>
  </w:style>
  <w:style w:type="paragraph" w:customStyle="1" w:styleId="PartTitle">
    <w:name w:val="Part Title"/>
    <w:basedOn w:val="Paragraph"/>
    <w:qFormat/>
    <w:rsid w:val="00622924"/>
    <w:rPr>
      <w:b/>
    </w:rPr>
  </w:style>
  <w:style w:type="paragraph" w:customStyle="1" w:styleId="Testimonium">
    <w:name w:val="Testimonium"/>
    <w:basedOn w:val="Paragraph"/>
    <w:qFormat/>
    <w:rsid w:val="00622924"/>
  </w:style>
  <w:style w:type="character" w:customStyle="1" w:styleId="apple-converted-space">
    <w:name w:val="apple-converted-space"/>
    <w:basedOn w:val="DefaultParagraphFont"/>
    <w:rsid w:val="00622924"/>
    <w:rPr>
      <w:color w:val="000000"/>
    </w:rPr>
  </w:style>
  <w:style w:type="character" w:styleId="Emphasis">
    <w:name w:val="Emphasis"/>
    <w:basedOn w:val="DefaultParagraphFont"/>
    <w:uiPriority w:val="20"/>
    <w:qFormat/>
    <w:rsid w:val="00622924"/>
    <w:rPr>
      <w:i/>
      <w:iCs/>
      <w:color w:val="000000"/>
    </w:rPr>
  </w:style>
  <w:style w:type="paragraph" w:customStyle="1" w:styleId="NoNumTitle-Clause">
    <w:name w:val="No Num Title - Clause"/>
    <w:basedOn w:val="TitleClause"/>
    <w:qFormat/>
    <w:rsid w:val="00622924"/>
    <w:pPr>
      <w:numPr>
        <w:numId w:val="0"/>
      </w:numPr>
      <w:ind w:left="720"/>
    </w:pPr>
  </w:style>
  <w:style w:type="paragraph" w:customStyle="1" w:styleId="NoNumTitlesubclause1">
    <w:name w:val="No Num Title subclause1"/>
    <w:basedOn w:val="Titlesubclause1"/>
    <w:qFormat/>
    <w:rsid w:val="00622924"/>
    <w:pPr>
      <w:numPr>
        <w:ilvl w:val="0"/>
        <w:numId w:val="0"/>
      </w:numPr>
      <w:ind w:left="720"/>
    </w:pPr>
  </w:style>
  <w:style w:type="paragraph" w:customStyle="1" w:styleId="AddressLine">
    <w:name w:val="Address Line"/>
    <w:basedOn w:val="Paragraph"/>
    <w:qFormat/>
    <w:rsid w:val="00622924"/>
  </w:style>
  <w:style w:type="paragraph" w:styleId="Date">
    <w:name w:val="Date"/>
    <w:basedOn w:val="Paragraph"/>
    <w:qFormat/>
    <w:rsid w:val="00622924"/>
  </w:style>
  <w:style w:type="paragraph" w:customStyle="1" w:styleId="SalutationPara">
    <w:name w:val="Salutation Para"/>
    <w:basedOn w:val="Paragraph"/>
    <w:next w:val="Paragraph"/>
    <w:qFormat/>
    <w:rsid w:val="00622924"/>
    <w:pPr>
      <w:spacing w:before="240"/>
    </w:pPr>
  </w:style>
  <w:style w:type="character" w:styleId="FollowedHyperlink">
    <w:name w:val="FollowedHyperlink"/>
    <w:basedOn w:val="DefaultParagraphFont"/>
    <w:uiPriority w:val="99"/>
    <w:semiHidden/>
    <w:unhideWhenUsed/>
    <w:rsid w:val="00622924"/>
    <w:rPr>
      <w:i/>
      <w:color w:val="000000"/>
      <w:u w:val="single"/>
    </w:rPr>
  </w:style>
  <w:style w:type="character" w:customStyle="1" w:styleId="DefTerm">
    <w:name w:val="DefTerm"/>
    <w:basedOn w:val="DefaultParagraphFont"/>
    <w:uiPriority w:val="1"/>
    <w:qFormat/>
    <w:rsid w:val="00622924"/>
    <w:rPr>
      <w:b/>
      <w:color w:val="000000"/>
    </w:rPr>
  </w:style>
  <w:style w:type="table" w:customStyle="1" w:styleId="ShadedTable">
    <w:name w:val="Shaded Table"/>
    <w:basedOn w:val="TableNormal"/>
    <w:uiPriority w:val="99"/>
    <w:rsid w:val="00622924"/>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622924"/>
    <w:rPr>
      <w:i/>
    </w:rPr>
  </w:style>
  <w:style w:type="paragraph" w:customStyle="1" w:styleId="LetterTitle">
    <w:name w:val="Letter Title"/>
    <w:basedOn w:val="Paragraph"/>
    <w:qFormat/>
    <w:rsid w:val="00622924"/>
    <w:rPr>
      <w:b/>
    </w:rPr>
  </w:style>
  <w:style w:type="paragraph" w:customStyle="1" w:styleId="LongQuestionPara">
    <w:name w:val="Long Question Para"/>
    <w:basedOn w:val="Paragraph"/>
    <w:link w:val="LongQuestionParaChar"/>
    <w:rsid w:val="00622924"/>
    <w:pPr>
      <w:numPr>
        <w:numId w:val="12"/>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622924"/>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622924"/>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622924"/>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622924"/>
    <w:rPr>
      <w:rFonts w:ascii="Arial" w:eastAsia="Arial Unicode MS" w:hAnsi="Arial" w:cs="Arial"/>
      <w:color w:val="000000"/>
      <w:szCs w:val="20"/>
      <w:lang w:eastAsia="en-US"/>
    </w:rPr>
  </w:style>
  <w:style w:type="paragraph" w:customStyle="1" w:styleId="811D3A974D454A258B71E3C4DE24C4F210">
    <w:name w:val="811D3A974D454A258B71E3C4DE24C4F210"/>
    <w:rsid w:val="00525689"/>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622924"/>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622924"/>
    <w:pPr>
      <w:jc w:val="center"/>
    </w:pPr>
    <w:rPr>
      <w:sz w:val="28"/>
    </w:rPr>
  </w:style>
  <w:style w:type="paragraph" w:customStyle="1" w:styleId="Title-Clause">
    <w:name w:val="Title - Clause"/>
    <w:aliases w:val="BIWS Heading 1"/>
    <w:basedOn w:val="Normal"/>
    <w:rsid w:val="00622924"/>
    <w:pPr>
      <w:keepNext/>
      <w:tabs>
        <w:tab w:val="num" w:pos="720"/>
      </w:tabs>
      <w:spacing w:before="240" w:after="240" w:line="300" w:lineRule="atLeast"/>
      <w:ind w:left="720" w:hanging="720"/>
      <w:jc w:val="both"/>
      <w:outlineLvl w:val="0"/>
    </w:pPr>
    <w:rPr>
      <w:rFonts w:eastAsia="Arial Unicode MS"/>
      <w:b/>
      <w:kern w:val="28"/>
      <w:szCs w:val="20"/>
      <w:lang w:eastAsia="en-US"/>
    </w:rPr>
  </w:style>
  <w:style w:type="paragraph" w:customStyle="1" w:styleId="Para-Clause-nonum">
    <w:name w:val="Para - Clause - no num"/>
    <w:aliases w:val="Body  clause"/>
    <w:basedOn w:val="Normal"/>
    <w:next w:val="Title-Clause"/>
    <w:rsid w:val="00622924"/>
    <w:pPr>
      <w:spacing w:before="120" w:after="120" w:line="300" w:lineRule="atLeast"/>
      <w:ind w:left="720"/>
      <w:jc w:val="both"/>
    </w:pPr>
    <w:rPr>
      <w:rFonts w:eastAsia="Arial Unicode MS"/>
      <w:szCs w:val="20"/>
      <w:lang w:eastAsia="en-US"/>
    </w:rPr>
  </w:style>
  <w:style w:type="paragraph" w:customStyle="1" w:styleId="Para-Clause">
    <w:name w:val="Para - Clause"/>
    <w:basedOn w:val="Title-Clause"/>
    <w:qFormat/>
    <w:rsid w:val="00622924"/>
    <w:pPr>
      <w:spacing w:before="120"/>
    </w:pPr>
    <w:rPr>
      <w:b w:val="0"/>
    </w:rPr>
  </w:style>
  <w:style w:type="paragraph" w:customStyle="1" w:styleId="CoversheetParagraph">
    <w:name w:val="Coversheet Paragraph"/>
    <w:basedOn w:val="Normal"/>
    <w:autoRedefine/>
    <w:rsid w:val="00622924"/>
    <w:pPr>
      <w:spacing w:after="0" w:line="300" w:lineRule="atLeast"/>
      <w:jc w:val="center"/>
    </w:pPr>
    <w:rPr>
      <w:rFonts w:ascii="Times New Roman" w:eastAsia="Times New Roman" w:hAnsi="Times New Roman" w:cs="Times New Roman"/>
      <w:szCs w:val="20"/>
      <w:lang w:eastAsia="en-US"/>
    </w:rPr>
  </w:style>
  <w:style w:type="paragraph" w:customStyle="1" w:styleId="CoversheetIntro">
    <w:name w:val="Coversheet Intro"/>
    <w:basedOn w:val="CoversheetTitle"/>
    <w:qFormat/>
    <w:rsid w:val="00622924"/>
    <w:rPr>
      <w:smallCaps w:val="0"/>
      <w:sz w:val="22"/>
    </w:rPr>
  </w:style>
  <w:style w:type="paragraph" w:customStyle="1" w:styleId="CoversheetStaticText">
    <w:name w:val="Coversheet Static Text"/>
    <w:basedOn w:val="CoversheetIntro"/>
    <w:qFormat/>
    <w:rsid w:val="00622924"/>
    <w:rPr>
      <w:b w:val="0"/>
    </w:rPr>
  </w:style>
  <w:style w:type="paragraph" w:customStyle="1" w:styleId="CoversheetParty">
    <w:name w:val="Coversheet Party"/>
    <w:basedOn w:val="CoversheetIntro"/>
    <w:qFormat/>
    <w:rsid w:val="00622924"/>
  </w:style>
  <w:style w:type="paragraph" w:customStyle="1" w:styleId="NoNumUntitledClause">
    <w:name w:val="No Num Untitled Clause"/>
    <w:basedOn w:val="UntitledClause"/>
    <w:qFormat/>
    <w:rsid w:val="00622924"/>
    <w:pPr>
      <w:numPr>
        <w:numId w:val="0"/>
      </w:numPr>
      <w:ind w:left="720"/>
    </w:pPr>
  </w:style>
  <w:style w:type="paragraph" w:customStyle="1" w:styleId="BackgroundSubclause1">
    <w:name w:val="Background Subclause1"/>
    <w:basedOn w:val="Background"/>
    <w:qFormat/>
    <w:rsid w:val="00622924"/>
    <w:pPr>
      <w:numPr>
        <w:ilvl w:val="1"/>
      </w:numPr>
    </w:pPr>
  </w:style>
  <w:style w:type="paragraph" w:customStyle="1" w:styleId="BackgroundSubclause2">
    <w:name w:val="Background Subclause2"/>
    <w:basedOn w:val="Background"/>
    <w:qFormat/>
    <w:rsid w:val="00622924"/>
    <w:pPr>
      <w:numPr>
        <w:ilvl w:val="3"/>
      </w:numPr>
    </w:pPr>
  </w:style>
  <w:style w:type="paragraph" w:customStyle="1" w:styleId="HeadingLevel2CQA">
    <w:name w:val="Heading Level 2 CQA"/>
    <w:basedOn w:val="HeadingLevel2"/>
    <w:qFormat/>
    <w:rsid w:val="00622924"/>
  </w:style>
  <w:style w:type="paragraph" w:customStyle="1" w:styleId="ClauseBullet1">
    <w:name w:val="Clause Bullet 1"/>
    <w:basedOn w:val="ParaClause"/>
    <w:qFormat/>
    <w:rsid w:val="00622924"/>
    <w:pPr>
      <w:numPr>
        <w:numId w:val="13"/>
      </w:numPr>
      <w:ind w:left="1077" w:hanging="357"/>
      <w:outlineLvl w:val="0"/>
    </w:pPr>
  </w:style>
  <w:style w:type="paragraph" w:customStyle="1" w:styleId="ClauseBullet2">
    <w:name w:val="Clause Bullet 2"/>
    <w:basedOn w:val="ParaClause"/>
    <w:qFormat/>
    <w:rsid w:val="00622924"/>
    <w:pPr>
      <w:numPr>
        <w:numId w:val="14"/>
      </w:numPr>
      <w:ind w:left="1434" w:hanging="357"/>
      <w:outlineLvl w:val="1"/>
    </w:pPr>
  </w:style>
  <w:style w:type="paragraph" w:customStyle="1" w:styleId="subclause1Bullet1">
    <w:name w:val="subclause 1 Bullet 1"/>
    <w:basedOn w:val="Parasubclause1"/>
    <w:qFormat/>
    <w:rsid w:val="00622924"/>
    <w:pPr>
      <w:numPr>
        <w:numId w:val="15"/>
      </w:numPr>
      <w:ind w:left="1077" w:hanging="357"/>
    </w:pPr>
  </w:style>
  <w:style w:type="paragraph" w:customStyle="1" w:styleId="subclause2Bullet1">
    <w:name w:val="subclause 2 Bullet 1"/>
    <w:basedOn w:val="Parasubclause2"/>
    <w:qFormat/>
    <w:rsid w:val="00622924"/>
    <w:pPr>
      <w:numPr>
        <w:numId w:val="17"/>
      </w:numPr>
      <w:ind w:left="1434" w:hanging="357"/>
    </w:pPr>
  </w:style>
  <w:style w:type="paragraph" w:customStyle="1" w:styleId="subclause3Bullet1">
    <w:name w:val="subclause 3 Bullet 1"/>
    <w:basedOn w:val="Parasubclause3"/>
    <w:qFormat/>
    <w:rsid w:val="00622924"/>
    <w:pPr>
      <w:numPr>
        <w:numId w:val="16"/>
      </w:numPr>
      <w:ind w:left="2273" w:hanging="357"/>
    </w:pPr>
  </w:style>
  <w:style w:type="paragraph" w:customStyle="1" w:styleId="subclause1Bullet2">
    <w:name w:val="subclause 1 Bullet 2"/>
    <w:basedOn w:val="Parasubclause1"/>
    <w:qFormat/>
    <w:rsid w:val="00622924"/>
    <w:pPr>
      <w:numPr>
        <w:numId w:val="18"/>
      </w:numPr>
      <w:ind w:left="1434" w:hanging="357"/>
    </w:pPr>
  </w:style>
  <w:style w:type="paragraph" w:customStyle="1" w:styleId="subclause2Bullet2">
    <w:name w:val="subclause 2 Bullet 2"/>
    <w:basedOn w:val="Parasubclause2"/>
    <w:qFormat/>
    <w:rsid w:val="00622924"/>
    <w:pPr>
      <w:numPr>
        <w:numId w:val="19"/>
      </w:numPr>
      <w:ind w:left="2273" w:hanging="357"/>
    </w:pPr>
  </w:style>
  <w:style w:type="paragraph" w:customStyle="1" w:styleId="subclause3Bullet2">
    <w:name w:val="subclause 3 Bullet 2"/>
    <w:basedOn w:val="Parasubclause3"/>
    <w:qFormat/>
    <w:rsid w:val="00622924"/>
    <w:pPr>
      <w:numPr>
        <w:numId w:val="20"/>
      </w:numPr>
      <w:ind w:left="2982" w:hanging="357"/>
    </w:pPr>
  </w:style>
  <w:style w:type="paragraph" w:customStyle="1" w:styleId="DefinedTermBullet">
    <w:name w:val="Defined Term Bullet"/>
    <w:basedOn w:val="DefinedTermPara"/>
    <w:qFormat/>
    <w:rsid w:val="00622924"/>
    <w:pPr>
      <w:numPr>
        <w:numId w:val="21"/>
      </w:numPr>
    </w:pPr>
  </w:style>
  <w:style w:type="paragraph" w:customStyle="1" w:styleId="DefinedTermNumber">
    <w:name w:val="Defined Term Number"/>
    <w:basedOn w:val="DefinedTermPara"/>
    <w:qFormat/>
    <w:rsid w:val="00622924"/>
    <w:pPr>
      <w:numPr>
        <w:ilvl w:val="1"/>
      </w:numPr>
    </w:pPr>
  </w:style>
  <w:style w:type="paragraph" w:customStyle="1" w:styleId="AdditionalTitle">
    <w:name w:val="Additional Title"/>
    <w:basedOn w:val="Paragraph"/>
    <w:qFormat/>
    <w:rsid w:val="00622924"/>
    <w:pPr>
      <w:jc w:val="left"/>
    </w:pPr>
    <w:rPr>
      <w:b/>
      <w:sz w:val="24"/>
    </w:rPr>
  </w:style>
  <w:style w:type="character" w:customStyle="1" w:styleId="error">
    <w:name w:val="error"/>
    <w:basedOn w:val="DefaultParagraphFont"/>
    <w:rsid w:val="00622924"/>
    <w:rPr>
      <w:color w:val="000000"/>
    </w:rPr>
  </w:style>
  <w:style w:type="paragraph" w:customStyle="1" w:styleId="NoNumUntitledsubclause1">
    <w:name w:val="No Num Untitled subclause 1"/>
    <w:basedOn w:val="Untitledsubclause1"/>
    <w:qFormat/>
    <w:rsid w:val="00622924"/>
    <w:pPr>
      <w:numPr>
        <w:ilvl w:val="0"/>
        <w:numId w:val="0"/>
      </w:numPr>
      <w:ind w:left="720"/>
    </w:pPr>
  </w:style>
  <w:style w:type="paragraph" w:customStyle="1" w:styleId="BackgroundParaClause">
    <w:name w:val="Background Para Clause"/>
    <w:basedOn w:val="Background"/>
    <w:qFormat/>
    <w:rsid w:val="00622924"/>
    <w:pPr>
      <w:numPr>
        <w:numId w:val="0"/>
      </w:numPr>
    </w:pPr>
  </w:style>
  <w:style w:type="paragraph" w:customStyle="1" w:styleId="BackgroundParaSubclause1">
    <w:name w:val="Background Para Subclause1"/>
    <w:basedOn w:val="BackgroundSubclause1"/>
    <w:qFormat/>
    <w:rsid w:val="00622924"/>
    <w:pPr>
      <w:numPr>
        <w:ilvl w:val="0"/>
        <w:numId w:val="0"/>
      </w:numPr>
      <w:ind w:left="994"/>
    </w:pPr>
    <w:rPr>
      <w:lang w:val="en-US"/>
    </w:rPr>
  </w:style>
  <w:style w:type="paragraph" w:customStyle="1" w:styleId="BackgroundParaSubclause2">
    <w:name w:val="Background Para Subclause2"/>
    <w:basedOn w:val="BackgroundSubclause2"/>
    <w:qFormat/>
    <w:rsid w:val="00622924"/>
    <w:pPr>
      <w:numPr>
        <w:ilvl w:val="0"/>
        <w:numId w:val="0"/>
      </w:numPr>
      <w:ind w:left="1701"/>
    </w:pPr>
    <w:rPr>
      <w:lang w:val="en-US"/>
    </w:rPr>
  </w:style>
  <w:style w:type="paragraph" w:customStyle="1" w:styleId="ClauseBulletPara">
    <w:name w:val="Clause Bullet Para"/>
    <w:basedOn w:val="ClauseBullet1"/>
    <w:qFormat/>
    <w:rsid w:val="00622924"/>
    <w:pPr>
      <w:numPr>
        <w:numId w:val="0"/>
      </w:numPr>
      <w:ind w:left="1080"/>
    </w:pPr>
    <w:rPr>
      <w:lang w:val="en-US"/>
    </w:rPr>
  </w:style>
  <w:style w:type="paragraph" w:customStyle="1" w:styleId="ClauseBullet2Para">
    <w:name w:val="Clause Bullet 2 Para"/>
    <w:basedOn w:val="ClauseBullet2"/>
    <w:qFormat/>
    <w:rsid w:val="00622924"/>
    <w:pPr>
      <w:numPr>
        <w:numId w:val="0"/>
      </w:numPr>
      <w:ind w:left="1440"/>
    </w:pPr>
    <w:rPr>
      <w:lang w:val="en-US"/>
    </w:rPr>
  </w:style>
  <w:style w:type="paragraph" w:customStyle="1" w:styleId="ACTJurisdictionCheckList">
    <w:name w:val="ACTJurisdictionCheckList"/>
    <w:basedOn w:val="Normal"/>
    <w:rsid w:val="00622924"/>
    <w:pPr>
      <w:spacing w:after="120" w:line="300" w:lineRule="atLeast"/>
    </w:pPr>
    <w:rPr>
      <w:rFonts w:eastAsia="Arial Unicode MS"/>
      <w:b/>
      <w:sz w:val="28"/>
    </w:rPr>
  </w:style>
  <w:style w:type="paragraph" w:customStyle="1" w:styleId="JurisdictionDraftingnoteTitle">
    <w:name w:val="Jurisdiction Draftingnote Title"/>
    <w:basedOn w:val="DraftingnoteTitle"/>
    <w:qFormat/>
    <w:rsid w:val="00622924"/>
  </w:style>
  <w:style w:type="paragraph" w:customStyle="1" w:styleId="EmptyClausePara">
    <w:name w:val="Empty Clause Para"/>
    <w:basedOn w:val="IgnoredSpacing"/>
    <w:qFormat/>
    <w:rsid w:val="00622924"/>
  </w:style>
  <w:style w:type="paragraph" w:styleId="ListParagraph">
    <w:name w:val="List Paragraph"/>
    <w:basedOn w:val="Normal"/>
    <w:uiPriority w:val="34"/>
    <w:qFormat/>
    <w:rsid w:val="00622924"/>
    <w:pPr>
      <w:ind w:left="720"/>
      <w:contextualSpacing/>
    </w:pPr>
  </w:style>
  <w:style w:type="paragraph" w:customStyle="1" w:styleId="ScheduleTitlesubclause1">
    <w:name w:val="Schedule Title subclause1"/>
    <w:basedOn w:val="ScheduleUntitledsubclause1"/>
    <w:qFormat/>
    <w:rsid w:val="00622924"/>
    <w:pPr>
      <w:spacing w:before="120"/>
    </w:pPr>
    <w:rPr>
      <w:b/>
    </w:rPr>
  </w:style>
  <w:style w:type="paragraph" w:customStyle="1" w:styleId="BulletList1Pattern">
    <w:name w:val="Bullet List 1 + Pattern"/>
    <w:basedOn w:val="BulletList1"/>
    <w:qFormat/>
    <w:rsid w:val="00622924"/>
    <w:pPr>
      <w:shd w:val="clear" w:color="auto" w:fill="D9D9D9" w:themeFill="background1" w:themeFillShade="D9"/>
      <w:spacing w:after="120" w:line="240" w:lineRule="auto"/>
      <w:ind w:left="714" w:hanging="357"/>
    </w:pPr>
  </w:style>
  <w:style w:type="paragraph" w:customStyle="1" w:styleId="BulletList2Pattern">
    <w:name w:val="Bullet List 2 + Pattern"/>
    <w:basedOn w:val="BulletList2"/>
    <w:qFormat/>
    <w:rsid w:val="00622924"/>
    <w:pPr>
      <w:shd w:val="clear" w:color="auto" w:fill="D9D9D9" w:themeFill="background1" w:themeFillShade="D9"/>
      <w:ind w:left="1077"/>
    </w:pPr>
  </w:style>
  <w:style w:type="paragraph" w:customStyle="1" w:styleId="6D83DCFF8BDF479DB88C9CA683CF81C7">
    <w:name w:val="6D83DCFF8BDF479DB88C9CA683CF81C7"/>
    <w:rsid w:val="00F53322"/>
    <w:pPr>
      <w:spacing w:after="120" w:line="240" w:lineRule="auto"/>
    </w:pPr>
    <w:rPr>
      <w:rFonts w:ascii="Arial" w:eastAsia="Times New Roman" w:hAnsi="Arial" w:cs="Times New Roman"/>
      <w:color w:val="000000"/>
      <w:sz w:val="24"/>
      <w:szCs w:val="24"/>
      <w:lang w:val="en-US" w:eastAsia="en-US"/>
    </w:rPr>
  </w:style>
  <w:style w:type="character" w:styleId="CommentReference">
    <w:name w:val="annotation reference"/>
    <w:basedOn w:val="DefaultParagraphFont"/>
    <w:uiPriority w:val="99"/>
    <w:semiHidden/>
    <w:rsid w:val="004E3F85"/>
    <w:rPr>
      <w:color w:val="000000"/>
      <w:sz w:val="16"/>
      <w:szCs w:val="16"/>
    </w:rPr>
  </w:style>
  <w:style w:type="paragraph" w:styleId="CommentText">
    <w:name w:val="annotation text"/>
    <w:basedOn w:val="Normal"/>
    <w:link w:val="CommentTextChar"/>
    <w:uiPriority w:val="99"/>
    <w:semiHidden/>
    <w:rsid w:val="004E3F85"/>
    <w:pPr>
      <w:spacing w:line="240" w:lineRule="auto"/>
    </w:pPr>
    <w:rPr>
      <w:sz w:val="20"/>
      <w:szCs w:val="20"/>
    </w:rPr>
  </w:style>
  <w:style w:type="character" w:customStyle="1" w:styleId="CommentTextChar">
    <w:name w:val="Comment Text Char"/>
    <w:basedOn w:val="DefaultParagraphFont"/>
    <w:link w:val="CommentText"/>
    <w:uiPriority w:val="99"/>
    <w:semiHidden/>
    <w:rsid w:val="004E3F85"/>
    <w:rPr>
      <w:color w:val="000000"/>
      <w:sz w:val="20"/>
      <w:szCs w:val="20"/>
    </w:rPr>
  </w:style>
  <w:style w:type="paragraph" w:styleId="CommentSubject">
    <w:name w:val="annotation subject"/>
    <w:basedOn w:val="CommentText"/>
    <w:next w:val="CommentText"/>
    <w:link w:val="CommentSubjectChar"/>
    <w:uiPriority w:val="99"/>
    <w:semiHidden/>
    <w:rsid w:val="004E3F85"/>
    <w:rPr>
      <w:b/>
      <w:bCs/>
    </w:rPr>
  </w:style>
  <w:style w:type="character" w:customStyle="1" w:styleId="CommentSubjectChar">
    <w:name w:val="Comment Subject Char"/>
    <w:basedOn w:val="CommentTextChar"/>
    <w:link w:val="CommentSubject"/>
    <w:uiPriority w:val="99"/>
    <w:semiHidden/>
    <w:rsid w:val="004E3F85"/>
    <w:rPr>
      <w:b/>
      <w:bCs/>
      <w:color w:val="000000"/>
      <w:sz w:val="20"/>
      <w:szCs w:val="20"/>
    </w:rPr>
  </w:style>
  <w:style w:type="character" w:customStyle="1" w:styleId="UnresolvedMention1">
    <w:name w:val="Unresolved Mention1"/>
    <w:basedOn w:val="DefaultParagraphFont"/>
    <w:uiPriority w:val="99"/>
    <w:semiHidden/>
    <w:unhideWhenUsed/>
    <w:rsid w:val="00D34F12"/>
    <w:rPr>
      <w:color w:val="000000"/>
      <w:shd w:val="clear" w:color="auto" w:fill="E6E6E6"/>
    </w:rPr>
  </w:style>
  <w:style w:type="paragraph" w:customStyle="1" w:styleId="SectorSpecificNoteTitle">
    <w:name w:val="Sector Specific Note Title"/>
    <w:basedOn w:val="JurisdictionDraftingnoteTitle"/>
    <w:qFormat/>
    <w:rsid w:val="00622924"/>
  </w:style>
  <w:style w:type="table" w:customStyle="1" w:styleId="ShadedTable1">
    <w:name w:val="Shaded Table1"/>
    <w:basedOn w:val="TableNormal"/>
    <w:uiPriority w:val="99"/>
    <w:rsid w:val="00622924"/>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IgnoredEmptysubclause">
    <w:name w:val="Ignored Empty subclause"/>
    <w:basedOn w:val="Normal"/>
    <w:link w:val="IgnoredEmptysubclauseChar"/>
    <w:qFormat/>
    <w:rsid w:val="00622924"/>
  </w:style>
  <w:style w:type="character" w:customStyle="1" w:styleId="BulletList1Char">
    <w:name w:val="Bullet List 1 Char"/>
    <w:basedOn w:val="DefaultParagraphFont"/>
    <w:link w:val="BulletList1"/>
    <w:rsid w:val="00053D93"/>
    <w:rPr>
      <w:rFonts w:ascii="Arial" w:eastAsia="Arial Unicode MS" w:hAnsi="Arial" w:cs="Arial"/>
      <w:color w:val="000000"/>
      <w:szCs w:val="20"/>
      <w:lang w:eastAsia="en-US"/>
    </w:rPr>
  </w:style>
  <w:style w:type="character" w:customStyle="1" w:styleId="cohidesearchterm">
    <w:name w:val="co_hidesearchterm"/>
    <w:basedOn w:val="DefaultParagraphFont"/>
    <w:rsid w:val="00E20601"/>
    <w:rPr>
      <w:color w:val="000000"/>
    </w:rPr>
  </w:style>
  <w:style w:type="character" w:customStyle="1" w:styleId="IgnoredEmptysubclauseChar">
    <w:name w:val="Ignored Empty subclause Char"/>
    <w:basedOn w:val="DefaultParagraphFont"/>
    <w:link w:val="IgnoredEmptysubclause"/>
    <w:rsid w:val="00622924"/>
    <w:rPr>
      <w:color w:val="000000"/>
    </w:rPr>
  </w:style>
  <w:style w:type="paragraph" w:customStyle="1" w:styleId="FE9FEA9CC0E94E0FA5EFE209CA58453E">
    <w:name w:val="FE9FEA9CC0E94E0FA5EFE209CA58453E"/>
    <w:rsid w:val="00987A07"/>
    <w:pPr>
      <w:spacing w:after="160" w:line="259" w:lineRule="auto"/>
    </w:pPr>
    <w:rPr>
      <w:color w:val="000000"/>
      <w:lang w:val="en-US" w:eastAsia="en-US"/>
    </w:rPr>
  </w:style>
  <w:style w:type="paragraph" w:styleId="Revision">
    <w:name w:val="Revision"/>
    <w:hidden/>
    <w:uiPriority w:val="99"/>
    <w:semiHidden/>
    <w:rsid w:val="00D06D16"/>
    <w:pPr>
      <w:spacing w:after="0" w:line="240" w:lineRule="auto"/>
    </w:pPr>
    <w:rPr>
      <w:color w:val="000000"/>
    </w:rPr>
  </w:style>
  <w:style w:type="numbering" w:customStyle="1" w:styleId="ScheduleListStyle">
    <w:name w:val="ScheduleListStyle"/>
    <w:pPr>
      <w:numPr>
        <w:numId w:val="25"/>
      </w:numPr>
    </w:pPr>
  </w:style>
  <w:style w:type="numbering" w:customStyle="1" w:styleId="PartListStyle">
    <w:name w:val="PartListStyle"/>
    <w:pPr>
      <w:numPr>
        <w:numId w:val="27"/>
      </w:numPr>
    </w:pPr>
  </w:style>
  <w:style w:type="numbering" w:customStyle="1" w:styleId="ClauseListStyle">
    <w:name w:val="ClauseListStyle"/>
    <w:pPr>
      <w:numPr>
        <w:numId w:val="29"/>
      </w:numPr>
    </w:pPr>
  </w:style>
  <w:style w:type="paragraph" w:styleId="TOC1">
    <w:name w:val="toc 1"/>
    <w:basedOn w:val="Normal"/>
    <w:next w:val="Normal"/>
    <w:autoRedefine/>
    <w:rsid w:val="00805BCE"/>
    <w:pPr>
      <w:spacing w:after="100" w:line="240" w:lineRule="auto"/>
    </w:pPr>
  </w:style>
  <w:style w:type="paragraph" w:styleId="NormalWeb">
    <w:name w:val="Normal (Web)"/>
    <w:basedOn w:val="Normal"/>
    <w:uiPriority w:val="99"/>
    <w:semiHidden/>
    <w:unhideWhenUsed/>
    <w:rsid w:val="00E1426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E14261"/>
    <w:rPr>
      <w:b/>
      <w:bCs/>
    </w:rPr>
  </w:style>
  <w:style w:type="paragraph" w:customStyle="1" w:styleId="GeniusHeadingstyle1">
    <w:name w:val="Genius Heading style 1"/>
    <w:basedOn w:val="Heading1"/>
    <w:next w:val="Normal"/>
    <w:link w:val="GeniusHeadingstyle1Char"/>
    <w:qFormat/>
    <w:rsid w:val="00A038EE"/>
    <w:pPr>
      <w:numPr>
        <w:numId w:val="0"/>
      </w:numPr>
      <w:spacing w:before="240" w:line="360" w:lineRule="auto"/>
    </w:pPr>
    <w:rPr>
      <w:rFonts w:ascii="Klarheit Kurrent Book" w:hAnsi="Klarheit Kurrent Book" w:cs="Arial"/>
      <w:b w:val="0"/>
      <w:bCs w:val="0"/>
      <w:color w:val="365F91" w:themeColor="accent1" w:themeShade="BF"/>
      <w:kern w:val="28"/>
      <w:szCs w:val="32"/>
    </w:rPr>
  </w:style>
  <w:style w:type="character" w:customStyle="1" w:styleId="GeniusHeadingstyle1Char">
    <w:name w:val="Genius Heading style 1 Char"/>
    <w:basedOn w:val="DefaultParagraphFont"/>
    <w:link w:val="GeniusHeadingstyle1"/>
    <w:rsid w:val="00A038EE"/>
    <w:rPr>
      <w:rFonts w:ascii="Klarheit Kurrent Book" w:eastAsiaTheme="majorEastAsia" w:hAnsi="Klarheit Kurrent Book" w:cs="Arial"/>
      <w:color w:val="365F91" w:themeColor="accent1" w:themeShade="BF"/>
      <w:kern w:val="28"/>
      <w:sz w:val="28"/>
      <w:szCs w:val="32"/>
    </w:rPr>
  </w:style>
  <w:style w:type="paragraph" w:customStyle="1" w:styleId="AnnexA">
    <w:name w:val="Annex A"/>
    <w:basedOn w:val="Schedule"/>
    <w:link w:val="AnnexAChar"/>
    <w:qFormat/>
    <w:rsid w:val="00BC3B3D"/>
    <w:pPr>
      <w:pageBreakBefore/>
      <w:numPr>
        <w:numId w:val="0"/>
      </w:numPr>
      <w:spacing w:line="240" w:lineRule="auto"/>
    </w:pPr>
    <w:rPr>
      <w:rFonts w:ascii="Red Hat Text" w:hAnsi="Red Hat Text"/>
      <w:sz w:val="18"/>
      <w:szCs w:val="18"/>
    </w:rPr>
  </w:style>
  <w:style w:type="character" w:customStyle="1" w:styleId="ScheduleChar">
    <w:name w:val="Schedule Char"/>
    <w:basedOn w:val="DefaultParagraphFont"/>
    <w:link w:val="Schedule"/>
    <w:rsid w:val="00BC3B3D"/>
    <w:rPr>
      <w:rFonts w:ascii="Arial" w:eastAsia="Arial Unicode MS" w:hAnsi="Arial" w:cs="Arial"/>
      <w:b/>
      <w:color w:val="000000"/>
      <w:lang w:val="en-US" w:eastAsia="en-US"/>
    </w:rPr>
  </w:style>
  <w:style w:type="character" w:customStyle="1" w:styleId="AnnexAChar">
    <w:name w:val="Annex A Char"/>
    <w:basedOn w:val="ScheduleChar"/>
    <w:link w:val="AnnexA"/>
    <w:rsid w:val="00BC3B3D"/>
    <w:rPr>
      <w:rFonts w:ascii="Red Hat Text" w:eastAsia="Arial Unicode MS" w:hAnsi="Red Hat Text" w:cs="Arial"/>
      <w:b/>
      <w:color w:val="000000"/>
      <w:sz w:val="18"/>
      <w:szCs w:val="18"/>
      <w:lang w:val="en-US" w:eastAsia="en-US"/>
    </w:rPr>
  </w:style>
  <w:style w:type="paragraph" w:styleId="BodyText2">
    <w:name w:val="Body Text 2"/>
    <w:basedOn w:val="Normal"/>
    <w:link w:val="BodyText2Char"/>
    <w:rsid w:val="00C246D3"/>
    <w:pPr>
      <w:spacing w:after="240" w:line="240" w:lineRule="auto"/>
      <w:ind w:left="720"/>
      <w:jc w:val="both"/>
    </w:pPr>
    <w:rPr>
      <w:rFonts w:ascii="Calibri" w:eastAsiaTheme="minorHAnsi" w:hAnsi="Calibri" w:cstheme="minorBidi"/>
      <w:color w:val="auto"/>
      <w:sz w:val="21"/>
      <w:lang w:eastAsia="en-US"/>
    </w:rPr>
  </w:style>
  <w:style w:type="character" w:customStyle="1" w:styleId="BodyText2Char">
    <w:name w:val="Body Text 2 Char"/>
    <w:basedOn w:val="DefaultParagraphFont"/>
    <w:link w:val="BodyText2"/>
    <w:rsid w:val="00C246D3"/>
    <w:rPr>
      <w:rFonts w:ascii="Calibri" w:eastAsiaTheme="minorHAnsi" w:hAnsi="Calibri"/>
      <w:sz w:val="21"/>
      <w:lang w:eastAsia="en-US"/>
    </w:rPr>
  </w:style>
  <w:style w:type="character" w:styleId="UnresolvedMention">
    <w:name w:val="Unresolved Mention"/>
    <w:basedOn w:val="DefaultParagraphFont"/>
    <w:uiPriority w:val="99"/>
    <w:rsid w:val="00BF7230"/>
    <w:rPr>
      <w:color w:val="605E5C"/>
      <w:shd w:val="clear" w:color="auto" w:fill="E1DFDD"/>
    </w:rPr>
  </w:style>
  <w:style w:type="paragraph" w:customStyle="1" w:styleId="Heading">
    <w:name w:val="Heading"/>
    <w:basedOn w:val="TitleClause"/>
    <w:link w:val="HeadingChar"/>
    <w:qFormat/>
    <w:rsid w:val="00E73CDB"/>
    <w:pPr>
      <w:numPr>
        <w:numId w:val="0"/>
      </w:numPr>
      <w:spacing w:line="240" w:lineRule="auto"/>
      <w:ind w:left="720" w:hanging="720"/>
    </w:pPr>
    <w:rPr>
      <w:rFonts w:ascii="Aptos" w:hAnsi="Aptos"/>
      <w:color w:val="009999"/>
      <w:sz w:val="18"/>
      <w:szCs w:val="18"/>
    </w:rPr>
  </w:style>
  <w:style w:type="character" w:customStyle="1" w:styleId="TitleClauseChar">
    <w:name w:val="Title Clause Char"/>
    <w:basedOn w:val="DefaultParagraphFont"/>
    <w:link w:val="TitleClause"/>
    <w:rsid w:val="00E73CDB"/>
    <w:rPr>
      <w:rFonts w:ascii="Arial" w:eastAsia="Arial Unicode MS" w:hAnsi="Arial" w:cs="Arial"/>
      <w:b/>
      <w:color w:val="000000"/>
      <w:kern w:val="28"/>
      <w:szCs w:val="20"/>
      <w:lang w:eastAsia="en-US"/>
    </w:rPr>
  </w:style>
  <w:style w:type="character" w:customStyle="1" w:styleId="HeadingChar">
    <w:name w:val="Heading Char"/>
    <w:basedOn w:val="TitleClauseChar"/>
    <w:link w:val="Heading"/>
    <w:rsid w:val="00E73CDB"/>
    <w:rPr>
      <w:rFonts w:ascii="Aptos" w:eastAsia="Arial Unicode MS" w:hAnsi="Aptos" w:cs="Arial"/>
      <w:b/>
      <w:color w:val="009999"/>
      <w:kern w:val="28"/>
      <w:sz w:val="18"/>
      <w:szCs w:val="18"/>
      <w:lang w:eastAsia="en-US"/>
    </w:rPr>
  </w:style>
  <w:style w:type="paragraph" w:customStyle="1" w:styleId="1stclause">
    <w:name w:val="1st clause"/>
    <w:basedOn w:val="TitleClause"/>
    <w:link w:val="1stclauseChar"/>
    <w:qFormat/>
    <w:rsid w:val="00E73CDB"/>
    <w:pPr>
      <w:spacing w:line="240" w:lineRule="auto"/>
    </w:pPr>
    <w:rPr>
      <w:rFonts w:ascii="Aptos" w:hAnsi="Aptos"/>
      <w:color w:val="009999"/>
      <w:sz w:val="18"/>
      <w:szCs w:val="18"/>
    </w:rPr>
  </w:style>
  <w:style w:type="character" w:customStyle="1" w:styleId="1stclauseChar">
    <w:name w:val="1st clause Char"/>
    <w:basedOn w:val="TitleClauseChar"/>
    <w:link w:val="1stclause"/>
    <w:rsid w:val="00E73CDB"/>
    <w:rPr>
      <w:rFonts w:ascii="Aptos" w:eastAsia="Arial Unicode MS" w:hAnsi="Aptos" w:cs="Arial"/>
      <w:b/>
      <w:color w:val="009999"/>
      <w:kern w:val="28"/>
      <w:sz w:val="18"/>
      <w:szCs w:val="18"/>
      <w:lang w:eastAsia="en-US"/>
    </w:rPr>
  </w:style>
  <w:style w:type="paragraph" w:customStyle="1" w:styleId="2ndclause">
    <w:name w:val="2nd clause"/>
    <w:basedOn w:val="Untitledsubclause1"/>
    <w:link w:val="2ndclauseChar"/>
    <w:qFormat/>
    <w:rsid w:val="00E73CDB"/>
    <w:rPr>
      <w:rFonts w:ascii="Aptos" w:hAnsi="Aptos"/>
      <w:sz w:val="18"/>
      <w:szCs w:val="18"/>
    </w:rPr>
  </w:style>
  <w:style w:type="character" w:customStyle="1" w:styleId="Untitledsubclause1Char">
    <w:name w:val="Untitled subclause 1 Char"/>
    <w:basedOn w:val="DefaultParagraphFont"/>
    <w:link w:val="Untitledsubclause1"/>
    <w:rsid w:val="00E73CDB"/>
    <w:rPr>
      <w:rFonts w:ascii="Arial" w:eastAsia="Arial Unicode MS" w:hAnsi="Arial" w:cs="Arial"/>
      <w:color w:val="000000"/>
      <w:szCs w:val="20"/>
      <w:lang w:eastAsia="en-US"/>
    </w:rPr>
  </w:style>
  <w:style w:type="character" w:customStyle="1" w:styleId="2ndclauseChar">
    <w:name w:val="2nd clause Char"/>
    <w:basedOn w:val="Untitledsubclause1Char"/>
    <w:link w:val="2ndclause"/>
    <w:rsid w:val="00E73CDB"/>
    <w:rPr>
      <w:rFonts w:ascii="Aptos" w:eastAsia="Arial Unicode MS" w:hAnsi="Aptos" w:cs="Arial"/>
      <w:color w:val="000000"/>
      <w:sz w:val="18"/>
      <w:szCs w:val="18"/>
      <w:lang w:eastAsia="en-US"/>
    </w:rPr>
  </w:style>
  <w:style w:type="character" w:customStyle="1" w:styleId="khidentifier">
    <w:name w:val="kh_identifier"/>
    <w:basedOn w:val="DefaultParagraphFont"/>
    <w:rsid w:val="00062EE7"/>
  </w:style>
  <w:style w:type="character" w:customStyle="1" w:styleId="khdescription">
    <w:name w:val="kh_description"/>
    <w:basedOn w:val="DefaultParagraphFont"/>
    <w:rsid w:val="00062EE7"/>
  </w:style>
  <w:style w:type="character" w:customStyle="1" w:styleId="cobluetxt">
    <w:name w:val="co_bluetxt"/>
    <w:basedOn w:val="DefaultParagraphFont"/>
    <w:rsid w:val="00062EE7"/>
  </w:style>
  <w:style w:type="character" w:customStyle="1" w:styleId="cosearchterm">
    <w:name w:val="co_searchterm"/>
    <w:basedOn w:val="DefaultParagraphFont"/>
    <w:rsid w:val="00062E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118216">
      <w:bodyDiv w:val="1"/>
      <w:marLeft w:val="0"/>
      <w:marRight w:val="0"/>
      <w:marTop w:val="0"/>
      <w:marBottom w:val="0"/>
      <w:divBdr>
        <w:top w:val="none" w:sz="0" w:space="0" w:color="auto"/>
        <w:left w:val="none" w:sz="0" w:space="0" w:color="auto"/>
        <w:bottom w:val="none" w:sz="0" w:space="0" w:color="auto"/>
        <w:right w:val="none" w:sz="0" w:space="0" w:color="auto"/>
      </w:divBdr>
    </w:div>
    <w:div w:id="1976568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yperlink" Target="mailto:beth@satorusgroup.com" TargetMode="External"/><Relationship Id="rId23" Type="http://schemas.openxmlformats.org/officeDocument/2006/relationships/theme" Target="theme/theme1.xml"/><Relationship Id="rId10" Type="http://schemas.openxmlformats.org/officeDocument/2006/relationships/styles" Target="styl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n-document xmlns:xsd="http://www.w3.org/2001/XMLSchema" xmlns:xsi="http://www.w3.org/2001/XMLSchema-instance" guid="0" synced="true" validated="true">
  <n-docbody>
    <standard.doc precedenttype="agreement">
      <prelim>
        <product.name>product.name0</product.name>
        <title>Personal data processing clauses for IT agreements (UK) (pro-customer)</title>
        <author>Practical Law IP&amp;IT</author>
        <resource.type>Standard documents</resource.type>
        <juris>juris0</juris>
        <juris>juris1</juris>
      </prelim>
      <abstract>
        <para>
          <paratext>
            A set of personal data processing clauses designed for use in an IT context, to facilitate compliance with the UK GDPR and EU GDPR
            <bold>. </bold>
          </paratext>
        </para>
      </abstract>
      <toc.identifier hasToc="false"/>
      <body>
        <drafting.note id="a471375" jurisdiction="">
          <head align="left" preservecase="true">
            <headtext>About this document</headtext>
          </head>
          <division id="a000008" level="1">
            <para>
              <paratext>This document contains a set of personal data processing clauses, designed for use specifically as part of an IT supply arrangement.</paratext>
            </para>
            <para>
              <paratext>
                They have been drafted to facilitate compliance with the 
                <link href="w-026-8528" style="ACTLinkPLCtoPLC">
                  <ital>UK GDPR</ital>
                </link>
                <ital> </ital>
                from the perspective of a customer purchasing IT goods or services. However, the 
                <link href="https://uk.practicallaw.thomsonreuters.com/w-026-8527?originationContext=document&amp;amp;transitionType=DocumentItem&amp;amp;contextData=(sc.Default)&amp;amp;ppcid=f32c0b67aa884946a241787d666bf0b3" style="ACTLinkURL">
                  <ital>EU GDPR</ital>
                </link>
                 has extraterritorial effect under Article 3 and may also apply to UK 
                <link href="https://uk.practicallaw.thomsonreuters.com/5-107-5723?originationContext=document&amp;amp;transitionType=DocumentItem&amp;amp;contextData=(sc.Default)&amp;amp;ppcid=f32c0b67aa884946a241787d666bf0b3" style="ACTLinkURL">
                  <ital>controllers</ital>
                </link>
                 or 
                <link href="https://uk.practicallaw.thomsonreuters.com/2-384-8947?originationContext=document&amp;amp;transitionType=DocumentItem&amp;amp;contextData=(sc.Default)&amp;amp;ppcid=f32c0b67aa884946a241787d666bf0b3" style="ACTLinkURL">
                  <ital>processors</ital>
                </link>
                 operating in the EU (see 
                <internal.reference refid="a231017">Drafting note, Application of EU GDPR</internal.reference>
                ). For this reason, these clauses also aim to comply with the EU GDPR.
              </paratext>
            </para>
            <para>
              <paratext>
                The standard clauses are based on Practical Law's standard personal data processing clauses (see 
                <link href="w-027-8411" style="ACTLinkPLCtoPLC">
                  <ital>Standard clauses, Data processing clauses (UK)</ital>
                </link>
                ) but have been adapted for use specifically in an IT context, based on several common assumptions that typically apply when purchasing IT goods and services (see 
                <internal.reference refid="a830046">Drafting note, Assumptions</internal.reference>
                ). The assumptions should be carefully reviewed and if they do not apply, the clauses should be tailored to reflect your specific circumstances, as necessary.
              </paratext>
            </para>
            <para>
              <paratext>These clauses have been drafted for incorporation into the main body of a broader, commercial IT agreement but can also be adapted for use as a schedule.</paratext>
            </para>
            <para>
              <paratext>
                These clauses have been drafted to reflect the principles discussed in more detail in 
                <link href="w-027-2423" style="ACTLinkPLCtoPLC">
                  <ital>Practice note, Data protection issues in IT contracts</ital>
                </link>
                .
              </paratext>
            </para>
            <division id="a000009" level="2">
              <division id="a231017" level="3">
                <head align="left" preservecase="true">
                  <headtext>Application of EU GDPR</headtext>
                </head>
                <para>
                  <paratext>
                    As the 
                    <link href="http://uk.practicallaw.thomsonreuters.com/w-026-8527?originationContext=document&amp;amp;vr=3.0&amp;amp;rs=PLUK1.0&amp;amp;transitionType=DocumentItem&amp;amp;contextData=(sc.Default)" style="ACTLinkURL">
                      <ital>EU GDPR</ital>
                    </link>
                     will continue to have extra-territorial effect (see 
                    <ital>Article 3, EU GDPR</ital>
                    ) it may continue to apply to UK IT suppliers or customers who act as 
                    <link href="5-107-5723" style="ACTLinkPLCtoPLC">
                      <ital>controllers</ital>
                    </link>
                     or 
                    <link href="2-384-8947" style="ACTLinkPLCtoPLC">
                      <ital>processors</ital>
                    </link>
                     and have an establishment in the EU, or who offer goods or services to data subjects in the EU; or monitor their behaviour as far as their behaviour takes place within the EU. Such organisations may, therefore, find themselves subject to parallel data protection regulatory regimes under the UK GDPR and the EU GDPR.
                  </paratext>
                </para>
                <para>
                  <paratext>
                    For more information, see 
                    <link href="w-035-9188" style="ACTLinkPLCtoPLC">
                      <ital>Practice note, Processing personal data: applicability of EU GDPR and UK GDPR</ital>
                    </link>
                    .
                  </paratext>
                </para>
              </division>
            </division>
            <division id="a830046" level="2">
              <head align="left" preservecase="true">
                <headtext>Assumptions</headtext>
              </head>
              <para>
                <paratext>It is assumed for the purposes of these standard clauses that:</paratext>
              </para>
              <list type="bulleted">
                <list.item>
                  <para>
                    <paratext>
                      Both parties will be subject to the UK GDPR, and may also be subject to the EU GDPR, see 
                      <internal.reference refid="a231017">Drafting note, Application of EU GDPR</internal.reference>
                      . Therefore, as far as possible, these clauses have been drafted to accommodate compliance with both regimes.
                    </paratext>
                  </para>
                </list.item>
                <list.item>
                  <para>
                    <paratext>
                      They have been drafted in favour of the customer. For standard data processing clauses which are drafted in favour of the supplier, see 
                      <link href="w-026-6854" style="ACTLinkPLCtoPLC">
                        <ital>Standard clause, Personal data processing clauses for IT agreements (UK) (pro-supplier)</ital>
                      </link>
                      .
                    </paratext>
                  </para>
                </list.item>
                <list.item>
                  <para>
                    <paratext>The IT supplier will process personal data in connection with the provision of goods or services to its customer, and in particular:</paratext>
                  </para>
                  <list type="bulleted">
                    <list.item>
                      <para>
                        <paratext>
                          the IT supplier will process personal data as an independent controller in respect of certain processing activities to be specified in 
                          <internal.reference refid="a266696">Part 1</internal.reference>
                           of 
                          <internal.reference refid="a429515">Schedule 1</internal.reference>
                          . If this is not the case, 
                          <internal.reference refid="a141984">clause 1.3(a)</internal.reference>
                           and 
                          <internal.reference refid="a266696">Part 1</internal.reference>
                           of 
                          <internal.reference refid="a429515">Schedule 1</internal.reference>
                          <ital> </ital>
                          should be deleted;
                        </paratext>
                      </para>
                    </list.item>
                    <list.item>
                      <para>
                        <paratext>
                          the IT supplier will process personal data as a processor, on behalf of the customer, in respect of certain processing activities to be specified in 
                          <internal.reference refid="a170246">Part 2</internal.reference>
                           of 
                          <internal.reference refid="a429515">Schedule 1</internal.reference>
                          . If this is not the case, 
                          <internal.reference refid="a740710">clause 1.3(b)</internal.reference>
                           and 
                          <internal.reference refid="a170246">Part 2</internal.reference>
                           of 
                          <internal.reference refid="a429515">Schedule 1</internal.reference>
                          <ital> </ital>
                          should be deleted. 
                          <internal.reference refid="a820833">clause 1.8</internal.reference>
                           and 
                          <internal.reference refid="a540433">clause 1.9</internal.reference>
                          <ital> </ital>
                          should also be deleted; and
                        </paratext>
                      </para>
                    </list.item>
                    <list.item>
                      <para>
                        <paratext>
                          the IT supplier and customer will process personal data as joint controllers, in respect of certain processing activities to be specified in 
                          <internal.reference refid="a563499">Part 3</internal.reference>
                           of 
                          <internal.reference refid="a429515">Schedule 1</internal.reference>
                          . 
                          <internal.reference refid="a261321">Schedule 4</internal.reference>
                           should also be completed by the parties. If this is not the case, 
                          <internal.reference refid="a824805">clause 1.3(c)</internal.reference>
                           and 
                          <internal.reference refid="a563499">Part 3</internal.reference>
                           of 
                          <internal.reference refid="a429515">Schedule 1</internal.reference>
                          <ital> </ital>
                          and 
                          <internal.reference refid="a261321">Schedule 4</internal.reference>
                           should be deleted.
                        </paratext>
                      </para>
                    </list.item>
                  </list>
                  <para>
                    <paratext>
                      See 
                      <internal.reference refid="a161077">Drafting note, Determining data processing roles</internal.reference>
                      .
                    </paratext>
                  </para>
                </list.item>
              </list>
              <list type="bulleted">
                <list.item>
                  <para>
                    <paratext>
                      The customer will not act as a processor on behalf of the IT supplier at any point. This will likely be the case for most types of IT supply relationship, but the customer may act as a processor of the supplier if it has access to the supplier's personal data for some reason, but is not permitted to make independent use of it, for its own purposes. If this is the case, the parties will need to consider amending 
                      <internal.reference refid="a963735">clause 1.3</internal.reference>
                       to reflect this and will have to impose reciprocal obligations on the customer similar to those imposed on the IT supplier under 
                      <internal.reference refid="a820833">clause 1.8</internal.reference>
                       and 
                      <internal.reference refid="a540433">clause 1.9</internal.reference>
                      .
                    </paratext>
                  </para>
                </list.item>
                <list.item>
                  <para>
                    <paratext>
                      The processing of personal data under the agreement to which these clauses relate does not require any approval from, for example, a financial services regulator nor is it subject to any ongoing regulatory compliance regime other than any data protection compliance regime. By way of example, neither party is subject to any additional cybersecurity or incident notification requirements imposed under the
                      <link href="w-014-4419" style="ACTLinkPLCtoPLC">
                        <ital> Network and Information Systems Regulations 2018 (SI 2018/506)</ital>
                      </link>
                       or by the Financial Conduct Authority.
                    </paratext>
                  </para>
                </list.item>
                <list.item>
                  <para>
                    <paratext>The broader commercial IT agreement to which these clauses relate is subject to English law and the jurisdiction of the English courts.</paratext>
                  </para>
                </list.item>
                <list.item>
                  <para>
                    <paratext>
                      Other usual contractual provisions (including general liability caps and exclusions) are not set out in these clauses, and so should be addressed elsewhere as part of your wider contractual arrangements. However, this document does provide for an optional supercap which the parties may want to insert in relation to personal-data related liability, see 
                      <internal.reference refid="a628648">clause 1.13</internal.reference>
                      .
                    </paratext>
                  </para>
                </list.item>
                <list.item>
                  <para>
                    <paratext>
                      This document does not reflect the EU standard contractual clauses for use between controllers and processors, see 
                      <internal.reference refid="a499400">Drafting note, This resource compared to the EU standard contractual clauses for use between controllers and processors</internal.reference>
                      .
                    </paratext>
                  </para>
                </list.item>
              </list>
              <para>
                <paratext>
                  The above are assumptions only and these clauses should be carefully reviewed and adapted based on the specific processing involved in this commercial relationship and the roles of each party as either a processor, controller, or joint controller in respect of that processing, see 
                  <internal.reference refid="a161077">Drafting note, Determining data processing roles</internal.reference>
                  .
                </paratext>
              </para>
            </division>
            <division id="a558676" level="2">
              <head align="left" preservecase="true">
                <headtext>Regulatory guidance</headtext>
              </head>
              <para>
                <paratext>
                  For the latest regulatory guidance in this area, see 
                  <link anchor="a558676" href="w-027-8411" style="ACTLinkPLCtoPLC">
                    <ital>Standard clause, Data processing clauses (UK): Drafting note: Regulatory guidance</ital>
                  </link>
                  .
                </paratext>
              </para>
              <para>
                <paratext>
                  For more information on the UK GDPR, generally, see: 
                  <link href="w-013-3757" style="ACTLinkPLCtoPLC">
                    <ital>Practice note: overview, Overview of UK GDPR</ital>
                  </link>
                   and 
                  <link href="w-014-5998" style="ACTLinkPLCtoPLC">
                    <ital>Data Protection Act 2018: overview</ital>
                  </link>
                  .
                </paratext>
              </para>
            </division>
            <division id="a839614" level="2">
              <head align="left" preservecase="true">
                <headtext>General requirements for processor contracts</headtext>
              </head>
              <para>
                <paratext>
                  For a summary of the general requirements for processor contracts under the UK GDPR, see 
                  <link anchor="a839614" href="w-027-8411" style="ACTLinkPLCtoPLC">
                    <ital>Standard clause, Data processing clauses (UK): Drafting note: General requirements for processor contracts</ital>
                  </link>
                  <ital>.</ital>
                </paratext>
              </para>
              <para>
                <paratext>
                  For a summary of the general requirements for processor contracts under the EU GDPR, see 
                  <link anchor="a000063" href="w-005-6153" style="ACTLinkPLCtoPLC">
                    <ital>Practice note, Data Processor Obligations Under the GDPR: Processor Contractual Requirements</ital>
                  </link>
                  .
                </paratext>
              </para>
            </division>
            <division id="a499400" level="2">
              <head align="left" preservecase="true">
                <headtext>This resource compared to the EU standard contractual clauses for use between controllers and processors</headtext>
              </head>
              <para>
                <paratext>
                  On 4 June 2021, the EU Commission adopted a new set of standard contractual clauses (SCCs) for use between controllers and processors within the EEA under Article 28 of the EU GDPR (EU Controller-Processor SCCs). These came into force on 4 June 2021 (see 
                  <link href="https://uk.practicallaw.thomsonreuters.com/w-031-2777?originationContext=document&amp;amp;transitionType=DocumentItem&amp;amp;contextData=(sc.Default)" style="ACTLinkURL">
                    <ital>Legal update, European Commission adopts final versions of standard contractual clauses under EU GDPR</ital>
                  </link>
                  ) and 
                  <link href="w-031-6914" style="ACTLinkPLCtoPLC">
                    <ital>Article, Key Takeaways From the European Commission's Article 28 Standard Contractual Clauses</ital>
                  </link>
                  ).
                </paratext>
              </para>
              <para>
                <paratext>The use of the EU Controller-Processor SCCs are not mandatory and the parties can choose to negotiate their own terms in compliance with Article 28.</paratext>
              </para>
              <para>
                <paratext>
                  This document does not reflect the EU Controller-Processor SCCs.. If this document is used, the parties may decide to adopt the EU Controller-Processor SCCs at a later date by using the mechanism included at 
                  <internal.reference refid="a467012">clause 1.10</internal.reference>
                  .
                </paratext>
              </para>
              <para>
                <paratext>
                  It should be noted that the EU Controller-Processor SCCs are not currently recognised, or approved by, the UK Information Commissioner's Office (ICO) as being compliant with the UK GDPR. However, the ICO do refer to the SCCs produced by the Danish Data Protection Agency and 
                  <link href="_blank" style="ACTLinkPLCtoPLC">
                    <ital>approved by the European Data Protection Board (EDPB)</ital>
                  </link>
                  ; stating that if you use these SCCs in a contract with a processor without any amendments, the contract should comply with the requirements under Article 28 of the UK GDPR, see 
                  <link href="https://ico.org.uk/for-organisations/uk-gdpr-guidance-and-resources/accountability-and-governance/contracts-and-liabilities-between-controllers-and-processors-multi/" style="ACTLinkURL">
                    <ital>ICO: Contracts and liabilities between controllers and processors</ital>
                  </link>
                  <ital>. </ital>
                </paratext>
              </para>
              <para>
                <paratext>In the absence of such precedent clauses in the UK, the approach here is to balance document usability and risk management, recognising in the general run of IT contracts that disproportionately long terms in the data protection area will, as a practical matter, inhibit usability and take-up and that this will increase rather than reduce the risk to be managed. This approach, however, involves a judgement about, and trade-off between, clause length and coverage. Attention is therefore drawn in the document notes below to derivations between the relevant requirements of the clauses, and those set out in the EU GDPR and UK GDPR (as applicable), should users wish to copy across these provisions more exactly in any particular case(s). As part of this approach, these clauses will be reviewed as and when appropriate model contract clauses are published.</paratext>
              </para>
            </division>
          </division>
        </drafting.note>
        <operative xrefname="clause">
          <head align="left" preservecase="true">
            <headtext/>
          </head>
          <clause id="a235782" numbering="none">
            <head align="left" preservecase="true">
              <headtext>DEFINITIONS</headtext>
            </head>
            <drafting.note id="a980685" jurisdiction="">
              <head align="left" preservecase="true">
                <headtext>Definitions</headtext>
              </head>
              <division id="a000010" level="1">
                <para>
                  <paratext>The terms "Customer" and "Supplier" are used throughout these standard clauses to refer to each of the parties to the agreement, with the "Supplier" being the party providing the relevant IT goods or services, and the "Customer" being the party that receives it. It is assumed that these terms will already be defined in the agreement, and so they should be adapted to align with whatever terminology is being used in the agreement to describe the supplier and the customer.</paratext>
                </para>
              </division>
            </drafting.note>
            <defn.item id="a304964">
              <defn.term>Applicable Laws</defn.term>
              <defn>
                <para>
                  <paratext>means:</paratext>
                </para>
                <list type="loweralpha">
                  <list.item>
                    <para>
                      <paratext>To the extent the UK GDPR applies, the law of the United Kingdom or of a part of the United Kingdom.</paratext>
                    </para>
                  </list.item>
                  <list.item>
                    <para>
                      <paratext>To the extent the EU GDPR applies, the law of the European Union or any member state of the European Union to which the Supplier is subject.</paratext>
                    </para>
                  </list.item>
                </list>
              </defn>
            </defn.item>
            <defn.item id="a952964">
              <defn.term>Applicable Data Protection Laws</defn.term>
              <defn>
                <para>
                  <paratext>means:</paratext>
                </para>
                <list type="loweralpha">
                  <list.item>
                    <para>
                      <paratext>To the extent the UK GDPR applies, the law of the United Kingdom or of a part of the United Kingdom which relates to the protection of personal data.</paratext>
                    </para>
                  </list.item>
                  <list.item>
                    <para>
                      <paratext>To the extent the EU GDPR applies, the law of the European Union or any member state of the European Union to which the Supplier is subject, which relates to the protection of personal data.</paratext>
                    </para>
                  </list.item>
                </list>
              </defn>
              <drafting.note id="a331661" jurisdiction="">
                <head align="left" preservecase="true">
                  <headtext>Applicable Data Protection Laws</headtext>
                </head>
                <division id="a000011" level="1">
                  <para>
                    <paratext>
                      See 
                      <internal.reference refid="a231017">Drafting note, Application of EU GDPR</internal.reference>
                      .
                    </paratext>
                  </para>
                </division>
              </drafting.note>
            </defn.item>
            <defn.item id="a441496">
              <defn.term>Customer Personal Data</defn.term>
              <defn>
                <para>
                  <paratext>any personal data which the Supplier processes in connection with this agreement, in the capacity of a processor on behalf of the Customer.</paratext>
                </para>
              </defn>
            </defn.item>
            <defn.item id="a600724">
              <defn.term>EU GDPR</defn.term>
              <defn>
                <para>
                  <paratext>
                    the General Data Protection Regulation (
                    <ital>(EU) 2016/679</ital>
                    ).
                  </paratext>
                </para>
                <para>
                  <paratext>
                    <bold>Supplier Personal Data</bold>
                    : any personal data which the Supplier processes in connection with this agreement, in the capacity of a controller.
                  </paratext>
                </para>
              </defn>
            </defn.item>
            <defn.item id="a293962">
              <defn.term>UK GDPR</defn.term>
              <defn>
                <para>
                  <paratext>has the meaning given to it in the Data Protection Act 2018.</paratext>
                </para>
              </defn>
            </defn.item>
          </clause>
          <clause id="a241977">
            <identifier>1.</identifier>
            <head align="left" preservecase="true">
              <headtext>DATA PROTECTION</headtext>
            </head>
            <subclause1 id="a470099">
              <identifier>1.1</identifier>
              <para>
                <paratext>
                  For the purposes of this 
                  <internal.reference refid="a241977">clause 1</internal.reference>
                  , the terms 
                  <bold>Commissioner, controller</bold>
                  , 
                  <bold>data subject</bold>
                  , 
                  <bold>personal data</bold>
                  , 
                  <bold>personal data breach, processor </bold>
                  and  
                  <bold>processing,</bold>
                   shall have the meaning given to them in the UK GDPR[, and 
                  <bold>supervisory authority</bold>
                   shall have the meaning given to it in the EU GDPR].
                </paratext>
              </para>
              <drafting.note id="a997606" jurisdiction="">
                <head align="left" preservecase="true">
                  <headtext>Definitions taken from data protection legislation</headtext>
                </head>
                <division id="a000012" level="1">
                  <para>
                    <paratext>The agreement may use further terms from the data protection legislation, for example, "special categories of personal data", in which case these terms can be added here.</paratext>
                  </para>
                  <para>
                    <paratext>
                      Where the processing relates only to law enforcement processing (covered by Part 3 of the DPA 2018,
                      <ital> </ital>
                      with the definitions in
                      <ital> </ital>
                      Part 3 of Chapter 1) or intelligence services processing (covered by Part 4 of the DPA 2018,
                      <ital> </ital>
                      with the definitions in
                      <ital> </ital>
                      Part 4 of Chapter 1), then the UK GDPR does not apply and the DPA 2018 contains the relevant definitions for that type of processing.
                    </paratext>
                  </para>
                  <para>
                    <paratext>
                      For a list of all defined expressions in the DPA 2018, see section 206. For more information on the data protection legislation, see 
                      <link href="w-013-3757" style="ACTLinkPLCtoPLC">
                        <ital>Practice notes: overview, Overview of UK GDPR</ital>
                      </link>
                       and 
                      <link href="w-014-5998" style="ACTLinkPLCtoPLC">
                        <ital>Data Protection Act 2018: overview</ital>
                      </link>
                      .
                    </paratext>
                  </para>
                </division>
              </drafting.note>
            </subclause1>
            <subclause1 id="a805358">
              <identifier>1.2</identifier>
              <para>
                <paratext>
                  Both parties will comply with all applicable requirements of Applicable Data Protection Laws. This 
                  <internal.reference refid="a241977">clause 1</internal.reference>
                   is in addition to, and does not relieve, remove or replace, a party's obligations or rights under Applicable Data Protection Laws.
                </paratext>
              </para>
              <drafting.note id="a719538" jurisdiction="">
                <head align="left" preservecase="true">
                  <headtext>Obligations and rights of the controller and processor</headtext>
                </head>
                <division id="a000013" level="1">
                  <para>
                    <paratext>
                      The ICO notes that, as a matter of good practice, contracts should state that nothing relieves the processor of its direct responsibilities and liabilities under the UK or EU GDPR (see 
                      <link href="https://ico.org.uk/for-organisations/uk-gdpr-guidance-and-resources/accountability-and-governance/contracts-and-liabilities-between-controllers-and-processors-multi/responsibilities-and-liabilities-for-processors-in-their-own-right/" style="ACTLinkURL">
                        <ital>ICO: What responsibilities and liabilities do processors have in their own right?</ital>
                      </link>
                      ).
                    </paratext>
                  </para>
                </division>
              </drafting.note>
            </subclause1>
            <subclause1 id="a963735">
              <identifier>1.3</identifier>
              <para>
                <paratext>The parties have determined that, for the purposes of Applicable Data Protection Laws:</paratext>
              </para>
              <drafting.note id="a161077" jurisdiction="">
                <head align="left" preservecase="true">
                  <headtext>Determining data processing roles</headtext>
                </head>
                <division id="a000014" level="1">
                  <para>
                    <paratext>
                      Different legal risks, obligations and liabilities apply to each party under applicable data protection laws, depending on whether they are categorised as a 
                      <link href="5-107-5723" style="ACTLinkPLCtoPLC">
                        <ital>controller</ital>
                      </link>
                      , 
                      <link href="2-384-8947" style="ACTLinkPLCtoPLC">
                        <ital>processor</ital>
                      </link>
                       or 
                      <link href="w-014-8186" style="ACTLinkPLCtoPLC">
                        <ital>joint controller</ital>
                      </link>
                      . For example, both the UK GDPR and EU GDPR dictate that certain contractual clauses must be included as part of an IT contract if a controller-processor relationship is established between the parties. For further discussion on this topic, see 
                      <link anchor="a188325" href="w-027-2423" style="ACTLinkPLCtoPLC">
                        <ital>Practice note, Data protection issues in IT contracts: Principles and analysis – controllers and processors</ital>
                      </link>
                      .
                    </paratext>
                  </para>
                  <para>
                    <paratext>For this reason, the parties may prefer to set out their expectation for these roles in the agreement by way of these standard clauses. Crystallising this, upfront, and pre-contract, may help the parties resolve any issues they may face, later down the line, regarding their respective rights over personal data. For example, a controller will be entitled to exercise more discretion and decision-making power over personal data processed via the IT solution, while a processor will be bound to follow the instructions of the controller.</paratext>
                  </para>
                  <para>
                    <paratext>However, determining the data processing roles of each party to an IT contract can be difficult. This can be due, in part, to the often innovative and evolving nature of IT goods and services.</paratext>
                  </para>
                  <para>
                    <paratext>Whether a party is a controller or a processor will depend on the specific context of the data processing activity it engages in. A party to an IT contract does not need to act exclusively as a controller or a processor throughout the course of its relationship with its counterparty. For example, an IT supplier may act as a controller or joint controller in relation to certain types of processing and a processor in relation to others. This is, in fact, increasingly common for IT suppliers. Accordingly, processing roles should ideally be identified by reference to the data set involved and the type of processing activities being undertaken on that data set.</paratext>
                  </para>
                  <para>
                    <paratext>
                      It is also recommended that a mechanism be agreed by which the parties can change this determination throughout the duration of the agreement if this becomes necessary, see 
                      <internal.reference refid="a124598">clause 1.4</internal.reference>
                      . The parties may prefer to include these data protection provisions as a side letter, or schedule to the IT contract so they can be more easily amended.
                    </paratext>
                  </para>
                  <para>
                    <paratext>
                      If the parties do not feel comfortable identifying these roles upfront and in writing, an alternative approach would be to delete 
                      <internal.reference refid="a963735">clause 1.3</internal.reference>
                      <ital>, </ital>
                      <internal.reference refid="a124598">clause 1.4</internal.reference>
                      <ital>, </ital>
                      and
                      <ital> </ital>
                      <internal.reference refid="a429515">Schedule 1</internal.reference>
                      <ital>.</ital>
                    </paratext>
                  </para>
                  <para>
                    <paratext>However, this approach will clearly provide less certainty for the parties. A customer will likely want its IT supplier to be clear about what its processing role is, to avoid disputes later on down the line about what purposes the customer's personal data might be used for, and how much control the supplier is able to exert over such processing. Regardless of whether each party is prepared to commit to a particular categorisation of controller or processor in writing, it is recommended that the parties still reach a common understanding as to what their respective duties and obligations are in respect of the personal data they will process as part of their relationship.</paratext>
                  </para>
                </division>
              </drafting.note>
              <subclause2 id="a141984">
                <identifier>(a)</identifier>
                <para>
                  <paratext>
                    the Supplier shall act as controller in respect of the personal data and processing activities set out in 
                    <internal.reference refid="a266696">Part 1</internal.reference>
                     of 
                    <internal.reference refid="a429515">Schedule 1</internal.reference>
                    ;
                  </paratext>
                </para>
              </subclause2>
              <subclause2 id="a740710">
                <identifier>(b)</identifier>
                <para>
                  <paratext>
                    the Supplier shall process the personal data set out in 
                    <internal.reference refid="a170246">Part 2</internal.reference>
                     of 
                    <internal.reference refid="a429515">Schedule 1</internal.reference>
                    , as a processor on behalf of the Customer in respect of the processing activities set out in 
                    <internal.reference refid="a170246">Part 2</internal.reference>
                     of 
                    <internal.reference refid="a429515">Schedule 1</internal.reference>
                    ; and
                  </paratext>
                </para>
              </subclause2>
              <subclause2 id="a824805">
                <identifier>(c)</identifier>
                <para>
                  <paratext>
                    the Supplier and Customer shall act as joint controllers in respect of the personal data and processing activities set out in 
                    <internal.reference refid="a563499">Part 3</internal.reference>
                     of 
                    <internal.reference refid="a429515">Schedule 1</internal.reference>
                    .
                  </paratext>
                </para>
                <drafting.note id="a684161" jurisdiction="">
                  <head align="left" preservecase="true">
                    <headtext>Joint controllers (optional)</headtext>
                  </head>
                  <division id="a000015" level="1">
                    <para>
                      <paratext>
                        The parties may wish to add this 
                        <internal.reference refid="a824805">clause 1.3(c)</internal.reference>
                         where it determines that the supplier and the customer will act as joint controllers with respect to certain data processing activities.
                      </paratext>
                    </para>
                    <para>
                      <paratext>
                        Article 26(1) of both the EU GDPR and UK GDPR provide that "where two or more controllers jointly determine the purposes and means of processing, they shall be 
                        <link href="https://1.next.westlaw.com/Document/Iff1e7d965a3311e89bf199c0ee06c731/View/FullText.html?originationContext=document&amp;amp;transitionType=DocumentItem&amp;amp;contextData=(sc.Default)" style="ACTLinkURL">joint controllers</link>
                        ". Joint controllers have shared purposes.
                      </paratext>
                    </para>
                    <para>
                      <paratext>
                        While it will not be common for the parties to be considered joint controllers in a standard IT contract, this may occur in certain circumstances (and may be more prevalent when dealing with the management of social media accounts, see 
                        <link anchor="a640965" href="w-027-2423" style="ACTLinkPLCtoPLC">
                          <ital>Practice note, Data protection issues in IT contracts: Joint controllers</ital>
                        </link>
                        ).
                      </paratext>
                    </para>
                    <para>
                      <paratext>
                        Joint controllers are subject to particular rules under the EU GDPR and UK GDPR, see 
                        <internal.reference refid="a912822">Drafting note, Allocation of responsibility for joint controllers (optional)</internal.reference>
                        .
                      </paratext>
                    </para>
                    <para>
                      <paratext>
                        Where 
                        <internal.reference refid="a824805">clause 1.3(c)</internal.reference>
                         is included, the parties should also decide whether they wish to include 
                        <internal.reference refid="a831232">clause 1.11</internal.reference>
                          and complete 
                        <internal.reference refid="a261321">Schedule 4</internal.reference>
                        .
                      </paratext>
                    </para>
                  </division>
                </drafting.note>
              </subclause2>
            </subclause1>
            <subclause1 id="a124598">
              <identifier>1.4</identifier>
              <para>
                <paratext>
                  Should the determination in 
                  <internal.reference refid="a963735">clause 1.3</internal.reference>
                   change, then each party shall work together in good faith to make any changes which are necessary to this 
                  <internal.reference refid="a241977">clause 1</internal.reference>
                   or the related schedules.
                </paratext>
              </para>
            </subclause1>
            <subclause1 id="a419974">
              <identifier>1.5</identifier>
              <para>
                <paratext>
                  <bold>Supplier's privacy policy</bold>
                </paratext>
              </para>
              <drafting.note id="a693890" jurisdiction="">
                <head align="left" preservecase="true">
                  <headtext>Supplier privacy policy</headtext>
                </head>
                <division id="a000016" level="1">
                  <para>
                    <paratext>If the supplier acts as a controller when processing personal data, it will need to comply with the applicable requirements of the EU GDPR and UK GDPR in respect of such processing. This includes:</paratext>
                  </para>
                  <list type="bulleted">
                    <list.item>
                      <para>
                        <paratext>
                          Identifying a legal basis for its processing of that personal data, see 
                          <link anchor="a453316" href="w-027-2423" style="ACTLinkPLCtoPLC">
                            <ital>Practice note, Data protection issues in IT contracts: Lawfulness of processing</ital>
                          </link>
                          <ital>.</ital>
                        </paratext>
                      </para>
                    </list.item>
                    <list.item>
                      <para>
                        <paratext>
                          Being transparent with data subjects as to the ways in which their data is being processed, see 
                          <link anchor="a647765" href="w-027-2423" style="ACTLinkPLCtoPLC">
                            <ital>Transparency</ital>
                          </link>
                          .
                        </paratext>
                      </para>
                    </list.item>
                  </list>
                  <para>
                    <paratext>This will often be done by way of the supplier's privacy policy (sometimes known as a privacy notice).</paratext>
                  </para>
                  <para>
                    <paratext>
                      The customer will likely want to make it clear that the supplier is solely responsible for ensuring that these requirements are met, and that the supplier's privacy policy complies with applicable data protection law, see 
                      <internal.reference refid="a791906">clause 1.5(a)</internal.reference>
                      , 
                      <internal.reference refid="a847332">clause 1.5(d)</internal.reference>
                       and 
                      <internal.reference refid="a673503">clause 1.5(e)</internal.reference>
                      .
                    </paratext>
                  </para>
                  <para>
                    <paratext>Even though the supplier (acting as a controller) will necessarily have to exercise its own initiative and decision-making over the personal data, the customer will still be interested to ensure that the supplier is acting reasonably in respect of this personal data, and that it will only process personal data for reasonable purposes, bearing in mind the IT goods or services being provided. This will be especially important where the customer has a special relationship with the data subjects concerned and owes them separate duties under law (for example, where the data subjects are the customer's employees).</paratext>
                  </para>
                  <para>
                    <paratext>
                      For this reason, the customer may ask for oversight of the supplier's privacy policy to ensure it is reasonable, and may not want the supplier to change its privacy policy (for example, changing the permitted purposes of the processing) without first obtaining the customer's prior approval, see 
                      <internal.reference refid="a874591">clause 1.5(b)</internal.reference>
                      . Whether the supplier will agree to this will depend on the specific transaction, and the negotiating strengths of the parties.
                    </paratext>
                  </para>
                  <para>
                    <paratext>
                      The parties should also decide who is best placed to communicate the supplier's privacy policy to the relevant data subjects. Where this is the customer (for example, because the data subjects are the customer's employees and the software is to be accessed solely via the customer's computer systems) it may want to make it clear in the contract that it has the right to make the supplier's privacy policy available for these purposes, and that the supplier must supply it with the most up-to-date version of the policy at all times for this purpose, see 
                      <internal.reference refid="a360805">clause 1.5(c)</internal.reference>
                      .
                    </paratext>
                  </para>
                </division>
              </drafting.note>
            </subclause1>
            <subclause1 id="a954269">
              <para>
                <paratext>
                  Without prejudice to the generality of 
                  <internal.reference refid="a805358">clause 1.2</internal.reference>
                  :
                </paratext>
              </para>
              <subclause2 id="a791906">
                <identifier>(a)</identifier>
                <para>
                  <paratext>
                    the Supplier shall process all Supplier Personal Data strictly in accordance with its privacy policy in the form it appears at 
                    <internal.reference refid="a308037">Schedule 5</internal.reference>
                     (
                    <bold>Supplier</bold>
                    <bold>Privacy Policy</bold>
                    );
                  </paratext>
                </para>
              </subclause2>
              <subclause2 id="a874591">
                <identifier>(b)</identifier>
                <para>
                  <paratext>the Supplier shall not amend the Supplier Privacy Policy without the Customer's prior written consent;</paratext>
                </para>
              </subclause2>
              <subclause2 id="a360805">
                <identifier>(c)</identifier>
                <para>
                  <paratext>the Supplier shall promptly comply with all reasonable instructions of the Customer in connection with the Supplier Privacy Policy, and any amendments, shall promptly provide copies of the same to the Customer on request in a commonly available electronic format, and hereby consents to the Customer making the Supplier Privacy Policy available to any applicable data subjects;</paratext>
                </para>
              </subclause2>
              <subclause2 id="a847332">
                <identifier>(d)</identifier>
                <para>
                  <paratext>the Supplier hereby undertakes, warrants and represents that the Supplier Privacy Policy, and any amendments, will at all times comply with Applicable Data Protection Laws and that it will not make any amendments to the Supplier Privacy Policy where this would be in contravention of Applicable Data Protection Laws;</paratext>
                </para>
              </subclause2>
              <subclause2 id="a673503">
                <identifier>(e)</identifier>
                <para>
                  <paratext>as between the parties, the Supplier is solely responsible for ensuring that the processing of Supplier Personal Data complies with Applicable Laws, including Applicable Data Protection Laws, and in particular, that all required fair processing information is provided to the relevant data subjects; and</paratext>
                </para>
              </subclause2>
              <subclause2 id="a487921">
                <identifier>(f)</identifier>
                <para>
                  <paratext>in the event of any inconsistency or conflict between the terms of the Supplier Privacy Policy and this agreement, this agreement will take precedence.</paratext>
                </para>
              </subclause2>
            </subclause1>
            <subclause1 id="a726720">
              <identifier>1.6</identifier>
              <para>
                <paratext>
                  <bold>Customer privacy policy</bold>
                </paratext>
              </para>
              <para>
                <paratext>The Supplier shall promptly comply with any reasonable instructions received from the Customer to display or otherwise make available the Customer's then-current version of its privacy policy via the goods or services provided by the Supplier. Such instructions may include implementing a reasonable process to certify that the data subject has acknowledged its terms.</paratext>
              </para>
              <drafting.note id="a861334" jurisdiction="">
                <head align="left" preservecase="true">
                  <headtext>Customer privacy policy</headtext>
                </head>
                <division id="a000017" level="1">
                  <para>
                    <paratext>The customer may need to rely on the supplier to present the customer's privacy policy to data subjects, on the customer's behalf. This may be the case where the software collects personal data from the customer's employees (for ultimate processing by the customer as a controller) but the software is accessed via a portal controlled exclusively by the supplier. In such cases, the customer will want to ensure the supplier is under an obligation to make the customer's privacy policy available to data subjects via the IT product or solution. The customer may also want to be consulted as to how the privacy policy will be made available, so it can ensure, with relative certainty, that the data subjects will have read and acknowledged its terms. It may even want the supplier to provide audit tracking data in this regard.</paratext>
                  </para>
                </division>
              </drafting.note>
            </subclause1>
            <subclause1 id="a641103">
              <identifier>1.7</identifier>
              <para>
                <paratext>
                  In relation to the Customer Personal Data, 
                  <internal.reference refid="a323669">Schedule 2</internal.reference>
                   sets out the scope, nature and purpose of processing by the Supplier, the duration of the processing and the types of personal data and categories of data subject.
                </paratext>
              </para>
              <drafting.note id="a243667" jurisdiction="">
                <head align="left" preservecase="true">
                  <headtext>Particulars of processing</headtext>
                </head>
                <division id="a000018" level="1">
                  <para>
                    <paratext>
                      Article 28(3) of both the EU and UK GDPR state that a contract between a controller and a processor should set out the subject-matter and duration of the processing, the nature and purpose of the processing, the type of personal data and categories of data subjects and the obligations and rights of the controller. In some cases these particulars may already be apparent from the other terms of the contract, in which case such terms can simply be cross-referenced as part of this 
                      <internal.reference refid="a641103">clause 1.7</internal.reference>
                      <ital>.</ital>
                       However, it is recommended, including for ease of reference, that these particulars ideally form part of a separate schedule (see 
                      <internal.reference refid="a323669">Schedule 2</internal.reference>
                      ).
                    </paratext>
                  </para>
                  <para>
                    <paratext>
                      For more information on the position under the UK GDPR, see 
                      <link anchor="a342213" href="w-025-2861" style="ACTLinkPLCtoPLC">
                        <ital>Practice note, Processor obligations under UK GDPR : Processor contractual requirements</ital>
                      </link>
                      .
                    </paratext>
                  </para>
                  <para>
                    <paratext>
                      For more information on the position under the EU GDPR, see 
                      <link anchor="a000063" href="w-005-6153" style="ACTLinkPLCtoPLC">
                        <ital>Practice note, Data Processor Obligations Under the GDPR: Processor Contractual Requirements</ital>
                      </link>
                      .
                    </paratext>
                  </para>
                </division>
              </drafting.note>
            </subclause1>
            <subclause1 id="a820833">
              <identifier>1.8</identifier>
              <para>
                <paratext>
                  Without prejudice to the generality of 
                  <internal.reference refid="a805358">clause 1.2</internal.reference>
                   the Supplier shall, in relation to Customer Personal Data:
                </paratext>
              </para>
              <subclause2 id="a684078">
                <identifier>(a)</identifier>
                <para>
                  <paratext>
                    process that Customer Personal Data only on the documented instructions of the Customer, [set out in [
                    <internal.reference refid="a323669">Schedule 2</internal.reference>
                    <bold>OR</bold>
                     [DOCUMENT]], unless the Supplier is required by Applicable Laws to otherwise process that Customer Personal Data. Where the Supplier is relying on Applicable Laws as the basis for processing Customer Processor Data, the Supplier shall promptly notify the Customer of this before performing the processing required by the Applicable Laws unless those Applicable Laws prohibit the Provider from so notifying the Customer on important grounds of public interest. The Supplier shall immediately inform the Customer if, in the opinion of the Supplier, the instructions of the Customer infringe Applicable Data Protection Legislation;
                  </paratext>
                </para>
                <drafting.note id="a914097" jurisdiction="">
                  <head align="left" preservecase="true">
                    <headtext>Permitted processing</headtext>
                  </head>
                  <division id="a000019" level="1">
                    <para>
                      <paratext>Article 28(3)(a) of both the EU and UK GDPR requires the contract to state that the processor shall only process the personal data on documented instructions from the controller. The exception to this requirement, where EU GDPR applies, is where the processor is required to perform the processing pursuant to the laws of the EU or of an EU member state. Where the UK GDPR applies the exception is where the processor is required to perform the processing pursuant to domestic UK laws.</paratext>
                    </para>
                    <para>
                      <paratext>The instructions could, for example, be contained in the data processing contract itself in a dedicated schedule or could be part of the services description and schedule. There is no requirement for the instructions to be included as part of the contract and so they could, for example, take the form of policies and processes of the controller or ad hoc written instructions. The parties should consider carefully to avoid disputes.</paratext>
                    </para>
                    <para>
                      <paratext>
                        As this 
                        <internal.reference refid="a684078">clause 1.8(a)</internal.reference>
                         is drafted in favour of the customer, the customer is likely to want to include more prescribed instructions as part of the contract, but for it to have the flexibility to amend these instructions from time to time. The supplier will likely resist this if it has priced the contract based on the specific processing contemplated, unless it is able to pass on any increased costs to the customer.
                      </paratext>
                    </para>
                    <para>
                      <paratext>
                        For more information on the position under the UK GDPR, see 
                        <link anchor="a342213" href="w-025-2861" style="ACTLinkPLCtoPLC">
                          <ital>Practice note, Processor obligations under UK GDPR : Processor contractual requirements</ital>
                        </link>
                        .
                      </paratext>
                    </para>
                    <para>
                      <paratext>
                        For more information on the position under the EU GDPR, see 
                        <link anchor="a000063" href="w-005-6153" style="ACTLinkPLCtoPLC">
                          <ital>Practice note, Data Processor Obligations Under the GDPR: Processor Contractual Requirements</ital>
                        </link>
                        .
                      </paratext>
                    </para>
                  </division>
                </drafting.note>
              </subclause2>
              <subclause2 id="a798515">
                <identifier>(b)</identifier>
                <para>
                  <paratext>
                    implement appropriate technical and organisational measures [including, at least those measures described in 
                    <internal.reference refid="a358377">Schedule 3</internal.reference>
                    ] to protect against unauthorised or unlawful processing of Customer Personal Data and against its accidental loss, damage or destruction, including inter alia as appropriate:
                  </paratext>
                </para>
                <subclause3 id="a309168">
                  <identifier>(i)</identifier>
                  <para>
                    <paratext>the pseudonymisation and encryption of Customer Personal Data;</paratext>
                  </para>
                </subclause3>
                <subclause3 id="a257891">
                  <identifier>(ii)</identifier>
                  <para>
                    <paratext>the ability to ensure the ongoing confidentiality, integrity, availability and resilience of processing systems and services;</paratext>
                  </para>
                </subclause3>
                <subclause3 id="a742164">
                  <identifier>(iii)</identifier>
                  <para>
                    <paratext>the ability to restore the availability and access to Customer Personal Data in a timely manner in the event of a physical or technical incident; and</paratext>
                  </para>
                </subclause3>
                <subclause3 id="a377475">
                  <identifier>(iv)</identifier>
                  <para>
                    <paratext>a process for regularly testing, assessing and evaluating the effectiveness of technical and organisational measures for ensuring the security of the processing.</paratext>
                  </para>
                </subclause3>
                <para>
                  <paratext>In assessing the appropriate level of security the Supplier shall take into account in particular of the risks that are presented by the processing, in particular from accidental or unlawful destruction, loss, alteration, unauthorised disclosure of, or access to Customer Personal Data transmitted, stored or otherwise processed.</paratext>
                </para>
                <drafting.note id="a871163" jurisdiction="">
                  <head align="left" preservecase="true">
                    <headtext>Security measures</headtext>
                  </head>
                  <division id="a000020" level="1">
                    <para>
                      <paratext>This reflects Article 28(3)(c) of both the EU and UK GDPR, which, in turn, refers to Article 32 of that legislation. Article 32(1) sets out the obligation, which is directly applicable to processors, to maintain appropriate security measures and identifies ways in which this may be achieved. These are reflected in the wording here.</paratext>
                    </para>
                    <para>
                      <paratext>
                        This 
                        <internal.reference refid="a798515">clause 1.8(b)</internal.reference>
                        <ital> </ital>
                        has been drafted to be customer-friendly as it puts the onus on the supplier to decide whether the technical and organisational measures are appropriate in the circumstances. The customer may want those measures to be set out in writing in 
                        <internal.reference refid="a358377">Schedule 3</internal.reference>
                        , or alternatively, it may prefer for them not to be (so as to avoid the inference that it is approving or validating those measures as being reasonable in the circumstances).
                      </paratext>
                    </para>
                    <para>
                      <paratext>
                        The parties may dispute who is best placed to determine this, see 
                        <link anchor="a734537" href="w-027-2423" style="ACTLinkPLCtoPLC">
                          <ital>Practice note, Data protection issues in IT contracts: Data security</ital>
                        </link>
                        . For a supplier-friendly version of this clause, see 
                        <link anchor="a798515" href="w-026-6854" style="ACTLinkPLCtoPLC">
                          <ital>Standard clause, Personal data processing clauses for IT agreements (UK) (pro-supplier)</ital>
                        </link>
                        .
                      </paratext>
                    </para>
                    <para>
                      <paratext>
                        For more information on the position under the UK GDPR, see 
                        <link anchor="a164614" href="w-013-3757" style="ACTLinkPLCtoPLC">
                          <ital>Practice note: overview, Overview of UK GDPR: Data security and personal data breaches</ital>
                        </link>
                         and 
                        <link href="w-013-5138" style="ACTLinkPLCtoPLC">
                          <ital>Practice note, Data security under the UK GDPR and DPA 2018</ital>
                        </link>
                        .
                      </paratext>
                    </para>
                    <para>
                      <paratext>
                        For more information on the position under the EU GDPR, see 
                        <link anchor="a741601" href="w-007-9580" style="ACTLinkPLCtoPLC">
                          <ital>Practice note: overview, Overview of EU General Data Protection Regulation: Data security</ital>
                        </link>
                        .
                      </paratext>
                    </para>
                  </division>
                </drafting.note>
              </subclause2>
              <subclause2 id="a289003">
                <identifier>(c)</identifier>
                <para>
                  <paratext>ensure, and procure, that any personnel engaged and authorised by the Supplier to process Customer Personal Data keep the Customer Personal Data confidential;</paratext>
                </para>
                <drafting.note id="a904619" jurisdiction="">
                  <head align="left" preservecase="true">
                    <headtext>Confidentiality</headtext>
                  </head>
                  <division id="a000021" level="1">
                    <para>
                      <paratext>This requirement reflects Article 28(3)(b) of both the EU and UK GDPR.</paratext>
                    </para>
                    <para>
                      <paratext>
                        There is no requirement in either the EU or UK GDPR that all Article 28(3) provisions need to be included in one clause in the agreement between controller and processor, and so if the customer believes this obligation is already adequately addressed in the confidential information clause in the broader commercial IT agreement, it may prefer to delete this 
                        <internal.reference refid="a289003">clause 1.8(c)</internal.reference>
                        .
                      </paratext>
                    </para>
                  </division>
                </drafting.note>
              </subclause2>
              <subclause2 id="a981204">
                <identifier>(d)</identifier>
                <para>
                  <paratext>promptly assist the Customer[, at the Supplier's expense], in responding to any request from a data subject and in ensuring compliance with the Customer's obligations under Applicable Data Protection Laws with respect to security, breach notifications, impact assessments and consultations with the Commissioner, supervisory authorities or other regulators and, in particular, the Supplier shall promptly notify the Customer if it receives any complaint, notice or communication (whether from the Commissioner, any data subject, supervisory authority or other third party) which relates to processing of Customer Personal Data;</paratext>
                </para>
                <drafting.note id="a190573" jurisdiction="">
                  <head align="left" preservecase="true">
                    <headtext>Security and breach notifications: assistance</headtext>
                  </head>
                  <division id="a000022" level="1">
                    <para>
                      <paratext>The wording here takes account of Article 28(3)(e) and 28(3)(f) of both the EU and UK GDPR. The latter provision, in turn, refers to Articles 32 to 36 of that legislation.</paratext>
                    </para>
                    <para>
                      <paratext>
                        As this 
                        <internal.reference refid="a981204">clause 1.8(d)</internal.reference>
                         is drafted to be pro-customer, it does not include any provisions designed to protect the supplier. For example, the optional wording makes it clear that the assistance should be rendered at the supplier's cost, but the supplier may push back on this. It also does not reflect any of the processor protections which are contained in Article 28(3)(e) and 28(3)(f). These permit the supplier to take into account the nature of processing and the information available to it, when rendering such assistance, and limits this assistance to what is "possible" to provide.
                      </paratext>
                    </para>
                  </division>
                </drafting.note>
              </subclause2>
              <subclause2 id="a280696">
                <identifier>(e)</identifier>
                <para>
                  <paratext>
                    notify the Customer without undue delay (and no later than [TIMESCALE]) after becoming aware of a personal data breach [and on suspecting the same, the Supplier shall promptly conduct an initial assessment to determine, with a reasonable degree of certainty, whether the event or incident qualifies for notification to the Customer under this 
                    <internal.reference refid="a280696">clause 1.8(e)</internal.reference>
                     and shall provide a copy of this initial assessment along with such notification];
                  </paratext>
                </para>
                <drafting.note id="a272815" jurisdiction="">
                  <head align="left" preservecase="true">
                    <headtext>Notifying the customer of personal data breaches</headtext>
                  </head>
                  <division id="a000023" level="1">
                    <para>
                      <paratext>Under Article 33(1) of both the EU and UK GDPR, the customer (as a controller) is under a duty to notify a personal data breach to the applicable supervisory authority without undue delay and, where feasible, not later than 72 hours after having become aware of it. Under Article 33(2), the processor (in this case, the supplier) shall notify the controller without undue delay after becoming aware of a personal data breach.</paratext>
                    </para>
                    <para>
                      <paratext>
                        The 
                        <link href="1-508-0312" style="ACTLinkPLCtoPLC">
                          <ital>EU Article 29 Working Party</ital>
                        </link>
                         (WP29) issued Guidelines on Personal data breach notification under Regulation 2016/679 (which have been endorsed by the 
                        <link href="w-014-9105" style="ACTLinkPLCtoPLC">
                          <ital>European Data Protection Board</ital>
                        </link>
                         (EDPB)) (breach notification guidelines). The breach notification guidelines consider that a controller will be deemed to be aware of a processor's breach when the processor communicates the breach to it. The controller must then make an assessment on the likelihood of risk arising from the data breach. The controller may also want to investigate the security breach itself, as it may have a more complete picture of all the relevant facts, for example, if a backup of the lost data is held by the controller.
                      </paratext>
                    </para>
                    <para>
                      <paratext>Therefore, there is likely to be a permissible time lag between the processor's first awareness, and the time when controllers must notify, which means that it is not strictly necessary for controllers to require their processors to notify them within a shorter time period than the 72 hours which applies to controllers under Article 33(1) provided that the processor notifies promptly.</paratext>
                    </para>
                    <para>
                      <paratext>
                        For this reason, 
                        <internal.reference refid="a280696">clause 1.8(e)</internal.reference>
                         requires the supplier to notify personal data breaches involving the customer's personal data "without undue delay", which mirrors the language used in Article 33(2). However, a customer might still prefer to specify a deadline for contractual certainty (see first optional text) though there is no current requirement that this be less than 72 hours.
                      </paratext>
                    </para>
                    <para>
                      <paratext>
                        The breach notification guidelines recommend that controller-processor contracts (in line with Article 28 of the EU and UK GDPR, and section 59 of the DPA 2018) address how the processor should notify a data breach to the controller (instead of merely requiring notification). In particular, the controller may want to require contractually that, as soon as there is a suspicion of a data breach, the processor conducts a short pre-investigation or pre-assessment immediately to determine with a reasonable degree of certainty whether the event or incident qualifies as a data breach. For this reason, we have included the second set of optional brackets in 
                        <internal.reference refid="a280696">clause 1.8(e)</internal.reference>
                        .
                      </paratext>
                    </para>
                    <para>
                      <paratext>
                        For more information on the position under the UK GDPR, see 
                        <link anchor="a164614" href="w-013-3757" style="ACTLinkPLCtoPLC">
                          <ital>Practice note: overview, Overview of UK GDPR: Data security and personal data breaches</ital>
                        </link>
                         and 
                        <link anchor="a419719" href="w-025-2861" style="ACTLinkPLCtoPLC">
                          <ital>Practice note, Processor obligations under UK GDPR : Data breach notification</ital>
                        </link>
                        .
                      </paratext>
                    </para>
                    <para>
                      <paratext>
                        For more information on the position under the EU GDPR, see 
                        <link anchor="a721481" href="w-007-9580" style="ACTLinkPLCtoPLC">
                          <ital>Practice note: overview, Overview of EU General Data Protection Regulation: Data security breach</ital>
                        </link>
                         and 
                        <link anchor="a000067" href="w-005-6153" style="ACTLinkPLCtoPLC">
                          <ital>Practice note, Data Processor Obligations Under the GDPR: Data Breach Notification</ital>
                        </link>
                        .
                      </paratext>
                    </para>
                  </division>
                </drafting.note>
              </subclause2>
              <subclause2 id="a567101">
                <identifier>(f)</identifier>
                <para>
                  <paratext>
                    at the written direction of the Customer, delete or return to the Customer all Customer Personal Data on termination or expiry of the agreement, and certify to the Customer in writing it has done so, unless the Supplier is required by Applicable Law to continue to process that Customer Personal Data, in which case the Supplier shall promptly notify the Customer, in writing, of what that Applicable Law is and shall only be permitted to process that Customer Personal Data for the specific purpose so-notified, and all other requirements set out in this 
                    <internal.reference refid="a241977">clause 1</internal.reference>
                     shall continue to apply to such Customer Personal Data notwithstanding the termination or expiry of this agreement for as long as such Customer Personal Data is processed by the Supplier. For the purposes of this 
                    <internal.reference refid="a567101">clause 1.8(f)</internal.reference>
                     the obligation to "delete" data includes the obligation to delete data from back-up systems as well as live systems; and
                  </paratext>
                </para>
                <drafting.note id="a559551" jurisdiction="">
                  <head align="left" preservecase="true">
                    <headtext>Deleting or returning personal data</headtext>
                  </head>
                  <division id="a000024" level="1">
                    <para>
                      <paratext>Article 28(3)(g) of both the EU and UK GDPR is reflected in the wording here.</paratext>
                    </para>
                    <para>
                      <paratext>
                        It can be difficult for organisations (particularly suppliers) to agree to "delete" data. The word "deletion" can mean different things in relation to electronic data, and it is recognised that it is not always possible to delete or erase all traces of the data, (see 
                        <link href="https://ico.org.uk/for-organisations/uk-gdpr-guidance-and-resources/individual-rights/individual-rights/right-to-erasure/" style="ACTLinkURL">
                          <ital>ICO: right to erasure</ital>
                        </link>
                        ), so (if acting for the supplier) you may want to adopt the supplier-friendly version of this clause, see 
                        <link anchor="a559551" href="w-026-6854" style="ACTLinkPLCtoPLC">
                          <ital>Standard clause, Personal data processing clauses for IT agreements (UK) (pro-supplier): Drafting note: Deleting or returning personal data</ital>
                        </link>
                        .
                      </paratext>
                    </para>
                    <para>
                      <paratext>If it is appropriate to delete personal data from a live system, we recommend that a party should also be expected to delete it from any back-up of the information on that system, and (as this is a customer-friendly version) we have made this explicit as part of the deletion obligation.</paratext>
                    </para>
                  </division>
                </drafting.note>
              </subclause2>
              <subclause2 id="a479167">
                <identifier>(g)</identifier>
                <para>
                  <paratext>
                    maintain adequate records, and, on the Customer's request, make available such information as the Customer may reasonably request, and allow for and submit its premises and operations to audits, including inspections, by the Customer or the Customer's designated auditor, to demonstrate its compliance with Applicable Data Protection Laws and this 
                    <internal.reference refid="a241977">clause 1</internal.reference>
                    .
                  </paratext>
                </para>
                <drafting.note id="a989450" jurisdiction="">
                  <head align="left" preservecase="true">
                    <headtext>Records and audits</headtext>
                  </head>
                  <division id="a000025" level="1">
                    <para>
                      <paratext>This requirement, reflecting Article 28(3)(h) of both the EU and UK GDPR, may already be addressed in the records and audit clause in the broader commercial IT agreement.</paratext>
                    </para>
                    <para>
                      <paratext>The direct obligation in Article 30(2) separately requires the processor to keep the following records, which must be available to the controller and the supervisory authority:</paratext>
                    </para>
                    <list type="bulleted">
                      <list.item>
                        <para>
                          <paratext>The name and contact details of the processor or processors and of each controller on behalf of which the processor is acting, and, where applicable, of the controller's or the processor's representative, and the data protection officer.</paratext>
                        </para>
                      </list.item>
                      <list.item>
                        <para>
                          <paratext>The categories of processing carried out on behalf of each controller.</paratext>
                        </para>
                      </list.item>
                      <list.item>
                        <para>
                          <paratext>Where applicable, transfers of personal data to a third country or an international organisation, including the identification of that third country or international organisation and, in the case of transfers referred to in the second subclause of Article 49(1), the documentation of suitable safeguards.</paratext>
                        </para>
                      </list.item>
                      <list.item>
                        <para>
                          <paratext>Where possible, a description of the technical and organisational security measures referred to in Article 32(1) of both the EU and UK GDPR.</paratext>
                        </para>
                      </list.item>
                    </list>
                    <para>
                      <paratext>According to Article 30(5) of both the EU and UK GDPR, this requirement applies if the processor has more than 250 employees or, if fewer, the processing it carries out is likely to result in a risk to the rights and freedoms of data subjects, the processing is not occasional, or the processing includes special categories of data as per Article 9(1) or personal data relating to criminal convictions and offences as per Article 10.</paratext>
                    </para>
                    <para>
                      <paratext>
                        If these criteria apply to the supplier, the customer may wish to expressly include these record-keeping requirements in 
                        <internal.reference refid="a479167">clause 1.8(g)</internal.reference>
                        . However, they will likely be implicitly covered, anyway.
                      </paratext>
                    </para>
                    <para>
                      <paratext>
                        For further information on the position under the UK GDPR, see 
                        <link anchor="a147082" href="w-013-3757" style="ACTLinkPLCtoPLC">
                          <ital>Practice note: overview, Overview of UK GDPR: Audits</ital>
                        </link>
                         and 
                        <link href="w-026-0476" style="ACTLinkPLCtoPLC">
                          <ital>Data protection supplier audit checklist (UK)</ital>
                        </link>
                        .
                      </paratext>
                    </para>
                    <para>
                      <paratext>
                        For further information on the position under the EU GDPR, see 
                        <link anchor="a308251" href="w-007-9580" style="ACTLinkPLCtoPLC">
                          <ital>Practice note: overview, Overview of EU General Data Protection Regulation: Obligations of the processor</ital>
                        </link>
                         and 
                        <link anchor="a000071" href="w-005-6153" style="ACTLinkPLCtoPLC">
                          <ital>Practice note, Data Processor Obligations Under the GDPR: Records of Processing Activities</ital>
                        </link>
                        . .
                      </paratext>
                    </para>
                  </division>
                </drafting.note>
              </subclause2>
            </subclause1>
            <subclause1 id="a540433">
              <identifier>1.9</identifier>
              <para>
                <paratext>The Supplier shall not, without the prior written consent of the Customer (and in any event subject to the Supplier providing the Customer with reasonable evidence that such activity is being undertaking in full compliance with Applicable Data Protection Laws):</paratext>
              </para>
              <subclause2 id="a872552">
                <identifier>(a)</identifier>
                <para>
                  <paratext>appoint or replace (or change the terms of the appointment of) any other processor in relation to Customer Personal Data or transfer any Customer Personal Data to the same; or</paratext>
                </para>
                <drafting.note id="a407807" jurisdiction="">
                  <head align="left" preservecase="true">
                    <headtext>Sub-processors</headtext>
                  </head>
                  <division id="a000026" level="1">
                    <para>
                      <paratext>Article 28(2) of both the EU and UK GDPR stipulates that the controller's consent is required to the appointment of, or changes to, third-party processors (sub-processors).</paratext>
                    </para>
                    <para>
                      <paratext>
                        Consent to a sub-processor by the controller can be general or specific. As 
                        <internal.reference refid="a540433">clause 1.9</internal.reference>
                         is drafted to be customer friendly, we recommend that the supplier is required to obtain a specific consent in each case, to provide the customer with maximum control over the processing of its personal data.
                      </paratext>
                    </para>
                    <para>
                      <paratext>
                        For a supplier-friendly version of 
                        <internal.reference refid="a872552">clause 1.9(a)</internal.reference>
                        , see 
                        <link anchor="a540433" href="w-026-6854" style="ACTLinkPLCtoPLC">
                          <ital>Standard clause, Personal data processing clauses for IT agreements (UK) (pro-supplier): clause 1.9</ital>
                        </link>
                        .
                      </paratext>
                    </para>
                    <division id="a818063" level="2">
                      <head align="left" preservecase="true">
                        <headtext>Flowing data processing obligations down to a sub-processor</headtext>
                      </head>
                      <para>
                        <paratext>Article 28(4) and 28(3)(d) deal with the relationship between the processor and a sub-processor. The former states in part:</paratext>
                      </para>
                      <display.quote>
                        <para>
                          <paratext>
                            "Where a processor engages another processor for carrying out specific processing activities on behalf of the controller, the 
                            <bold>same</bold>
                             [our emphasis] data protection obligations as set out in the contract or other legal act between the controller and the processor as referred to in clause 3 shall be imposed on that other processor by way of a contract … "
                          </paratext>
                        </para>
                      </display.quote>
                      <para>
                        <paratext>
                          Therefore, if consent is given by the customer for the supplier to engage a sub-processor, the customer will want to make sure (and will want the supplier to provide evidence that) the provisions of this 
                          <internal.reference refid="a241977">clause 1</internal.reference>
                           have been adequately flowed down to the sub-processor.
                        </paratext>
                      </para>
                      <para>
                        <paratext>
                          For more information on the position under the UK GDPR, see 
                          <link anchor="a402228" href="w-025-2861" style="ACTLinkPLCtoPLC">
                            <ital>Practice note, Processor obligations under UK GDPR : Restrictions on engaging sub-processors</ital>
                          </link>
                          .
                        </paratext>
                      </para>
                      <para>
                        <paratext>
                          For more information on the position under the EU GDPR, see 
                          <link anchor="a000064" href="w-005-6153" style="ACTLinkPLCtoPLC">
                            <ital>Practice note, Data Processor Obligations Under the GDPR: Restrictions on Engaging Sub-Processors</ital>
                          </link>
                          .
                        </paratext>
                      </para>
                      <para>
                        <paratext>For specimen sub-processor clauses, see:</paratext>
                      </para>
                      <list type="bulleted">
                        <list.item>
                          <para>
                            <paratext>
                              <link href="https://uk.practicallaw.thomsonreuters.com/Document/Ib564010eae1411ec9f24ec7b211d8087/View/FullText.html?navigationPath=Search%2Fv1%2Fresults%2Fnavigation%2Fi0ad62af000000182ac20f3ada243cfae%3Fppcid%3D9990012e0a414c029d2af89777d5e0d6%26Nav%3DKNOWHOW_UK%26fragmentIdentifier%3DIb564010eae1411ec9f24ec7b211d8087%26parentRank%3D0%26startIndex%3D1%26contextData%3D%2528sc.Search%2529%26transitionType%3DSearchItem&amp;amp;listSource=Search&amp;amp;listPageSource=8d9a8baf67e7a0190bb7bec0da383f59&amp;amp;list=KNOWHOW_UK&amp;amp;rank=1&amp;amp;sessionScopeId=09f5fbbd60befe27758b9482078f09f1ef821b3ab819a77e5999bbcbb905dfd6&amp;amp;ppcid=9990012e0a414c029d2af89777d5e0d6&amp;amp;originationContext=Search%20Result&amp;amp;transitionType=SearchItem&amp;amp;contextData=(sc.Search)&amp;amp;comp=pluk" style="ACTLinkURL">
                                <ital>Personal data sub-processing agreement (processor-to-processor) (within UK and UK to EEA). </ital>
                              </link>
                            </paratext>
                          </para>
                        </list.item>
                        <list.item>
                          <para>
                            <paratext>
                              <link href="https://uk.practicallaw.thomsonreuters.com/Document/I06318ae5cc5111ec9f24ec7b211d8087/View/FullText.html?navigationPath=Search%2Fv1%2Fresults%2Fnavigation%2Fi0ad62af000000182ac20f3ada243cfae%3Fppcid%3D9990012e0a414c029d2af89777d5e0d6%26Nav%3DKNOWHOW_UK%26fragmentIdentifier%3DI06318ae5cc5111ec9f24ec7b211d8087%26parentRank%3D0%26startIndex%3D1%26contextData%3D%2528sc.Search%2529%26transitionType%3DSearchItem&amp;amp;listSource=Search&amp;amp;listPageSource=8d9a8baf67e7a0190bb7bec0da383f59&amp;amp;list=KNOWHOW_UK&amp;amp;rank=2&amp;amp;sessionScopeId=09f5fbbd60befe27758b9482078f09f1ef821b3ab819a77e5999bbcbb905dfd6&amp;amp;ppcid=9990012e0a414c029d2af89777d5e0d6&amp;amp;originationContext=Search%20Result&amp;amp;transitionType=SearchItem&amp;amp;contextData=%28sc.Search%29" style="ACTLinkURL">
                                <ital>Personal data sub-processing agreement (processor-to-processor) (UK to non-EEA). </ital>
                              </link>
                            </paratext>
                          </para>
                        </list.item>
                        <list.item>
                          <para>
                            <paratext>
                              <link href="https://uk.practicallaw.thomsonreuters.com/Document/Ic172cbdd370211ecbea4f0dc9fb69570/View/FullText.html?navigationPath=Search%2Fv1%2Fresults%2Fnavigation%2Fi0ad62af000000182ac20f3ada243cfae%3Fppcid%3D9990012e0a414c029d2af89777d5e0d6%26Nav%3DKNOWHOW_UK%26fragmentIdentifier%3DIc172cbdd370211ecbea4f0dc9fb69570%26parentRank%3D0%26startIndex%3D1%26contextData%3D%2528sc.Search%2529%26transitionType%3DSearchItem&amp;amp;listSource=Search&amp;amp;listPageSource=8d9a8baf67e7a0190bb7bec0da383f59&amp;amp;list=KNOWHOW_UK&amp;amp;rank=5&amp;amp;sessionScopeId=09f5fbbd60befe27758b9482078f09f1ef821b3ab819a77e5999bbcbb905dfd6&amp;amp;ppcid=9990012e0a414c029d2af89777d5e0d6&amp;amp;originationContext=Search%20Result&amp;amp;transitionType=SearchItem&amp;amp;contextData=(sc.Search)&amp;amp;comp=pluk" style="ACTLinkURL">
                                <ital>Data sub-processing clauses (UK). </ital>
                              </link>
                            </paratext>
                          </para>
                        </list.item>
                      </list>
                    </division>
                    <division id="a544044" level="2">
                      <head align="left" preservecase="true">
                        <headtext>EDPB opinion on certain obligations following from the reliance on processor(s) and sub-processor(s)</headtext>
                      </head>
                      <para>
                        <paratext>
                          On 7 October 2024, the EDPB adopted 
                          <link href="https://nam02.safelinks.protection.outlook.com/?url=https%3A%2F%2Fwww.edpb.europa.eu%2Four-work-tools%2Four-documents%2Fopinion-board-art-64%2Fopinion-222024-certain-obligations-following_en&amp;amp;data=05%7C02%7CAndy.Gilchrist%40thomsonreuters.com%7C80c75282d582447e1fdd08dd07ff3b21%7C62ccb8646a1a4b5d8e1c397dec1a8258%7C0%7C0%7C638675514975264716%7CUnknown%7CTWFpbGZsb3d8eyJFbXB0eU1hcGkiOnRydWUsIlYiOiIwLjAuMDAwMCIsIlAiOiJXaW4zMiIsIkFOIjoiTWFpbCIsIldUIjoyfQ%3D%3D%7C0%7C%7C%7C&amp;amp;sdata=hujG0ZY25xfZ%2Fj4uIy5fIo3CsUQsUSjcj%2BPIOKpmWRY%3D&amp;amp;reserved=0" style="ACTLinkURL">
                            <ital>Opinion 22/2024 on certain obligations following from the reliance on processor(s) and sub-processor(s)</ital>
                          </link>
                           (EDPB 22/2024) which provides guidance on situations where controllers rely on one or more processors and sub-processors and sets out the following key points in respect of the EU GDPR:
                        </paratext>
                      </para>
                      <list type="bulleted">
                        <list.item>
                          <para>
                            <paratext>Controllers must have readily available, at all times, certain information about all processors and sub-processors (including name, address and contact person) regardless of the risk associated with the processing.</paratext>
                          </para>
                        </list.item>
                        <list.item>
                          <para>
                            <paratext>Controllers have an obligation to retain oversight of all sub-processors and verify whether processors and sub-processors provide sufficient guarantees that the processing will comply with the EU GDPR and protect data subject rights. This obligation applies irrespective of risk, although risk is relevant to the extent of the verification.</paratext>
                          </para>
                        </list.item>
                        <list.item>
                          <para>
                            <paratext>Controllers remain accountable for processor and sub-processor responsibilities and are responsible for the ultimate decision to engage specific sub-processors (even though the initial processor should ensure its sub-processors provide sufficient guarantees and will still be contractually liable to the controller).</paratext>
                          </para>
                        </list.item>
                        <list.item>
                          <para>
                            <paratext>Controllers do not have a specific obligation to obtain every sub-processor contract or verify the compliance of all sub-processors but should assess whether requesting contracts is necessary to demonstrate compliance.</paratext>
                          </para>
                        </list.item>
                        <list.item>
                          <para>
                            <paratext>Where cross-border transfers of personal data take place between processors and sub-processors, the processor as data exporter should ensure compliance but, as the controller is still liable, the controller should assess relevant documentation (for example transfer impact assessments and transfer mapping) and be able to show this to the competent supervisory authority.</paratext>
                          </para>
                        </list.item>
                        <list.item>
                          <para>
                            <paratext>Inclusion in a processor contract of wording from Article 28(3)(a) of the EU GDPR that a processor may process personal data against a controller's instructions if there is a legal requirement to do so under EU or member state law is highly recommended but not strictly required, but there is a requirement on the processor to inform the controller.</paratext>
                          </para>
                        </list.item>
                        <list.item>
                          <para>
                            <paratext>Inclusion of broader wording covering third country legal requirements is not necessarily a breach of Article 28, but such wording does not exonerate the parties from complying with the EU GDPR.</paratext>
                          </para>
                        </list.item>
                      </list>
                      <para>
                        <paratext>This opinion should be taken into account when the EU GDPR is engaged, and when deciding whether consent should be provided to any particular sub-processor appointment.  The customer may wish to make its consent conditional upon the supplier first providing it with the following information so it can assess compliance:</paratext>
                      </para>
                      <list type="bulleted">
                        <list.item>
                          <para>
                            <paratext>Relevant contact details of the proposed sub-processor.</paratext>
                          </para>
                        </list.item>
                        <list.item>
                          <para>
                            <paratext>A copy of the proposed sub-processor contract.</paratext>
                          </para>
                        </list.item>
                        <list.item>
                          <para>
                            <paratext>Any relevant compliance guarantees provided by the sub-processor.</paratext>
                          </para>
                        </list.item>
                        <list.item>
                          <para>
                            <paratext>If a cross-border transfer of personal data is involved, any relevant transfer documentation.</paratext>
                          </para>
                        </list.item>
                      </list>
                    </division>
                  </division>
                </drafting.note>
              </subclause2>
              <subclause2 id="a687288">
                <identifier>(b)</identifier>
                <para>
                  <paratext>carry out, via itself or via any other processor, any processing of Customer Personal Data, or transfer any Customer Personal Data, outside of the UK, including processing Customer Personal Data on equipment situated outside of the UK.</paratext>
                </para>
                <drafting.note id="a613968" jurisdiction="">
                  <head align="left" preservecase="true">
                    <headtext>International data transfers</headtext>
                  </head>
                  <division id="a000027" level="1">
                    <para>
                      <paratext>The rules governing international transfers vary depending on whether the processing in question is subject to the EU GDPR or the UK GDPR.</paratext>
                    </para>
                    <division id="a000028" level="2">
                      <division id="a699908" level="3">
                        <head align="left" preservecase="true">
                          <headtext>International transfers under the EU GDPR</headtext>
                        </head>
                        <para>
                          <paratext>
                            Where the EU GDPR applies, personal data may not be transferred outside of the EEA unless appropriate safeguards are in place (see 
                            <ital>Chapter V, </ital>
                            EU GDPR) (see 
                            <link anchor="a553297" href="w-007-9580" style="ACTLinkPLCtoPLC">
                              <ital>Practice note: overview, Overview of EU General Data Protection Regulation: Cross-border data transfers</ital>
                            </link>
                            <ital>.</ital>
                          </paratext>
                        </para>
                        <para>
                          <paratext>Appropriate safeguards may include using standard contractual clauses (SCCs) adopted by the EU Commission.</paratext>
                        </para>
                        <para>
                          <paratext>
                            Previously, the EU Commission approved different sets of SCCs for this purpose (First Generation EU SCCs). However, these were replaced, on 4 June 2021, with a new set of SCCs approved by the EU Commission for international transfers (Second Generation EU SCCs). See 
                            <link anchor="a000007" href="w-011-4081" style="ACTLinkPLCtoPLC">
                              <ital>GDPR Cross-Border Transfers Checklist: Consider European Commission Standard Contractual Clauses to Transfer Personal Data</ital>
                            </link>
                            . These came into force on 27 June 2021.
                          </paratext>
                        </para>
                        <para>
                          <paratext>Organisations were able to contract using the First Generation EU SCCs until September 27, 2021, but must have replaced these with the Second Generation EU SCCs by December 27, 2022. In addition, the Second Generation EU SCCs must be implemented if the underlying agreement is renegotiated or the data processing scope changes.</paratext>
                        </para>
                      </division>
                      <division id="a526809" level="3">
                        <head align="left" preservecase="true">
                          <headtext>International transfers under the UK GDPR</headtext>
                        </head>
                        <para>
                          <paratext>
                            For general information about UK international data transfers, see 
                            <link href="https://uk.practicallaw.thomsonreuters.com/w-013-9203" style="ACTLinkURL">
                              <ital>Practice note, Overview of data transfers (UK)</ital>
                            </link>
                             and 
                            <link anchor="a356160" href="w-027-2423" style="ACTLinkPLCtoPLC">
                              <ital>Practice note, Data protection issues in IT contracts: Common transfer scenarios in IT contracts</ital>
                            </link>
                            .
                          </paratext>
                        </para>
                        <para>
                          <paratext>
                            When the UK GDPR applies, personal data may not be transferred outside the UK unless the transfer meets the restricted transfer conditions (transfers can be made on the basis of an adequacy decision, appropriate safeguard or derogation)  (see 
                            <ital>Chapter V, UK GDPR</ital>
                            ).
                          </paratext>
                        </para>
                        <para>
                          <paratext>Transfers from the UK to the EEA can continue without additional protections being put in place, as EEA countries will be deemed by the UK to have an adequate level of data protection.</paratext>
                        </para>
                        <para>
                          <paratext>
                            Following the Schrems II decision, relying on an appropriate safeguard to conduct a data transfer requires a risk assessment under the EU GDPR and UK GDPR (see 
                            <link href="https://uk.practicallaw.thomsonreuters.com/w-039-3635" style="ACTLinkURL">
                              <ital>Practice note, Data transfer risk assessments (TRAs) (UK)</ital>
                            </link>
                            ).
                          </paratext>
                        </para>
                        <para>
                          <paratext>
                            In addition, 
                            <link href="_blank" style="ACTLinkPLCtoPLC">
                              <ital>section 17A</ital>
                            </link>
                             of the DPA 2018 provides for regulations to allow for transfers to non-EU countries and Schedule 21 preserves existing decisions (see 
                            <link href="https://uk.practicallaw.thomsonreuters.com/w-038-4650" style="ACTLinkURL">
                              <ital>Adequacy regulations tracker (UK)</ital>
                            </link>
                            ). Provision was also made for the existing First Generation EU SCCs to remain valid for transfers from the UK to non-EU countries and the ICO confirmed that First Generation EU SCCs could be entered into up until 21 September 2022 and remained valid until 21 March 2024, see 
                            <link href="https://uk.practicallaw.thomsonreuters.com/w-034-3245?originationContext=document&amp;amp;transitionType=DocumentItem&amp;amp;contextData=(sc.Default)&amp;amp;ppcid=c03be03f64c94d8bbb095d8396cb3588" style="ACTLinkURL">
                              <ital>ICO: International Data Transfer Agreements: Transitional Provisions</ital>
                            </link>
                            . It created and published versions of the First Generation EU SCCs (with guidance), with suggested changes to make these work in the UK.
                          </paratext>
                        </para>
                        <para>
                          <paratext>
                            In addition, a model international data transfer agreement (IDTA) has been issued by the Information Commissioner under section 119A(1) of the DPA 2018 for use by organisations making restricted transfers under the UK GDPR and DPA 2018. It came into force on 21 March 2022, see 
                            <link href="https://uk.practicallaw.thomsonreuters.com/w-034-2912?originationContext=document&amp;amp;transitionType=DocumentItem&amp;amp;contextData=(sc.Default)&amp;amp;ppcid=c7e61fcb51c34226bf91475de6985349" style="ACTLinkURL">
                              <ital>Legal update, International data transfer agreement and addendum to EU SCCs laid before Parliament</ital>
                            </link>
                            . The Information Commissioner considers that the IDTA provides appropriate safeguards for restricted transfers when it is entered into as a legally binding contract.
                          </paratext>
                        </para>
                        <para>
                          <paratext>
                            For more information about the IDTA (including a link to a version that organisations can use) see 
                            <link href="w-034-4386" style="ACTLinkPLCtoPLC">
                              <ital>Standard document, ICO International Data Transfer Agreement (IDTA) (UK)</ital>
                            </link>
                            .
                          </paratext>
                        </para>
                        <para>
                          <paratext>
                            The Information Commissioner has also issued an International Data Transfer Addendum to the Second Generation EU SCCs (Addendum) under section 119A(1) DPA 2018. The Addendum also came into force on 21 March 2022. The ICO considers that entering into the Addendum provides appropriate safeguards for restricted data transfers from the UK when it is entered into as a legally binding contract, allowing data exporters to use the Second Generation EU SCCs as an alternative to the IDTA. This might be (for example) where the Second Generation EU SCCs will be entered into anyway to cover a data transfer under the EU GDPR. For more information on the Addendum (including a link to a version that organisations can use) see 
                            <link href="w-034-1635" style="ACTLinkPLCtoPLC">
                              <ital>Standard clause, ICO International data transfer addendum to the EU Commission standard contractual clauses (Addendum) (UK)</ital>
                            </link>
                            .
                          </paratext>
                        </para>
                      </division>
                      <division id="a763788" level="3">
                        <head align="left" preservecase="true">
                          <headtext>Approach taken in this clause</headtext>
                        </head>
                        <para>
                          <paratext>
                            The First Generation EU SCCs for international transfers were commonly used in IT contracts to govern transfers under the EU GDPR, see 
                            <link anchor="a279169" href="w-027-2423" style="ACTLinkPLCtoPLC">
                              <ital>Practice note, Data protection issues in IT contracts: Cross-border data transfers in the context of an IT agreement</ital>
                            </link>
                            <ital>. </ital>
                            Parties relying on these will now have to replace them with the Second Generation versions (or where UK transfers are in issue, the IDTA or the Addendum), within the specified timeframe, or risk becoming non-compliant with the EU GDPR and UK GDPR respectively.
                          </paratext>
                        </para>
                        <para>
                          <paratext>
                            As this 
                            <internal.reference refid="a687288">clause 1.9(b)</internal.reference>
                             is drafted in favour of the customer, it requires the customer's consent to be obtained before the supplier is able to undertake any data transfers outside of the UK so the customer has a chance to assess the transfer, and put in place any appropriate safeguards which it deems necessary before the transfer taking place. It assumes, for these purposes, that the UK GDPR will always apply, see 
                            <internal.reference refid="a830046">Drafting note, Assumptions</internal.reference>
                            . If only the EU GDPR will apply then this 
                            <internal.reference refid="a687288">clause 1.9(b)</internal.reference>
                             can be amended so that the customer's consent is only required for transfers outside of the EEA, instead.
                          </paratext>
                        </para>
                        <para>
                          <paratext>The clause does not specify the exact form of SCC that must be used, if consent is given, but puts the onus on the supplier to provide the customer with reasonable evidence that such activity is being undertaking in full compliance with applicable data protection laws. This provides flexibility to choose different SCCs, as well as dealing with future changes to the SCCs. However, it will be up to the parties to decide which form of SCC is most appropriate in the circumstances, based on the exact circumstances on the data transfer.</paratext>
                        </para>
                        <para>
                          <paratext>
                            For more information on the position under the UK GDPR, see 
                            <link href="https://uk.practicallaw.thomsonreuters.com/w-013-9203" style="ACTLinkURL">
                              <ital>Practice note, Overview of data transfers (UK)</ital>
                            </link>
                            .
                          </paratext>
                        </para>
                        <para>
                          <paratext>
                            For more information on the position under the EU GDPR, see 
                            <link anchor="a553297" href="w-007-9580" style="ACTLinkPLCtoPLC">
                              <ital>Practice note: overview, Overview of EU General Data Protection Regulation: Cross-border data transfers</ital>
                            </link>
                            .
                          </paratext>
                        </para>
                      </division>
                      <division id="a501825" level="3">
                        <head align="left" preservecase="true">
                          <headtext>Schrems II</headtext>
                        </head>
                        <para>
                          <paratext>
                            It should be noted that the ECJ's preliminary ruling in 
                            <link href="D-105-0207" style="ACTLinkPLCtoPLC">
                              <ital>Data Protection Commissioner v Facebook Ireland Ltd (Case C-311/18) EU:C:2020:559</ital>
                            </link>
                             (commonly referred to as 
                            <ital>Schrems II</ital>
                            ) invalidated the EU-US Privacy Shield and has implications for other transfer mechanisms, including SCCs. The EU-US Privacy Shield has since been replaced by the EU-US Data Privacy Framework (DPF), see 
                            <link anchor="a782349" href="w-011-4081" style="ACTLinkPLCtoPLC">
                              <ital>GDPR Cross-Border Transfers Checklist: Consider Using the Data Privacy Framework for EEA-US Transfers</ital>
                            </link>
                            .
                          </paratext>
                        </para>
                        <para>
                          <paratext>
                            For more information on the position under the UK GDPR, see 
                            <link href="https://uk.practicallaw.thomsonreuters.com/w-013-9203?documentSection=co_anchor_a256129" style="ACTLinkURL">
                              <ital>Practice note, Overview of data transfers (UK), Background: impact of the ECJ's ruling in Schrems I and II</ital>
                            </link>
                            . For more information on the position under the EU GDPR, see 
                            <link anchor="a845165" href="w-007-9580" style="ACTLinkPLCtoPLC">
                              <ital>Practice note: overview, Overview of EU General Data Protection Regulation: Schrems II: ECJ ’ s ruling that the EU-US Privacy Shield is invalid and additional requirements f...</ital>
                            </link>
                            .
                          </paratext>
                        </para>
                      </division>
                    </division>
                  </division>
                </drafting.note>
              </subclause2>
            </subclause1>
            <subclause1 id="a467012">
              <identifier>1.10</identifier>
              <para>
                <paratext>
                  Either party may, at any time on not less than 30 days' notice, revise this 
                  <internal.reference refid="a241977">clause 1</internal.reference>
                   with any applicable standard clauses approved by the EU Commission or the UK Information Commissioner's Office or forming part of an applicable certification scheme or code of conduct (
                  <bold>Amended Terms</bold>
                  ). Such Amended Terms shall apply when replaced by attachment to this agreement, but only in respect of such matters which are within the scope of the Amended Terms.
                </paratext>
              </para>
              <drafting.note id="a143540" jurisdiction="">
                <head align="left" preservecase="true">
                  <headtext>Standard clauses and certification schemes</headtext>
                </head>
                <division id="a000029" level="1">
                  <para>
                    <paratext>Where the EU GDPR applies, Article 28(6), 28(7) and 28(8) allow for the adoption of standard contractual clauses by the EU Commission or as part of a certification scheme or code of conduct to demonstrate compliance with the EU GDPR.</paratext>
                  </para>
                  <para>
                    <paratext>Where the UK GDPR applies, Article 28(6) and 28(8) allow for the adoption of standard contractual clauses by the ICO or as part of a certification scheme or code of conduct to demonstrate compliance with the UK GDPR.</paratext>
                  </para>
                  <para>
                    <paratext>
                      The wording adopted in this 
                      <internal.reference refid="a467012">clause 1.10</internal.reference>
                       allows either party to replace these clauses (or parts of these clauses, as may be appropriate) with standard clauses or terms forming part of a certification scheme or code of conduct, if and once these are approved.
                    </paratext>
                  </para>
                  <division id="a452387" level="2">
                    <head align="left" preservecase="true">
                      <headtext>EU standard clauses</headtext>
                    </head>
                    <para>
                      <paratext>On 4 June 2021, the EU Commission adopted final versions of two new sets of SCCs:</paratext>
                    </para>
                    <list type="bulleted">
                      <list.item>
                        <para>
                          <paratext>A set for use between controllers and processors within the EEA under Article 28 of the EU GDPR (EU Controller-Processor SCCs).</paratext>
                        </para>
                      </list.item>
                    </list>
                    <para>
                      <paratext>
                        Second Generation EU SCCs for international transfers (see 
                        <internal.reference refid="a699908">Drafting note, International transfers under the EU GDPR</internal.reference>
                        ).
                      </paratext>
                    </para>
                    <para>
                      <paratext>
                        These came into force on 4 June 2021 (see 
                        <link href="https://uk.practicallaw.thomsonreuters.com/w-031-2777?originationContext=document&amp;amp;transitionType=DocumentItem&amp;amp;contextData=(sc.Default)" style="ACTLinkURL">
                          <ital>Legal update, European Commission adopts final versions of standard contractual clauses under EU GDPR</ital>
                        </link>
                        ).
                      </paratext>
                    </para>
                    <para>
                      <paratext>
                        It should be noted that the EU Controller-Processor SCCs.are not mandatory, and the parties can choose to negotiate their own terms in compliance with Article 28, see, 
                        <link href="w-031-6914" style="ACTLinkPLCtoPLC">
                          <ital>Article, Key Takeaways From the European Commission's Article 28 Standard Contractual Clauses. </ital>
                        </link>
                      </paratext>
                    </para>
                    <para>
                      <paratext>
                        This resource does not reflect the wording of the EU Controller-Processor SCCs, see 
                        <internal.reference refid="a830046">Drafting note, Assumptions</internal.reference>
                        . If the parties wanted to adopt them (in respect of processing which is subject to the EU GDPR) then it would need to follow the process set out in this 
                        <internal.reference refid="a467012">clause 1.10</internal.reference>
                        <ital>, </ital>
                        see
                        <ital> </ital>
                        <internal.reference refid="a499400">Drafting note, This resource compared to the EU standard contractual clauses for use between controllers and processors</internal.reference>
                        <ital>.</ital>
                      </paratext>
                    </para>
                  </division>
                  <division id="a407918" level="2">
                    <head align="left" preservecase="true">
                      <headtext>UK standard clauses</headtext>
                    </head>
                    <para>
                      <paratext>
                        The EU Controller-Processor SCCs have not been approved for use by the ICO under the UK GDPR. The ICO has yet to produce any of its own clauses, but they do refer to the SCCs produced by the Danish Data Protection Agency and approved by the EDPB, stating that if you use these SCCs in a contract with a processor without any amendments, the contract should comply with the requirements under Article 28 of the UK GDPR. See 
                        <link href="https://ico.org.uk/for-organisations/uk-gdpr-guidance-and-resources/accountability-and-governance/contracts-and-liabilities-between-controllers-and-processors-multi/what-needs-to-be-included-in-the-contract/" style="ACTLinkURL">
                          <ital>ICO: Contracts and liabilities between controllers and processors: What needs to be included in the contract? </ital>
                        </link>
                      </paratext>
                    </para>
                  </division>
                  <division id="a133070" level="2">
                    <head align="left" preservecase="true">
                      <headtext>UK certification schemes</headtext>
                    </head>
                    <para>
                      <paratext>
                        The ICO has currently approved the criteria for a number of schemes, including a standard, developed by ADISA, that ensures personal data has been handled appropriately when IT equipment is re-used or destroyed, see 
                        <link href="w-032-3519" style="ACTLinkPLCtoPLC">
                          <ital>Legal update: case report, ICO approves first certification scheme criteria</ital>
                        </link>
                        . The parties should decide whether any of these schemes are applicable to the goods or services to be provided under this agreement, and, if relevant, they may wish to incorporate the certification standard by amending these clauses, either at the time they are agreed, or later by way of the mechanism set out in this 
                        <internal.reference refid="a467012">clause 1.10</internal.reference>
                        .
                      </paratext>
                    </para>
                    <para>
                      <paratext>
                        For more information on certification schemes, generally, see 
                        <link anchor="co_anchor_a958608" href="https://uk.practicallaw.thomsonreuters.com/w-013-3757?originationContext=document&amp;amp;transitionType=DocumentItem&amp;amp;contextData=(sc.Default)&amp;amp;ppcid=137b426ec56c4b989ebdbbf16eb82288" style="ACTLinkURL">
                          <ital>Practice note, Overview of UK GDPR: Codes of conduct, certification and certification bodies</ital>
                        </link>
                        .
                      </paratext>
                    </para>
                    <para>
                      <paratext>
                        See also, 
                        <link href="w-020-6773" style="ACTLinkPLCtoPLC">
                          <ital>Legal updates, EDPB finalises Guidelines on Codes of Conduct, annex to the Guidelines on Accreditation and annex to the Guidelines on Certification</ital>
                        </link>
                        <ital> </ital>
                        and 
                        <link href="w-023-4160" style="ACTLinkPLCtoPLC">
                          <ital>ICO announces it will be partnering with UKAS to deliver certification schemes</ital>
                        </link>
                        .
                      </paratext>
                    </para>
                  </division>
                </division>
              </drafting.note>
            </subclause1>
            <subclause1 condition="optional" id="a831232">
              <identifier>1.11</identifier>
              <para>
                <paratext>
                  To the extent the parties act as joint controllers in respect of personal data pursuant to this agreement, the parties have agreed to allocate responsibility for each of their controller obligations under Applicable Data Protection Laws in accordance with 
                  <internal.reference refid="a261321">Schedule 4</internal.reference>
                  .
                </paratext>
              </para>
              <drafting.note id="a912822" jurisdiction="">
                <head align="left" preservecase="true">
                  <headtext>Allocation of responsibility for joint controllers (optional)</headtext>
                </head>
                <division id="a000030" level="1">
                  <para>
                    <paratext>
                      You may wish to include this clause if it is determined that the parties will be acting in the capacity of joint controllers in relation to certain data processing activities, see 
                      <internal.reference refid="a684161">Drafting note, Joint controllers (optional)</internal.reference>
                      .
                    </paratext>
                  </para>
                  <para>
                    <paratext>Under Article 26(1) of both the EU GDPR and UK GDPR, joint controllers are required to:</paratext>
                  </para>
                  <list type="bulleted">
                    <list.item>
                      <para>
                        <paratext>Decide who will carry out which controller obligations.</paratext>
                      </para>
                    </list.item>
                    <list.item>
                      <para>
                        <paratext>Have a transparent arrangement which sets out agreed roles and responsibilities for applicable GDPR compliance, particularly transparency obligations and individual rights (including rights relating to subject access requests, accuracy and data minimisation).</paratext>
                      </para>
                    </list.item>
                  </list>
                  <para>
                    <paratext>
                      All joint controllers remain responsible for compliance with controller obligations under both versions of the GDPR (
                      <ital>Article 26(3)</ital>
                      ). Each controller will be liable for the entire damage caused by the processing unless it can prove it is not in any way responsible for the event giving rise to the damage.
                    </paratext>
                  </para>
                  <para>
                    <paratext>While Article 26(1) does not require these allocations of responsibility to be made in writing, this is recommended, given the consequences of Article 26(3).</paratext>
                  </para>
                  <para>
                    <paratext>
                      This 
                      <internal.reference refid="a831232">clause 1.11</internal.reference>
                       allows the parties to set out these allocations of responsibility, in writing, as part of 
                      <internal.reference refid="a261321">Schedule 4</internal.reference>
                      .
                    </paratext>
                  </para>
                  <para>
                    <paratext>
                      See 
                      <internal.reference refid="a483242">Drafting note, Allocation of responsibilities</internal.reference>
                      .
                    </paratext>
                  </para>
                </division>
              </drafting.note>
            </subclause1>
            <subclause1 id="a816326">
              <identifier>1.12</identifier>
              <para>
                <paratext>
                  The Supplier hereby indemnifies, and shall keep indemnified, the Customer from and against any and all costs, damages and expenses of any kind arising from any claim or demand brought by any person, data subject, Commissioner or supervisory authority as a result of any breach or alleged breach by Supplier of any Applicable Data Protection Law or its obligations under this 
                  <internal.reference refid="a470099">clause 1.1</internal.reference>
                   [This indemnity shall not be subject to any limits or exclusions of liability that may otherwise apply, or be imposed, under this agreement].
                </paratext>
              </para>
              <drafting.note id="a956789" jurisdiction="">
                <head align="left" preservecase="true">
                  <headtext>Indemnity (optional)</headtext>
                </head>
                <division id="a000031" level="1">
                  <para>
                    <paratext>
                      As a controller, the customer could face a fine under the EU GDPR of up to EUR20 million or 4% of the customer's (undertaking's) total worldwide annual turnover (
                      <ital>Article 83(6)</ital>
                      ) and up to £17.5 million or 4% of the customer's (undertaking's) total worldwide annual turnover under the DPA 2018 and UK GDPR (
                      <ital>Article 83(6)</ital>
                      ). It is also at risk of actions for compensation being brought against it by data subjects. For more information on the position under the UK GDPR, see 
                      <link anchor="a708290" href="w-013-3757" style="ACTLinkPLCtoPLC">
                        <ital>Practice note: overview, Overview of UK GDPR: Enforcement, sanctions and remedies</ital>
                      </link>
                      . For more information on the position under the EU GDPR, see 
                      <link anchor="a512378" href="w-007-9580" style="ACTLinkPLCtoPLC">
                        <ital>Practice note: overview, Overview of EU General Data Protection Regulation: Enforcement, sanctions and remedies</ital>
                      </link>
                      .
                    </paratext>
                  </para>
                  <para>
                    <paratext>
                      As such, the customer may prefer to pass on such fines or losses to the supplier on an indemnity basis, where that fine, or compensation claim, results from the actions of the supplier. Indemnity protection is often preferred to trying to claim damages for a breach of contract claim, although it is not always possible to negotiate, see 
                      <link href="w-004-0860" style="ACTLinkPLCtoPLC">
                        <ital>Practice note, Contracts: indemnities</ital>
                      </link>
                      , particularly the section 
                      <link href="https://uk.practicallaw.thomsonreuters.com/w-004-0860?documentSection=co_anchor_a678479" style="ACTLinkURL">
                        <ital>Comparison: indemnity v damages for breach of contract</ital>
                      </link>
                      .
                    </paratext>
                  </para>
                  <para>
                    <paratext>
                      If the indemnity in 
                      <internal.reference refid="a816326">clause 1.12</internal.reference>
                       is included, the parties should be clear whether the indemnity is intended to fall inside or outside of any general liability cap that applies under the agreement, including any cap agreed under 
                      <internal.reference refid="a628648">clause 1.13</internal.reference>
                      <ital>.</ital>
                    </paratext>
                  </para>
                </division>
              </drafting.note>
            </subclause1>
            <subclause1 condition="optional" id="a628648">
              <identifier>1.13</identifier>
              <para>
                <paratext>
                  Subject to [ANY CLAUSES WHICH REFER TO LIABILITY WHICH THE PARTIES HAVE AGREED SHOULD NOT BE EXCLUDED OR LIMITED] and in addition to [ANY OTHER APPLICABLE LIABILITY CAPS] [and notwithstanding any other terms of this agreement], the Supplier's total aggregate liability in contract, tort (including negligence and breach of statutory duty howsoever arising), misrepresentation (whether innocent or negligent), restitution or otherwise, arising in connection with the performance or contemplated performance of this agreement or any collateral contract insofar as it relates to the obligations set out in this 
                  <internal.reference refid="a241977">clause 1</internal.reference>
                  , or Applicable Data Protection Laws, shall be limited to £[AMOUNT].
                </paratext>
              </para>
              <drafting.note id="a301971" jurisdiction="">
                <head align="left" preservecase="true">
                  <headtext>Supercap for data protection liabilities (optional)</headtext>
                </head>
                <division id="a000032" level="1">
                  <para>
                    <paratext>IT suppliers will generally seek to limit liability for breach of data protection obligations. Liability and losses can arise, for example:</paratext>
                  </para>
                  <list type="bulleted">
                    <list.item>
                      <para>
                        <paratext>
                          For breach of any contractual terms required to be included in an agreement between controllers, or a controller and a processor, pursuant to the EU GDPR, UK GDPR or DPA 2018 (for example, this 
                          <internal.reference refid="a241977">clause 1</internal.reference>
                          ).
                        </paratext>
                      </para>
                    </list.item>
                    <list.item>
                      <para>
                        <paratext>As a result of a breach of the EU GDPR, UK GDPR or DPA 2018 by the supplier that results in a fine imposed on the customer or compensation claims from data subjects.</paratext>
                      </para>
                    </list.item>
                  </list>
                  <para>
                    <paratext>If a general liability cap has already been agreed elsewhere in the agreement, the supplier will likely be keen to ensure that data protection liabilities are expressly included within that cap.</paratext>
                  </para>
                  <para>
                    <paratext>
                      However, if a cap is acceptable to the customer at all, it will likely attempt to negotiate a separate cap or a "supercap" for these types of breaches, bearing in mind the significant fines, and other liabilities, it can face under the UK and EU GDPR, see 
                      <internal.reference refid="a956789">Drafting note, Indemnity (optional)</internal.reference>
                      .
                    </paratext>
                  </para>
                  <para>
                    <paratext>
                      As the parties may be subject to both the EU GDPR and the UK GDPR, and a breach of their obligations, may trigger liability under either (or both) regimes, the supplier will be keen to ensure that any cap (or supercap) covers the supplier's liability under both regimes. See 
                      <internal.reference refid="a231017">Drafting note, Application of EU GDPR</internal.reference>
                      .
                    </paratext>
                  </para>
                  <para>
                    <paratext>
                      For more on negotiating limits or exclusions of liability in relation to data protection, see 
                      <link anchor="a207698" href="w-027-2423" style="ACTLinkPLCtoPLC">
                        <ital>Practice note, Data protection issues in IT contracts: Liability for data protection compliance in IT contracts</ital>
                      </link>
                      .
                    </paratext>
                  </para>
                </division>
              </drafting.note>
            </subclause1>
            <subclause1 id="a319881">
              <identifier>1.14</identifier>
              <para>
                <paratext>
                  Nothing in this 
                  <internal.reference refid="a241977">clause 1</internal.reference>
                   shall operate to limit or exclude the Supplier's liability for:
                </paratext>
              </para>
              <subclause2 id="a786751">
                <identifier>(a)</identifier>
                <para>
                  <paratext>any of its direct statutory obligations under Applicable Data Protection Laws; or</paratext>
                </para>
              </subclause2>
              <subclause2 id="a356400">
                <identifier>(b)</identifier>
                <para>
                  <paratext>any liability imposed under Article 82 of the EU GDPR or Article 82 of the UK GDPR.</paratext>
                </para>
                <drafting.note id="a552568" jurisdiction="">
                  <head align="left" preservecase="true">
                    <headtext>Data protection liability that should not be limited or excluded (optional)</headtext>
                  </head>
                  <division id="a000033" level="1">
                    <para>
                      <paratext>
                        The customer will likely want to ensure that the supplier is not able to exclude or limit its data protection liabilities in certain scenarios, see 
                        <link anchor="a593897" href="w-027-2423" style="ACTLinkPLCtoPLC">
                          <ital>Practice note, Data protection issues in IT Contracts: Negotiating liability limits</ital>
                        </link>
                        .
                      </paratext>
                    </para>
                  </division>
                </drafting.note>
              </subclause2>
            </subclause1>
          </clause>
        </operative>
        <disclosure.schedule>
          <schedule id="a429515">
            <identifier>Schedule 1</identifier>
            <head align="left" preservecase="true">
              <headtext>Role of the Parties</headtext>
            </head>
            <drafting.note id="a956188" jurisdiction="">
              <head align="left" preservecase="true">
                <headtext>Role of the Parties</headtext>
              </head>
              <division id="a000034" level="1">
                <para>
                  <paratext>
                    This schedule relates to 
                    <internal.reference refid="a963735">clause 1.3</internal.reference>
                    , see 
                    <internal.reference refid="a719538">Drafting note, Obligations and rights of the controller and processor</internal.reference>
                    .
                  </paratext>
                </para>
                <para>
                  <paratext>
                    For further discussion on how to determine whether a party is acting in the capacity of a controller, processor or joint controller, see 
                    <link anchor="a188325" href="w-027-2423" style="ACTLinkPLCtoPLC">
                      <ital>Practice note, Data protection issues in IT contracts: Principles and analysis – controllers and processors</ital>
                    </link>
                    .
                  </paratext>
                </para>
              </division>
            </drafting.note>
            <part id="a266696">
              <identifier>Part 1</identifier>
              <head align="left" preservecase="true">
                <headtext>Where the Supplier acts as a controller</headtext>
              </head>
            </part>
            <part id="a170246">
              <identifier>Part 2</identifier>
              <head align="left" preservecase="true">
                <headtext>Where the Supplier acts as a processor</headtext>
              </head>
            </part>
            <part condition="optional" id="a563499">
              <identifier>Part 3</identifier>
              <head align="left" preservecase="true">
                <headtext>Where the Supplier and Controller act as joint controllers</headtext>
              </head>
            </part>
          </schedule>
          <schedule id="a323669">
            <identifier>Schedule 2</identifier>
            <head align="left" preservecase="true">
              <headtext>Particulars of the processing</headtext>
            </head>
            <drafting.note id="a547128" jurisdiction="">
              <head align="left" preservecase="true">
                <headtext>Particulars of the processing</headtext>
              </head>
              <division id="a000035" level="1">
                <para>
                  <paratext>Article 28(3) of both the EU GDPR and UK GDPR requires the contract to set out:</paratext>
                </para>
                <list type="bulleted">
                  <list.item>
                    <para>
                      <paratext>The subject-matter of the processing.</paratext>
                    </para>
                  </list.item>
                  <list.item>
                    <para>
                      <paratext>The duration of the processing.</paratext>
                    </para>
                  </list.item>
                  <list.item>
                    <para>
                      <paratext>The nature and purpose of the processing.</paratext>
                    </para>
                  </list.item>
                  <list.item>
                    <para>
                      <paratext>The type of personal data.</paratext>
                    </para>
                  </list.item>
                  <list.item>
                    <para>
                      <paratext>The categories of data subjects.</paratext>
                    </para>
                  </list.item>
                </list>
                <para>
                  <paratext>Recital 81 explains that this should take into account the specific tasks and responsibilities of the processor, in the context of the relevant processing as well as the risk to the rights and freedoms of the data subjects.</paratext>
                </para>
                <para>
                  <paratext>A dedicated schedule may be the best place to include this information.  Alternatively, the agreement could cross-refer to other parts of the broader commercial IT agreement, such as the term and the services description.</paratext>
                </para>
              </division>
            </drafting.note>
            <clause id="a426000">
              <identifier>1.</identifier>
              <head align="left" preservecase="true">
                <headtext>Particulars of processing</headtext>
              </head>
              <subclause1 id="a996018">
                <identifier>1.1</identifier>
                <head align="left" preservecase="true">
                  <headtext>Scope</headtext>
                </head>
                <subclause2 id="a109160">
                  <para>
                    <paratext>[Subject matter of the processing – short description, for example name of the service or description of the master agreement].</paratext>
                  </para>
                </subclause2>
              </subclause1>
              <subclause1 id="a773226">
                <identifier>1.2</identifier>
                <head align="left" preservecase="true">
                  <headtext>Nature</headtext>
                </head>
                <subclause2 id="a425839">
                  <para>
                    <paratext>[Description of the type of processing such as data collection, storage, sharing and so on].</paratext>
                  </para>
                </subclause2>
              </subclause1>
              <subclause1 id="a654696">
                <identifier>1.3</identifier>
                <head align="left" preservecase="true">
                  <headtext>Purpose of processing</headtext>
                </head>
              </subclause1>
              <subclause1 id="a862216">
                <para>
                  <paratext>[Description of the processing purpose(s) – for example, processing for HR purposes, recruitment, direct marketing and so on].</paratext>
                </para>
              </subclause1>
              <subclause1 id="a853829">
                <identifier>1.4</identifier>
                <head align="left" preservecase="true">
                  <headtext>Duration of the processing</headtext>
                </head>
              </subclause1>
              <subclause1 id="a697518">
                <para>
                  <paratext>[Periods for which the services are being provided].</paratext>
                </para>
              </subclause1>
            </clause>
            <clause id="a732918">
              <identifier>2.</identifier>
              <head align="left" preservecase="true">
                <headtext>Types of Personal Data</headtext>
              </head>
            </clause>
            <clause id="a821766">
              <identifier>3.</identifier>
              <head align="left" preservecase="true">
                <headtext>Categories of Data Subject</headtext>
              </head>
            </clause>
          </schedule>
          <schedule condition="optional" id="a358377">
            <identifier>Schedule 3</identifier>
            <head align="left" preservecase="true">
              <headtext>Technical and organisational measures</headtext>
            </head>
            <drafting.note id="a524882" jurisdiction="">
              <head align="left" preservecase="true">
                <headtext>Technical and organisational measures</headtext>
              </head>
              <division id="a000036" level="1">
                <para>
                  <paratext>
                    This schedule relates to 
                    <internal.reference refid="a798515">clause 1.8(b)</internal.reference>
                    . See 
                    <internal.reference refid="a871163">Drafting note, Security measures</internal.reference>
                    .
                  </paratext>
                </para>
              </division>
            </drafting.note>
          </schedule>
          <schedule condition="optional" id="a261321">
            <identifier>Schedule 4</identifier>
            <head align="left" preservecase="true">
              <headtext>Allocation of responsibilities</headtext>
            </head>
            <drafting.note id="a483242" jurisdiction="">
              <head align="left" preservecase="true">
                <headtext>Allocation of responsibilities</headtext>
              </head>
              <division id="a000037" level="1">
                <para>
                  <paratext>
                    For an example of a data sharing agreement between joint controllers, which sets out allocations of responsibility and is drafted to meet the requirement for an "arrangement" to be in place between joint controllers, see 
                    <link href="w-027-1079" style="ACTLinkPLCtoPLC">
                      <ital>Standard document, Data sharing agreement (joint controllers) (GDPR and DPA 2018) (UK)</ital>
                    </link>
                    . See also 
                    <link href="w-018-8492" style="ACTLinkPLCtoPLC">
                      <ital>Practice note, Overview of data sharing arrangements (UK GDPR and DPA 2018) (UK)</ital>
                    </link>
                    .
                  </paratext>
                </para>
              </division>
            </drafting.note>
          </schedule>
          <schedule id="a308037">
            <identifier>Schedule 5</identifier>
            <head align="left" preservecase="true">
              <headtext>Supplier Privacy Policy</headtext>
            </head>
          </schedule>
        </disclosure.schedule>
      </body>
      <rev.history>
        <rev.item>
          <rev.title>Review (November 2024)</rev.title>
          <rev.date>20241120</rev.date>
          <rev.author>Practical Law IP&amp;IT</rev.author>
          <rev.body>
            <division id="a000001" level="1">
              <para>
                <paratext>
                  We have reviewed this resource to reflect the EDPB opinion on certain obligations following from the reliance on processor(s) and sub-processor(s), see 
                  <internal.reference refid="a544044">Drafting note, EDPB opinion on certain obligations following from the reliance on processor(s) and sub-processor(s)</internal.reference>
                  .
                </paratext>
              </para>
            </division>
          </rev.body>
        </rev.item>
        <rev.item>
          <rev.title>Review (September 2024)</rev.title>
          <rev.date>20240910</rev.date>
          <rev.author>Practical Law IP&amp;IT</rev.author>
          <rev.body>
            <division id="a000002" level="1">
              <para>
                <paratext>We have made various updates to this resource, including to reflect recent developments in UK and EU law.</paratext>
              </para>
            </division>
          </rev.body>
        </rev.item>
        <rev.item>
          <rev.title>Review (September 2023)</rev.title>
          <rev.date>20230913</rev.date>
          <rev.author>Practical Law IP&amp;IT</rev.author>
          <rev.body>
            <division id="a000003" level="1">
              <para>
                <paratext>
                  We have updated this resource in light of current developments, including the EU-US data privacy framework, see 
                  <internal.reference refid="a501825">Drafting note, Schrems II</internal.reference>
                  .
                </paratext>
              </para>
            </division>
          </rev.body>
        </rev.item>
        <rev.item>
          <rev.title>Review in light of UK IDTA (February 2022)</rev.title>
          <rev.date>20220215</rev.date>
          <rev.author>Practical Law IP&amp;IT</rev.author>
          <rev.body>
            <division id="a000004" level="1">
              <para>
                <paratext>
                  We have updated this resource in light of the issuing of the UK IDTA and the associated Addendum, see 
                  <internal.reference refid="a613968">Drafting note, International data transfers</internal.reference>
                  .
                </paratext>
              </para>
            </division>
          </rev.body>
        </rev.item>
        <rev.item>
          <rev.title>Review in light of ICO consultation (August 2021)</rev.title>
          <rev.date>20211130</rev.date>
          <rev.author>Practical IP&amp;IT</rev.author>
          <rev.body>
            <division id="a000005" level="1">
              <para>
                <paratext>
                  We have updated this resource to take into account the ICO consultation launched in August 2021, see 
                  <internal.reference refid="a526809">Drafting note, International transfers under the UK GDPR</internal.reference>
                  .
                </paratext>
              </para>
            </division>
          </rev.body>
        </rev.item>
        <rev.item>
          <rev.title>Review in light of new UK certification schemes (August 2021)</rev.title>
          <rev.date>20210823</rev.date>
          <rev.author>Practical Law IP&amp;IT</rev.author>
          <rev.body>
            <division id="a000006" level="1">
              <para>
                <paratext>
                  We have updated this resource to take into account the new certification schemes approved by the ICO, see 
                  <internal.reference refid="a133070">Drafting note, UK certification schemes</internal.reference>
                  .
                </paratext>
              </para>
            </division>
          </rev.body>
        </rev.item>
        <rev.item>
          <rev.title>Review in light of new EU SCCs being published (August 2021)</rev.title>
          <rev.date>20210804</rev.date>
          <rev.author>Practical Law IP&amp;IT</rev.author>
          <rev.body>
            <division id="a000007" level="1">
              <para>
                <paratext>
                  We have updated this resource to take into account the new sets of SCCs adopted by the EU Commission, in particular, 
                  <internal.reference refid="a687288">clause 1.9(b)</internal.reference>
                   and 
                  <internal.reference refid="a467012">clause 1.10</internal.reference>
                   and their associated drafting notes.
                </paratext>
              </para>
            </division>
          </rev.body>
        </rev.item>
      </rev.history>
    </standard.doc>
  </n-docbody>
</n-document>
</file>

<file path=customXml/item3.xml><?xml version="1.0" encoding="utf-8"?>
<p:properties xmlns:p="http://schemas.microsoft.com/office/2006/metadata/properties" xmlns:pc="http://schemas.microsoft.com/office/infopath/2007/PartnerControls" xmlns:xsi="http://www.w3.org/2001/XMLSchema-instance">
  <documentManagement/>
</p:properties>
</file>

<file path=customXml/item4.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5.xml><?xml version="1.0" encoding="utf-8"?>
<properties xmlns="http://www.imanage.com/work/xmlschema">
  <documentid>GENERAL!31690890.4</documentid>
  <senderid>846</senderid>
  <senderemail>JACKY.LAI@HARBOTTLE.COM</senderemail>
  <lastmodified>2026-07-07T13:33:00.0000000+01:00</lastmodified>
  <database>GENERAL</database>
</properties>
</file>

<file path=customXml/item6.xml><?xml version="1.0" encoding="utf-8"?>
<ct:contentTypeSchema xmlns:ct="http://schemas.microsoft.com/office/2006/metadata/contentType" xmlns:ma="http://schemas.microsoft.com/office/2006/metadata/properties/metaAttributes" ct:_="" ma:_="" ma:contentTypeDescription="Create a new document." ma:contentTypeID="0x010100247F6F193519A641BE334D21B3FD6D23" ma:contentTypeName="Document" ma:contentTypeScope="" ma:contentTypeVersion="12" ma:versionID="9d8f92b06b8a4d908263912cea572912">
  <xsd:schema xmlns:xsd="http://www.w3.org/2001/XMLSchema" xmlns:ns2="535145e0-a5c9-4e14-8d68-b432de0c113d" xmlns:ns3="6f8208b4-91d9-4a4e-9b27-8e6ff6729722" xmlns:p="http://schemas.microsoft.com/office/2006/metadata/properties" xmlns:xs="http://www.w3.org/2001/XMLSchema" ma:fieldsID="4a49f75bcd6632144a03253b74f5e65e" ma:root="true" ns2:_="" ns3:_="" targetNamespace="http://schemas.microsoft.com/office/2006/metadata/properties">
    <xsd:import namespace="535145e0-a5c9-4e14-8d68-b432de0c113d"/>
    <xsd:import namespace="6f8208b4-91d9-4a4e-9b27-8e6ff6729722"/>
    <xsd:element name="properties">
      <xsd:complexType>
        <xsd:sequence>
          <xsd:element name="documentManagement">
            <xsd:complexType>
              <xsd:all>
                <xsd:element minOccurs="0" ref="ns2:MediaServiceMetadata"/>
                <xsd:element minOccurs="0" ref="ns2:MediaServiceFastMetadata"/>
                <xsd:element minOccurs="0" ref="ns3:SharedWithUsers"/>
                <xsd:element minOccurs="0" ref="ns3:SharedWithDetails"/>
                <xsd:element minOccurs="0" ref="ns2:MediaServiceAutoKeyPoints"/>
                <xsd:element minOccurs="0" ref="ns2:MediaServiceKeyPoints"/>
                <xsd:element minOccurs="0" ref="ns2:MediaServiceDateTaken"/>
                <xsd:element minOccurs="0" ref="ns2:MediaServiceAutoTags"/>
                <xsd:element minOccurs="0" ref="ns2:MediaServiceOCR"/>
                <xsd:element minOccurs="0" ref="ns2:MediaServiceGenerationTime"/>
                <xsd:element minOccurs="0" ref="ns2:MediaServiceEventHashCode"/>
                <xsd:element minOccurs="0" ref="ns2:MediaServiceLocation"/>
              </xsd:all>
            </xsd:complexType>
          </xsd:element>
        </xsd:sequence>
      </xsd:complexType>
    </xsd:element>
  </xsd:schema>
  <xsd:schema xmlns:xsd="http://www.w3.org/2001/XMLSchema" xmlns:dms="http://schemas.microsoft.com/office/2006/documentManagement/types" xmlns:pc="http://schemas.microsoft.com/office/infopath/2007/PartnerControls" xmlns:xs="http://www.w3.org/2001/XMLSchema" elementFormDefault="qualified" targetNamespace="535145e0-a5c9-4e14-8d68-b432de0c113d">
    <xsd:import namespace="http://schemas.microsoft.com/office/2006/documentManagement/types"/>
    <xsd:import namespace="http://schemas.microsoft.com/office/infopath/2007/PartnerControls"/>
    <xsd:element ma:displayName="MediaServiceMetadata" ma:hidden="true" ma:index="8" ma:internalName="MediaServiceMetadata" ma:readOnly="true" name="MediaServiceMetadata" nillable="true">
      <xsd:simpleType>
        <xsd:restriction base="dms:Note"/>
      </xsd:simpleType>
    </xsd:element>
    <xsd:element ma:displayName="MediaServiceFastMetadata" ma:hidden="true" ma:index="9" ma:internalName="MediaServiceFastMetadata" ma:readOnly="true" name="MediaServiceFastMetadata" nillable="true">
      <xsd:simpleType>
        <xsd:restriction base="dms:Note"/>
      </xsd:simpleType>
    </xsd:element>
    <xsd:element ma:displayName="MediaServiceAutoKeyPoints" ma:hidden="true" ma:index="12" ma:internalName="MediaServiceAutoKeyPoints" ma:readOnly="true" name="MediaServiceAutoKeyPoints" nillable="true">
      <xsd:simpleType>
        <xsd:restriction base="dms:Note"/>
      </xsd:simpleType>
    </xsd:element>
    <xsd:element ma:displayName="KeyPoints" ma:index="13" ma:internalName="MediaServiceKeyPoints" ma:readOnly="true" name="MediaServiceKeyPoints" nillable="true">
      <xsd:simpleType>
        <xsd:restriction base="dms:Note">
          <xsd:maxLength value="255"/>
        </xsd:restriction>
      </xsd:simpleType>
    </xsd:element>
    <xsd:element ma:displayName="MediaServiceDateTaken" ma:hidden="true" ma:index="14" ma:internalName="MediaServiceDateTaken" ma:readOnly="true" name="MediaServiceDateTaken" nillable="true">
      <xsd:simpleType>
        <xsd:restriction base="dms:Text"/>
      </xsd:simpleType>
    </xsd:element>
    <xsd:element ma:displayName="Tags" ma:index="15" ma:internalName="MediaServiceAutoTags" ma:readOnly="true" name="MediaServiceAutoTags" nillable="true">
      <xsd:simpleType>
        <xsd:restriction base="dms:Text"/>
      </xsd:simpleType>
    </xsd:element>
    <xsd:element ma:displayName="Extracted Text" ma:index="16" ma:internalName="MediaServiceOCR" ma:readOnly="true" name="MediaServiceOCR" nillable="true">
      <xsd:simpleType>
        <xsd:restriction base="dms:Note">
          <xsd:maxLength value="255"/>
        </xsd:restriction>
      </xsd:simpleType>
    </xsd:element>
    <xsd:element ma:displayName="MediaServiceGenerationTime" ma:hidden="true" ma:index="17" ma:internalName="MediaServiceGenerationTime" ma:readOnly="true" name="MediaServiceGenerationTime" nillable="true">
      <xsd:simpleType>
        <xsd:restriction base="dms:Text"/>
      </xsd:simpleType>
    </xsd:element>
    <xsd:element ma:displayName="MediaServiceEventHashCode" ma:hidden="true" ma:index="18" ma:internalName="MediaServiceEventHashCode" ma:readOnly="true" name="MediaServiceEventHashCode" nillable="true">
      <xsd:simpleType>
        <xsd:restriction base="dms:Text"/>
      </xsd:simpleType>
    </xsd:element>
    <xsd:element ma:displayName="Location" ma:index="19" ma:internalName="MediaServiceLocation" ma:readOnly="true" name="MediaServiceLocation" nillable="true">
      <xsd:simpleType>
        <xsd:restriction base="dms:Text"/>
      </xsd:simpleType>
    </xsd:element>
  </xsd:schema>
  <xsd:schema xmlns:xsd="http://www.w3.org/2001/XMLSchema" xmlns:dms="http://schemas.microsoft.com/office/2006/documentManagement/types" xmlns:pc="http://schemas.microsoft.com/office/infopath/2007/PartnerControls" xmlns:xs="http://www.w3.org/2001/XMLSchema" elementFormDefault="qualified" targetNamespace="6f8208b4-91d9-4a4e-9b27-8e6ff6729722">
    <xsd:import namespace="http://schemas.microsoft.com/office/2006/documentManagement/types"/>
    <xsd:import namespace="http://schemas.microsoft.com/office/infopath/2007/PartnerControls"/>
    <xsd:element ma:displayName="Shared With" ma:index="10" ma:internalName="SharedWithUsers" ma:readOnly="true" name="SharedWithUsers" nillable="true">
      <xsd:complexType>
        <xsd:complexContent>
          <xsd:extension base="dms:UserMulti">
            <xsd:sequence>
              <xsd:element maxOccurs="unbounded" minOccurs="0" name="UserInfo">
                <xsd:complexType>
                  <xsd:sequence>
                    <xsd:element minOccurs="0" name="DisplayName" type="xsd:string"/>
                    <xsd:element minOccurs="0" name="AccountId" nillable="true" type="dms:UserId"/>
                    <xsd:element minOccurs="0" name="AccountType" type="xsd:string"/>
                  </xsd:sequence>
                </xsd:complexType>
              </xsd:element>
            </xsd:sequence>
          </xsd:extension>
        </xsd:complexContent>
      </xsd:complexType>
    </xsd:element>
    <xsd:element ma:displayName="Shared With Details" ma:index="11" ma:internalName="SharedWithDetails" ma:readOnly="true" name="SharedWithDetails" nillable="true">
      <xsd:simpleType>
        <xsd:restriction base="dms:Note">
          <xsd:maxLength value="255"/>
        </xsd:restriction>
      </xsd:simpleType>
    </xsd:element>
  </xsd:schema>
  <xsd:schema xmlns:xsd="http://www.w3.org/2001/XMLSchema" xmlns="http://schemas.openxmlformats.org/package/2006/metadata/core-properties" xmlns:dc="http://purl.org/dc/elements/1.1/" xmlns:dcterms="http://purl.org/dc/terms/" xmlns:odoc="http://schemas.microsoft.com/internal/obd" xmlns:xsi="http://www.w3.org/2001/XMLSchema-instance" attributeFormDefault="unqualified" blockDefault="#all"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displayName="Content Type" ma:index="0" maxOccurs="1" minOccurs="0" name="contentType" type="xsd:string"/>
        <xsd:element ma:displayName="Title" ma:index="4" maxOccurs="1" minOccurs="0" ref="dc:title"/>
        <xsd:element maxOccurs="1" minOccurs="0" ref="dc:subject"/>
        <xsd:element maxOccurs="1" minOccurs="0" ref="dc:description"/>
        <xsd:element maxOccurs="1" minOccurs="0" name="keywords" type="xsd:string"/>
        <xsd:element maxOccurs="1" minOccurs="0" ref="dc:language"/>
        <xsd:element maxOccurs="1" minOccurs="0" name="category" type="xsd:string"/>
        <xsd:element maxOccurs="1" minOccurs="0" name="version" type="xsd:string"/>
        <xsd:element maxOccurs="1" minOccurs="0" name="revision" type="xsd:string">
          <xsd:annotation>
            <xsd:documentation>
                        This value indicates the number of saves or revisions. The application is responsible for updating this value after each revision.
                    </xsd:documentation>
          </xsd:annotation>
        </xsd:element>
        <xsd:element maxOccurs="1" minOccurs="0" name="lastModifiedBy" type="xsd:string"/>
        <xsd:element maxOccurs="1" minOccurs="0" ref="dcterms:modified"/>
        <xsd:element maxOccurs="1" minOccurs="0" name="contentStatus"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7.xml><?xml version="1.0" encoding="utf-8"?>
<cdm:cachedDataManifest xmlns:cdm="http://schemas.microsoft.com/2004/VisualStudio/Tools/Applications/CachedDataManifest.xsd" cdm:revision="1"/>
</file>

<file path=customXml/item8.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Props1.xml><?xml version="1.0" encoding="utf-8"?>
<ds:datastoreItem xmlns:ds="http://schemas.openxmlformats.org/officeDocument/2006/customXml" ds:itemID="{833DF143-965F-4257-895C-4D69D4F49927}">
  <ds:schemaRefs>
    <ds:schemaRef ds:uri="http://schemas.microsoft.com/sharepoint/v3/contenttype/forms"/>
  </ds:schemaRefs>
</ds:datastoreItem>
</file>

<file path=customXml/itemProps2.xml><?xml version="1.0" encoding="utf-8"?>
<ds:datastoreItem xmlns:ds="http://schemas.openxmlformats.org/officeDocument/2006/customXml" ds:itemID="{65E89537-668A-403C-9462-F494957E0799}">
  <ds:schemaRefs>
    <ds:schemaRef ds:uri="http://www.w3.org/2001/XMLSchema"/>
  </ds:schemaRefs>
</ds:datastoreItem>
</file>

<file path=customXml/itemProps3.xml><?xml version="1.0" encoding="utf-8"?>
<ds:datastoreItem xmlns:ds="http://schemas.openxmlformats.org/officeDocument/2006/customXml" ds:itemID="{F3CC102C-B20C-44FD-88C4-776B22E535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31EDE0A-3448-448C-8E94-3073B442D680}">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5.xml><?xml version="1.0" encoding="utf-8"?>
<ds:datastoreItem xmlns:ds="http://schemas.openxmlformats.org/officeDocument/2006/customXml" ds:itemID="{355F5DF3-23FA-4E49-AAD8-0486D9DA2916}">
  <ds:schemaRefs>
    <ds:schemaRef ds:uri="http://www.imanage.com/work/xmlschema"/>
  </ds:schemaRefs>
</ds:datastoreItem>
</file>

<file path=customXml/itemProps6.xml><?xml version="1.0" encoding="utf-8"?>
<ds:datastoreItem xmlns:ds="http://schemas.openxmlformats.org/officeDocument/2006/customXml" ds:itemID="{D89BBED7-1D89-4B65-82DB-9886E33932FC}">
  <ds:schemaRefs>
    <ds:schemaRef ds:uri="http://schemas.microsoft.com/office/2006/metadata/contentType"/>
    <ds:schemaRef ds:uri="http://schemas.microsoft.com/office/2006/metadata/properties/metaAttributes"/>
    <ds:schemaRef ds:uri="http://www.w3.org/2001/XMLSchema"/>
    <ds:schemaRef ds:uri="535145e0-a5c9-4e14-8d68-b432de0c113d"/>
    <ds:schemaRef ds:uri="6f8208b4-91d9-4a4e-9b27-8e6ff6729722"/>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86B37DE4-EFED-4347-BEBE-653F5C9A12ED}">
  <ds:schemaRefs>
    <ds:schemaRef ds:uri="http://schemas.microsoft.com/2004/VisualStudio/Tools/Applications/CachedDataManifest.xsd"/>
  </ds:schemaRefs>
</ds:datastoreItem>
</file>

<file path=customXml/itemProps8.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13</Pages>
  <Words>5578</Words>
  <Characters>31797</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Thomson Reuters</Company>
  <LinksUpToDate>false</LinksUpToDate>
  <CharactersWithSpaces>37301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Gunn, Tim (Legal)</dc:creator>
  <cp:lastModifiedBy>Jack Alderman</cp:lastModifiedBy>
  <cp:revision>9</cp:revision>
  <cp:lastPrinted>2017-09-07T10:14:00Z</cp:lastPrinted>
  <dcterms:created xsi:type="dcterms:W3CDTF">2026-07-06T11:54:00Z</dcterms:created>
  <dcterms:modified xsi:type="dcterms:W3CDTF">2026-07-18T11:14:00Z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Footer">
    <vt:lpwstr>22211735-6</vt:lpwstr>
  </property>
  <property fmtid="{D5CDD505-2E9C-101B-9397-08002B2CF9AE}" pid="3" name="DocPaneID">
    <vt:lpwstr>8a4580e3-f8ba-4f02-b639-42c1964b4ad5</vt:lpwstr>
  </property>
</Properties>
</file>