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7BF74" w14:textId="6D58930D" w:rsidR="00440B19" w:rsidRPr="00440B19" w:rsidRDefault="00B6524B" w:rsidP="00440B19">
      <w:pPr>
        <w:rPr>
          <w:b/>
          <w:bCs/>
          <w:i/>
          <w:iCs/>
        </w:rPr>
      </w:pPr>
      <w:r>
        <w:rPr>
          <w:b/>
          <w:bCs/>
          <w:i/>
          <w:iCs/>
        </w:rPr>
        <w:t xml:space="preserve">Methods: </w:t>
      </w:r>
      <w:r w:rsidR="00440B19" w:rsidRPr="00440B19">
        <w:rPr>
          <w:b/>
          <w:bCs/>
          <w:i/>
          <w:iCs/>
        </w:rPr>
        <w:t>T2T Zebra finch</w:t>
      </w:r>
    </w:p>
    <w:p w14:paraId="4F8C2061" w14:textId="5ABECC12" w:rsidR="00440B19" w:rsidRPr="00440B19" w:rsidRDefault="00440B19" w:rsidP="00440B19">
      <w:pPr>
        <w:rPr>
          <w:b/>
          <w:bCs/>
        </w:rPr>
      </w:pPr>
      <w:r w:rsidRPr="00440B19">
        <w:rPr>
          <w:i/>
          <w:iCs/>
        </w:rPr>
        <w:t>Terminal and interstitial telomere annotation</w:t>
      </w:r>
    </w:p>
    <w:p w14:paraId="4DC3116D" w14:textId="77777777" w:rsidR="00440B19" w:rsidRPr="00440B19" w:rsidRDefault="00440B19" w:rsidP="00440B19">
      <w:r w:rsidRPr="00440B19">
        <w:t>Telomere annotation was performed using seqtk v1.4 (</w:t>
      </w:r>
      <w:hyperlink r:id="rId6" w:history="1">
        <w:r w:rsidRPr="00440B19">
          <w:rPr>
            <w:rStyle w:val="Hyperlink"/>
          </w:rPr>
          <w:t>https://github.com/lh3/seqtk</w:t>
        </w:r>
      </w:hyperlink>
      <w:r w:rsidRPr="00440B19">
        <w:t>) and a new tool developed by Jack Medico and Giulio Formenti in the Jarvis lab, called Teloscope v0.1.0 (</w:t>
      </w:r>
      <w:hyperlink r:id="rId7" w:history="1">
        <w:r w:rsidRPr="00440B19">
          <w:rPr>
            <w:rStyle w:val="Hyperlink"/>
          </w:rPr>
          <w:t>https://github.com/vgl-hub/teloscope</w:t>
        </w:r>
      </w:hyperlink>
      <w:r w:rsidRPr="00440B19">
        <w:t>). Seqtk was run using -d 50000 to increase the maximum drop cutoff and rescue additional telomeres. Teloscope was run using the parameters -w 200 -s 200 -c TTAGGG -p NNNGGG -d 200 -l 500 and flags -r -g -e -m -i to scan for canonical and noncanonical repeats. Contigs were assessed and classified into eight categories based on telomere completeness (T2T, incomplete, missassembly, and none) and gap presence. Telomere completeness of previously published zebra finch reference genomes in NCBI and GenomeArk (</w:t>
      </w:r>
      <w:hyperlink r:id="rId8" w:history="1">
        <w:r w:rsidRPr="00440B19">
          <w:rPr>
            <w:rStyle w:val="Hyperlink"/>
          </w:rPr>
          <w:t>www.genomeark.org</w:t>
        </w:r>
      </w:hyperlink>
      <w:r w:rsidRPr="00440B19">
        <w:t>) were evaluated to compare them to the current reference (</w:t>
      </w:r>
      <w:r w:rsidRPr="00440B19">
        <w:rPr>
          <w:b/>
          <w:bCs/>
        </w:rPr>
        <w:t>Supplementary Table 6</w:t>
      </w:r>
      <w:r w:rsidRPr="00440B19">
        <w:t>).</w:t>
      </w:r>
    </w:p>
    <w:p w14:paraId="735EA2CB" w14:textId="22ADD153" w:rsidR="006E2980" w:rsidRDefault="00440B19">
      <w:r w:rsidRPr="00440B19">
        <w:t>To identify interstitial telomeric sequences (ITS), Teloscope’s annotation and BEDtools’ merge -d 200 were used to cluster telomeric-like blocks</w:t>
      </w:r>
      <w:hyperlink r:id="rId9" w:history="1">
        <w:r w:rsidRPr="00440B19">
          <w:rPr>
            <w:rStyle w:val="Hyperlink"/>
            <w:vertAlign w:val="superscript"/>
          </w:rPr>
          <w:t>97</w:t>
        </w:r>
      </w:hyperlink>
      <w:r w:rsidRPr="00440B19">
        <w:t>. These blocks were filtered out by their TTAGGG repeat density (&gt;0.5). The resulting ITS coordinates were classified according to their length and chromosomal position based on the literature</w:t>
      </w:r>
      <w:hyperlink r:id="rId10" w:history="1">
        <w:r w:rsidRPr="00440B19">
          <w:rPr>
            <w:rStyle w:val="Hyperlink"/>
            <w:vertAlign w:val="superscript"/>
          </w:rPr>
          <w:t>98</w:t>
        </w:r>
      </w:hyperlink>
      <w:r w:rsidRPr="00440B19">
        <w:t>. ITSs of above 5 Kbp and their identity with terminal telomeres were visualized with StainedGlass v0.6</w:t>
      </w:r>
      <w:hyperlink r:id="rId11" w:history="1">
        <w:r w:rsidRPr="00440B19">
          <w:rPr>
            <w:rStyle w:val="Hyperlink"/>
            <w:vertAlign w:val="superscript"/>
          </w:rPr>
          <w:t>58</w:t>
        </w:r>
      </w:hyperlink>
      <w:r w:rsidRPr="00440B19">
        <w:t>, using a window size of 400 bp.</w:t>
      </w:r>
    </w:p>
    <w:p w14:paraId="7ECD9423" w14:textId="1CC3E827" w:rsidR="004A7E46" w:rsidRPr="00440B19" w:rsidRDefault="004A7E46" w:rsidP="004A7E46">
      <w:pPr>
        <w:rPr>
          <w:b/>
          <w:bCs/>
          <w:i/>
          <w:iCs/>
        </w:rPr>
      </w:pPr>
      <w:r>
        <w:rPr>
          <w:b/>
          <w:bCs/>
          <w:i/>
          <w:iCs/>
        </w:rPr>
        <w:t xml:space="preserve">Methods: </w:t>
      </w:r>
      <w:r w:rsidR="00903D59">
        <w:rPr>
          <w:b/>
          <w:bCs/>
          <w:i/>
          <w:iCs/>
        </w:rPr>
        <w:t>H9</w:t>
      </w:r>
    </w:p>
    <w:p w14:paraId="2E664694" w14:textId="468E5008" w:rsidR="00B6524B" w:rsidRDefault="004A7E46">
      <w:r>
        <w:t>Telomere annotation</w:t>
      </w:r>
    </w:p>
    <w:p w14:paraId="2A5D3998" w14:textId="610A81C4" w:rsidR="004A7E46" w:rsidRDefault="004A7E46" w:rsidP="00FE5AA2">
      <w:pPr>
        <w:jc w:val="both"/>
      </w:pPr>
      <w:r>
        <w:t>Telomere annotation was performed using Teloscope v1.3 (</w:t>
      </w:r>
      <w:hyperlink r:id="rId12" w:history="1">
        <w:r w:rsidRPr="00CE7390">
          <w:rPr>
            <w:rStyle w:val="Hyperlink"/>
          </w:rPr>
          <w:t>https://github.com/vgl-hub/teloscope</w:t>
        </w:r>
      </w:hyperlink>
      <w:r>
        <w:t xml:space="preserve">), developed in the Vertebrate Genome lab. Teloscope was run with </w:t>
      </w:r>
      <w:r w:rsidR="00FE5AA2">
        <w:t xml:space="preserve">default  </w:t>
      </w:r>
      <w:r>
        <w:t>parameters -w 1000 -s 500 -c TTAGGG -p TTAGGG</w:t>
      </w:r>
      <w:r w:rsidR="00FE5AA2">
        <w:t xml:space="preserve"> </w:t>
      </w:r>
      <w:r w:rsidR="00FE5AA2" w:rsidRPr="00440B19">
        <w:t xml:space="preserve">-d 200 -l 500 </w:t>
      </w:r>
      <w:r>
        <w:t>and</w:t>
      </w:r>
      <w:r w:rsidR="00FE5AA2">
        <w:t xml:space="preserve"> custom</w:t>
      </w:r>
      <w:r>
        <w:t xml:space="preserve"> flags</w:t>
      </w:r>
      <w:r w:rsidR="00C816D2">
        <w:t xml:space="preserve"> -x 1</w:t>
      </w:r>
      <w:r>
        <w:t xml:space="preserve"> -g -r -e -m -i to scan for canonical and noncanonical telomeric repeats allowing up to one mismatch</w:t>
      </w:r>
      <w:r w:rsidR="00C816D2">
        <w:t>.</w:t>
      </w:r>
      <w:r w:rsidR="00903D59">
        <w:t xml:space="preserve"> </w:t>
      </w:r>
      <w:r w:rsidR="00FE5AA2">
        <w:t xml:space="preserve">Teloscope also generated genome-wide window metrics and a summary report with statistics per assembly. </w:t>
      </w:r>
      <w:r w:rsidR="00C816D2">
        <w:t xml:space="preserve">Scaffolds were assessed and classified based on telomere completeness </w:t>
      </w:r>
      <w:r w:rsidR="00C816D2" w:rsidRPr="00440B19">
        <w:t xml:space="preserve">(T2T, incomplete, missassembly, and </w:t>
      </w:r>
      <w:r w:rsidR="00C816D2">
        <w:t>discordant</w:t>
      </w:r>
      <w:r w:rsidR="00C816D2" w:rsidRPr="00440B19">
        <w:t>)</w:t>
      </w:r>
      <w:r w:rsidR="00C816D2">
        <w:t xml:space="preserve"> and gap presence. </w:t>
      </w:r>
      <w:r>
        <w:t xml:space="preserve">In addition to the H9 diploid T2T assembly, we </w:t>
      </w:r>
      <w:r w:rsidR="00903D59">
        <w:t xml:space="preserve">also annotated </w:t>
      </w:r>
      <w:r>
        <w:t>publicly available human assemblies from NCBI and to additional reference assemblies of interest, including GRCh38, CHM13, HG002, I002C, YAO, and RPE1</w:t>
      </w:r>
      <w:r w:rsidR="00903D59">
        <w:t xml:space="preserve">. </w:t>
      </w:r>
      <w:r w:rsidR="00FE5AA2">
        <w:t xml:space="preserve">It enabled direct </w:t>
      </w:r>
      <w:r>
        <w:t>comparisons of telomere completeness, length</w:t>
      </w:r>
      <w:r w:rsidR="00FE5AA2">
        <w:t>s</w:t>
      </w:r>
      <w:r>
        <w:t>, and canonical proportions across human references.</w:t>
      </w:r>
    </w:p>
    <w:p w14:paraId="6DA5335A" w14:textId="349BA5BC" w:rsidR="00FE5AA2" w:rsidRPr="00440B19" w:rsidRDefault="00FE5AA2" w:rsidP="00FE5AA2">
      <w:pPr>
        <w:rPr>
          <w:b/>
          <w:bCs/>
          <w:i/>
          <w:iCs/>
        </w:rPr>
      </w:pPr>
      <w:r>
        <w:rPr>
          <w:b/>
          <w:bCs/>
          <w:i/>
          <w:iCs/>
        </w:rPr>
        <w:t xml:space="preserve">Results: </w:t>
      </w:r>
      <w:r w:rsidRPr="00440B19">
        <w:rPr>
          <w:b/>
          <w:bCs/>
          <w:i/>
          <w:iCs/>
        </w:rPr>
        <w:t>T2T Zebra finch</w:t>
      </w:r>
    </w:p>
    <w:p w14:paraId="3ACCEC28" w14:textId="77777777" w:rsidR="00FE5AA2" w:rsidRDefault="00FE5AA2" w:rsidP="00440B19">
      <w:pPr>
        <w:rPr>
          <w:i/>
          <w:iCs/>
        </w:rPr>
      </w:pPr>
    </w:p>
    <w:p w14:paraId="44EB8048" w14:textId="77777777" w:rsidR="00FE5AA2" w:rsidRDefault="00FE5AA2" w:rsidP="00440B19">
      <w:pPr>
        <w:rPr>
          <w:i/>
          <w:iCs/>
        </w:rPr>
      </w:pPr>
    </w:p>
    <w:p w14:paraId="57148DD0" w14:textId="628C8C34" w:rsidR="00440B19" w:rsidRPr="00440B19" w:rsidRDefault="00440B19" w:rsidP="00440B19">
      <w:pPr>
        <w:rPr>
          <w:b/>
          <w:bCs/>
        </w:rPr>
      </w:pPr>
      <w:r w:rsidRPr="00440B19">
        <w:rPr>
          <w:i/>
          <w:iCs/>
        </w:rPr>
        <w:lastRenderedPageBreak/>
        <w:t>Terminal and interstitial telomeres</w:t>
      </w:r>
    </w:p>
    <w:p w14:paraId="4A914E70" w14:textId="77777777" w:rsidR="00440B19" w:rsidRPr="00440B19" w:rsidRDefault="00440B19" w:rsidP="00440B19">
      <w:r w:rsidRPr="00440B19">
        <w:t>Using a newly developed tool called Telescope (Medico et al., in preparation), 1.82 Mbp of telomeric DNA were identified in the diploid genome assembly, comprising predominantly canonical CCCTAA/TTAGGG repeats (1.73 Mbp, 94.8%). Telomere variant regions (TVRs), characterized by non-canonical repeats, varied across chromosomes, with chr12 (22.1%) and paternal chr6 (0.6%) representing the extremes (</w:t>
      </w:r>
      <w:r w:rsidRPr="00440B19">
        <w:rPr>
          <w:b/>
          <w:bCs/>
        </w:rPr>
        <w:t>Supplementary Figure 16</w:t>
      </w:r>
      <w:r w:rsidRPr="00440B19">
        <w:t>). Terminal telomere length averaged 11.39±5.06 Kbp (mean±SD), with a median of 9.96 Kbp, and range 0.95-30.34 Kbp, with non-normal distribution (W=0.9236, p=1.746e-7, N=160) and no differences by haplotype or chromosome arms (</w:t>
      </w:r>
      <w:r w:rsidRPr="00440B19">
        <w:rPr>
          <w:b/>
          <w:bCs/>
        </w:rPr>
        <w:t>Supplementary Information</w:t>
      </w:r>
      <w:r w:rsidRPr="00440B19">
        <w:t>). Our mean telomere length falls within the ~8–30 Kbp range reported by published Telomere Restriction Fragment (TRF) based studies in zebra finches</w:t>
      </w:r>
      <w:hyperlink r:id="rId13" w:history="1">
        <w:r w:rsidRPr="00440B19">
          <w:rPr>
            <w:rStyle w:val="Hyperlink"/>
            <w:vertAlign w:val="superscript"/>
          </w:rPr>
          <w:t>51–54</w:t>
        </w:r>
      </w:hyperlink>
      <w:r w:rsidRPr="00440B19">
        <w:t>. However, TRF assays produce only per-individual means and are influenced by enzyme selection and gel resolution that limits reproducibility</w:t>
      </w:r>
      <w:hyperlink r:id="rId14" w:history="1">
        <w:r w:rsidRPr="00440B19">
          <w:rPr>
            <w:rStyle w:val="Hyperlink"/>
            <w:vertAlign w:val="superscript"/>
          </w:rPr>
          <w:t>55</w:t>
        </w:r>
      </w:hyperlink>
      <w:r w:rsidRPr="00440B19">
        <w:t>. Unlike TRF, the T2T assembly yields nucleotide-level, per-chromosome and arm-specific resolution.</w:t>
      </w:r>
    </w:p>
    <w:p w14:paraId="53663CD7" w14:textId="437AEB6A" w:rsidR="00440B19" w:rsidRDefault="00440B19" w:rsidP="00440B19">
      <w:r w:rsidRPr="00440B19">
        <w:t>Interstitial telomeric sequences (ITSs) have been previously described in birds</w:t>
      </w:r>
      <w:hyperlink r:id="rId15" w:history="1">
        <w:r w:rsidRPr="00440B19">
          <w:rPr>
            <w:rStyle w:val="Hyperlink"/>
            <w:vertAlign w:val="superscript"/>
          </w:rPr>
          <w:t>56</w:t>
        </w:r>
      </w:hyperlink>
      <w:r w:rsidRPr="00440B19">
        <w:t>, including recently in Passeriformes</w:t>
      </w:r>
      <w:hyperlink r:id="rId16" w:history="1">
        <w:r w:rsidRPr="00440B19">
          <w:rPr>
            <w:rStyle w:val="Hyperlink"/>
            <w:vertAlign w:val="superscript"/>
          </w:rPr>
          <w:t>57</w:t>
        </w:r>
      </w:hyperlink>
      <w:r w:rsidRPr="00440B19">
        <w:t>. Using DNA denaturation-based methods, it was estimated that ITSs comprised 15-40% of the total telomeric DNA in zebra finch</w:t>
      </w:r>
      <w:hyperlink r:id="rId17" w:history="1">
        <w:r w:rsidRPr="00440B19">
          <w:rPr>
            <w:rStyle w:val="Hyperlink"/>
            <w:vertAlign w:val="superscript"/>
          </w:rPr>
          <w:t>53</w:t>
        </w:r>
      </w:hyperlink>
      <w:r w:rsidRPr="00440B19">
        <w:t>. However, using cytogenetic methods, studies did not observe ITSs in the zebra finch</w:t>
      </w:r>
      <w:hyperlink r:id="rId18" w:history="1">
        <w:r w:rsidRPr="00440B19">
          <w:rPr>
            <w:rStyle w:val="Hyperlink"/>
            <w:vertAlign w:val="superscript"/>
          </w:rPr>
          <w:t>13</w:t>
        </w:r>
      </w:hyperlink>
      <w:r w:rsidRPr="00440B19">
        <w:t>. In bTaeGut7, ITS blocks were present, and they were of variable length, with the largest arrays (&gt;1 Kbp) within 700 Kbp of chromosomes ends of both haplotypes for chr16, 32, 33, 34 and 35 (range 1.6-8.4 Kbp) (</w:t>
      </w:r>
      <w:r w:rsidRPr="00440B19">
        <w:rPr>
          <w:b/>
          <w:bCs/>
        </w:rPr>
        <w:t>Supplementary Figure 16</w:t>
      </w:r>
      <w:r w:rsidRPr="00440B19">
        <w:t>). Clusters of multiple ITS block units were found with the same number per haplotype, three in chr35 and two in chr16 (</w:t>
      </w:r>
      <w:r w:rsidRPr="00440B19">
        <w:rPr>
          <w:b/>
          <w:bCs/>
        </w:rPr>
        <w:t>Figure 3G</w:t>
      </w:r>
      <w:r w:rsidRPr="00440B19">
        <w:t>). In contrast, chr34 showed three ITS units in the paternal haplotype and only one in the maternal haplotype. The presence of ITS in the zebra finch T2T assembly suggests that the cytogenetic studies might have missed them due to the limited resolution of fluorescent in-situ hybridization (FISH) assays. The presence of large ITS arrays in dot microchromosomes supports the hypothesis that these chromosomes have undergone structural fusion and other rearrangements.</w:t>
      </w:r>
    </w:p>
    <w:p w14:paraId="5A9260E8" w14:textId="77777777" w:rsidR="0067396B" w:rsidRDefault="0067396B" w:rsidP="00440B19"/>
    <w:sectPr w:rsidR="006739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70932"/>
    <w:multiLevelType w:val="multilevel"/>
    <w:tmpl w:val="C6E0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070C61"/>
    <w:multiLevelType w:val="multilevel"/>
    <w:tmpl w:val="46F4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5212BD"/>
    <w:multiLevelType w:val="multilevel"/>
    <w:tmpl w:val="FD88E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636395"/>
    <w:multiLevelType w:val="multilevel"/>
    <w:tmpl w:val="49084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305852">
    <w:abstractNumId w:val="3"/>
  </w:num>
  <w:num w:numId="2" w16cid:durableId="25252567">
    <w:abstractNumId w:val="2"/>
  </w:num>
  <w:num w:numId="3" w16cid:durableId="868491977">
    <w:abstractNumId w:val="1"/>
  </w:num>
  <w:num w:numId="4" w16cid:durableId="873687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A95"/>
    <w:rsid w:val="0009285E"/>
    <w:rsid w:val="00260758"/>
    <w:rsid w:val="00440B19"/>
    <w:rsid w:val="004A7E46"/>
    <w:rsid w:val="00611C0D"/>
    <w:rsid w:val="0067396B"/>
    <w:rsid w:val="006B6725"/>
    <w:rsid w:val="006E2980"/>
    <w:rsid w:val="00903D59"/>
    <w:rsid w:val="00952197"/>
    <w:rsid w:val="00983A95"/>
    <w:rsid w:val="00A06B47"/>
    <w:rsid w:val="00B577E3"/>
    <w:rsid w:val="00B6524B"/>
    <w:rsid w:val="00C816D2"/>
    <w:rsid w:val="00CA2FDC"/>
    <w:rsid w:val="00D94277"/>
    <w:rsid w:val="00F90D60"/>
    <w:rsid w:val="00FE5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636BD"/>
  <w15:chartTrackingRefBased/>
  <w15:docId w15:val="{313C33CB-3DF6-4F8B-832D-2A651BA58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AA2"/>
  </w:style>
  <w:style w:type="paragraph" w:styleId="Heading1">
    <w:name w:val="heading 1"/>
    <w:basedOn w:val="Normal"/>
    <w:next w:val="Normal"/>
    <w:link w:val="Heading1Char"/>
    <w:uiPriority w:val="9"/>
    <w:qFormat/>
    <w:rsid w:val="00983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A95"/>
    <w:rPr>
      <w:rFonts w:eastAsiaTheme="majorEastAsia" w:cstheme="majorBidi"/>
      <w:color w:val="272727" w:themeColor="text1" w:themeTint="D8"/>
    </w:rPr>
  </w:style>
  <w:style w:type="paragraph" w:styleId="Title">
    <w:name w:val="Title"/>
    <w:basedOn w:val="Normal"/>
    <w:next w:val="Normal"/>
    <w:link w:val="TitleChar"/>
    <w:uiPriority w:val="10"/>
    <w:qFormat/>
    <w:rsid w:val="00983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A95"/>
    <w:pPr>
      <w:spacing w:before="160"/>
      <w:jc w:val="center"/>
    </w:pPr>
    <w:rPr>
      <w:i/>
      <w:iCs/>
      <w:color w:val="404040" w:themeColor="text1" w:themeTint="BF"/>
    </w:rPr>
  </w:style>
  <w:style w:type="character" w:customStyle="1" w:styleId="QuoteChar">
    <w:name w:val="Quote Char"/>
    <w:basedOn w:val="DefaultParagraphFont"/>
    <w:link w:val="Quote"/>
    <w:uiPriority w:val="29"/>
    <w:rsid w:val="00983A95"/>
    <w:rPr>
      <w:i/>
      <w:iCs/>
      <w:color w:val="404040" w:themeColor="text1" w:themeTint="BF"/>
    </w:rPr>
  </w:style>
  <w:style w:type="paragraph" w:styleId="ListParagraph">
    <w:name w:val="List Paragraph"/>
    <w:basedOn w:val="Normal"/>
    <w:uiPriority w:val="34"/>
    <w:qFormat/>
    <w:rsid w:val="00983A95"/>
    <w:pPr>
      <w:ind w:left="720"/>
      <w:contextualSpacing/>
    </w:pPr>
  </w:style>
  <w:style w:type="character" w:styleId="IntenseEmphasis">
    <w:name w:val="Intense Emphasis"/>
    <w:basedOn w:val="DefaultParagraphFont"/>
    <w:uiPriority w:val="21"/>
    <w:qFormat/>
    <w:rsid w:val="00983A95"/>
    <w:rPr>
      <w:i/>
      <w:iCs/>
      <w:color w:val="0F4761" w:themeColor="accent1" w:themeShade="BF"/>
    </w:rPr>
  </w:style>
  <w:style w:type="paragraph" w:styleId="IntenseQuote">
    <w:name w:val="Intense Quote"/>
    <w:basedOn w:val="Normal"/>
    <w:next w:val="Normal"/>
    <w:link w:val="IntenseQuoteChar"/>
    <w:uiPriority w:val="30"/>
    <w:qFormat/>
    <w:rsid w:val="00983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A95"/>
    <w:rPr>
      <w:i/>
      <w:iCs/>
      <w:color w:val="0F4761" w:themeColor="accent1" w:themeShade="BF"/>
    </w:rPr>
  </w:style>
  <w:style w:type="character" w:styleId="IntenseReference">
    <w:name w:val="Intense Reference"/>
    <w:basedOn w:val="DefaultParagraphFont"/>
    <w:uiPriority w:val="32"/>
    <w:qFormat/>
    <w:rsid w:val="00983A95"/>
    <w:rPr>
      <w:b/>
      <w:bCs/>
      <w:smallCaps/>
      <w:color w:val="0F4761" w:themeColor="accent1" w:themeShade="BF"/>
      <w:spacing w:val="5"/>
    </w:rPr>
  </w:style>
  <w:style w:type="character" w:styleId="Hyperlink">
    <w:name w:val="Hyperlink"/>
    <w:basedOn w:val="DefaultParagraphFont"/>
    <w:uiPriority w:val="99"/>
    <w:unhideWhenUsed/>
    <w:rsid w:val="00440B19"/>
    <w:rPr>
      <w:color w:val="467886" w:themeColor="hyperlink"/>
      <w:u w:val="single"/>
    </w:rPr>
  </w:style>
  <w:style w:type="character" w:styleId="UnresolvedMention">
    <w:name w:val="Unresolved Mention"/>
    <w:basedOn w:val="DefaultParagraphFont"/>
    <w:uiPriority w:val="99"/>
    <w:semiHidden/>
    <w:unhideWhenUsed/>
    <w:rsid w:val="00440B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enomeark.org" TargetMode="External"/><Relationship Id="rId13" Type="http://schemas.openxmlformats.org/officeDocument/2006/relationships/hyperlink" Target="https://paperpile.com/c/ve3mJl/PLC6+saeE+o0Mx+PAli" TargetMode="External"/><Relationship Id="rId18" Type="http://schemas.openxmlformats.org/officeDocument/2006/relationships/hyperlink" Target="https://paperpile.com/c/ve3mJl/8sqR" TargetMode="External"/><Relationship Id="rId3" Type="http://schemas.openxmlformats.org/officeDocument/2006/relationships/styles" Target="styles.xml"/><Relationship Id="rId7" Type="http://schemas.openxmlformats.org/officeDocument/2006/relationships/hyperlink" Target="https://github.com/vgl-hub/teloscope" TargetMode="External"/><Relationship Id="rId12" Type="http://schemas.openxmlformats.org/officeDocument/2006/relationships/hyperlink" Target="https://github.com/vgl-hub/teloscope" TargetMode="External"/><Relationship Id="rId17" Type="http://schemas.openxmlformats.org/officeDocument/2006/relationships/hyperlink" Target="https://paperpile.com/c/ve3mJl/o0Mx" TargetMode="External"/><Relationship Id="rId2" Type="http://schemas.openxmlformats.org/officeDocument/2006/relationships/numbering" Target="numbering.xml"/><Relationship Id="rId16" Type="http://schemas.openxmlformats.org/officeDocument/2006/relationships/hyperlink" Target="https://paperpile.com/c/ve3mJl/FOa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lh3/seqtk" TargetMode="External"/><Relationship Id="rId11" Type="http://schemas.openxmlformats.org/officeDocument/2006/relationships/hyperlink" Target="https://paperpile.com/c/ve3mJl/gacf" TargetMode="External"/><Relationship Id="rId5" Type="http://schemas.openxmlformats.org/officeDocument/2006/relationships/webSettings" Target="webSettings.xml"/><Relationship Id="rId15" Type="http://schemas.openxmlformats.org/officeDocument/2006/relationships/hyperlink" Target="https://paperpile.com/c/ve3mJl/oHmH" TargetMode="External"/><Relationship Id="rId10" Type="http://schemas.openxmlformats.org/officeDocument/2006/relationships/hyperlink" Target="https://paperpile.com/c/ve3mJl/GoI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aperpile.com/c/ve3mJl/WLOU" TargetMode="External"/><Relationship Id="rId14" Type="http://schemas.openxmlformats.org/officeDocument/2006/relationships/hyperlink" Target="https://paperpile.com/c/ve3mJl/Oz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68947-E487-4217-88EB-17AA5C6B8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2350</TotalTime>
  <Pages>2</Pages>
  <Words>790</Words>
  <Characters>4506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Medico</dc:creator>
  <cp:keywords/>
  <dc:description/>
  <cp:lastModifiedBy>Jack Medico</cp:lastModifiedBy>
  <cp:revision>3</cp:revision>
  <dcterms:created xsi:type="dcterms:W3CDTF">2025-12-13T22:42:00Z</dcterms:created>
  <dcterms:modified xsi:type="dcterms:W3CDTF">2026-01-09T18:26:00Z</dcterms:modified>
</cp:coreProperties>
</file>