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Project Report</w:t>
      </w:r>
    </w:p>
    <w:p>
      <w:r>
        <w:t>Course: Blockchain Technologies 2 (BChT2)</w:t>
      </w:r>
    </w:p>
    <w:p>
      <w:r>
        <w:t>Scenario: Option A — DeFi Super-App</w:t>
      </w:r>
    </w:p>
    <w:p>
      <w:r>
        <w:t>Group: SE-2402</w:t>
      </w:r>
    </w:p>
    <w:p>
      <w:r>
        <w:t>Team: Nursultan Tursunbaev, Zaki Sadaqatzada, Aldiyar Zharylkassyn</w:t>
      </w:r>
    </w:p>
    <w:p/>
    <w:p>
      <w:pPr>
        <w:pStyle w:val="Heading1"/>
      </w:pPr>
      <w:r>
        <w:t>1. Project objective</w:t>
      </w:r>
    </w:p>
    <w:p>
      <w:r>
        <w:t>Design and implement a full-stack educational DeFi protocol that meets the BChT2 capstone requirements: a constant-product AMM (x·y = k), a collateralized lending pool with LTV and liquidation, an ERC-4626 yield vault, Chainlink-style price feeds with staleness checks, a DAO built on OpenZeppelin Governor and TimelockController, indexing via The Graph, and deployment on an L2 testnet (Base Sepolia).</w:t>
      </w:r>
    </w:p>
    <w:p>
      <w:r>
        <w:t>The deliverable is a reproducible Git repository (Foundry + React) that another engineer could audit, extend, and deploy without rewriting core components.</w:t>
      </w:r>
    </w:p>
    <w:p>
      <w:pPr>
        <w:pStyle w:val="Heading1"/>
      </w:pPr>
      <w:r>
        <w:t>2. Team composition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Area of ownership</w:t>
            </w:r>
          </w:p>
        </w:tc>
      </w:tr>
      <w:tr>
        <w:tc>
          <w:tcPr>
            <w:tcW w:type="dxa" w:w="4320"/>
          </w:tcPr>
          <w:p>
            <w:r>
              <w:t>Nursultan Tursunbaev</w:t>
            </w:r>
          </w:p>
        </w:tc>
        <w:tc>
          <w:tcPr>
            <w:tcW w:type="dxa" w:w="4320"/>
          </w:tcPr>
          <w:p>
            <w:r>
              <w:t>AMM, PoolFactory (CREATE/CREATE2), deployment scripts, gas report</w:t>
            </w:r>
          </w:p>
        </w:tc>
      </w:tr>
      <w:tr>
        <w:tc>
          <w:tcPr>
            <w:tcW w:type="dxa" w:w="4320"/>
          </w:tcPr>
          <w:p>
            <w:r>
              <w:t>Zaki Sadaqatzada</w:t>
            </w:r>
          </w:p>
        </w:tc>
        <w:tc>
          <w:tcPr>
            <w:tcW w:type="dxa" w:w="4320"/>
          </w:tcPr>
          <w:p>
            <w:r>
              <w:t>Lending pool, PriceOracle / Chainlink integration, security audit</w:t>
            </w:r>
          </w:p>
        </w:tc>
      </w:tr>
      <w:tr>
        <w:tc>
          <w:tcPr>
            <w:tcW w:type="dxa" w:w="4320"/>
          </w:tcPr>
          <w:p>
            <w:r>
              <w:t>Aldiyar Zharylkassyn</w:t>
            </w:r>
          </w:p>
        </w:tc>
        <w:tc>
          <w:tcPr>
            <w:tcW w:type="dxa" w:w="4320"/>
          </w:tcPr>
          <w:p>
            <w:r>
              <w:t>ERC-4626 vault, governance stack, frontend dApp, subgraph</w:t>
            </w:r>
          </w:p>
        </w:tc>
      </w:tr>
    </w:tbl>
    <w:p>
      <w:r>
        <w:t>Per course rules, every member must be able to explain the full system at the architectural level during individual Q&amp;A.</w:t>
      </w:r>
    </w:p>
    <w:p>
      <w:pPr>
        <w:pStyle w:val="Heading1"/>
      </w:pPr>
      <w:r>
        <w:t>3. Architecture</w:t>
      </w:r>
    </w:p>
    <w:p>
      <w:r>
        <w:t>Smart contracts are implemented in Solidity 0.8.24 using Foundry. Core modules:</w:t>
      </w:r>
    </w:p>
    <w:p>
      <w:pPr>
        <w:pStyle w:val="ListBullet"/>
      </w:pPr>
      <w:r>
        <w:t>ConstantProductAMM — 0.3% swap fee (997/1000), LP ERC-20, slippage protection, Pausable</w:t>
      </w:r>
    </w:p>
    <w:p>
      <w:pPr>
        <w:pStyle w:val="ListBullet"/>
      </w:pPr>
      <w:r>
        <w:t>LendingPool — collateral deposit, borrow, health factor, liquidation bonus</w:t>
      </w:r>
    </w:p>
    <w:p>
      <w:pPr>
        <w:pStyle w:val="ListBullet"/>
      </w:pPr>
      <w:r>
        <w:t>YieldVault4626 — ERC-4626 vault with lazy yield accrual</w:t>
      </w:r>
    </w:p>
    <w:p>
      <w:pPr>
        <w:pStyle w:val="ListBullet"/>
      </w:pPr>
      <w:r>
        <w:t>DeFiGovToken — ERC20Votes + ERC20Permit (governance token DSG)</w:t>
      </w:r>
    </w:p>
    <w:p>
      <w:pPr>
        <w:pStyle w:val="ListBullet"/>
      </w:pPr>
      <w:r>
        <w:t>DeFiGovernor + TimelockController — 1 day voting delay, 7 day voting period, 4% quorum, 1% proposal threshold, 2 day timelock delay</w:t>
      </w:r>
    </w:p>
    <w:p>
      <w:pPr>
        <w:pStyle w:val="ListBullet"/>
      </w:pPr>
      <w:r>
        <w:t>PriceOracle — Chainlink adapter with maxStaleness = 3600 s; MockChainlinkAggregator on testnet</w:t>
      </w:r>
    </w:p>
    <w:p>
      <w:pPr>
        <w:pStyle w:val="ListBullet"/>
      </w:pPr>
      <w:r>
        <w:t>PoolFactory — pool deployment via CREATE and CREATE2</w:t>
      </w:r>
    </w:p>
    <w:p>
      <w:pPr>
        <w:pStyle w:val="ListBullet"/>
      </w:pPr>
      <w:r>
        <w:t>ProtocolRegistry V1/V2 — UUPS upgradeable on-chain address registry</w:t>
      </w:r>
    </w:p>
    <w:p>
      <w:pPr>
        <w:pStyle w:val="ListBullet"/>
      </w:pPr>
      <w:r>
        <w:t>Treasury — pull-payment withdrawals (schedule + claim)</w:t>
      </w:r>
    </w:p>
    <w:p>
      <w:r>
        <w:t>Documented design patterns (≥5): Factory, UUPS proxy, CEI, AccessControl, Pausable, ReentrancyGuard, pull payments, oracle adapter, Timelock.</w:t>
      </w:r>
    </w:p>
    <w:p>
      <w:r>
        <w:t>Full diagrams, storage layout, ADRs, and trust model: docs/ARCHITECTURE.md.</w:t>
      </w:r>
    </w:p>
    <w:p>
      <w:pPr>
        <w:pStyle w:val="Heading1"/>
      </w:pPr>
      <w:r>
        <w:t>4. Testing</w:t>
      </w:r>
    </w:p>
    <w:p>
      <w:r>
        <w:t>The repository contains 109 automated tests: unit (70+), fuzz (10), invariant (5+), and fork (3; one optional skip without mainnet RPC). All tests pass locally and in CI.</w:t>
      </w:r>
    </w:p>
    <w:p>
      <w:r>
        <w:t>Line coverage on src/ (excluding script/ and test/ per foundry.toml): 99.38% (321/323 lines).</w:t>
      </w:r>
    </w:p>
    <w:p>
      <w:r>
        <w:t>Requirement from course specification: ≥80 tests and ≥90% line coverage on contracts — met.</w:t>
      </w:r>
    </w:p>
    <w:p>
      <w:pPr>
        <w:pStyle w:val="Heading2"/>
      </w:pPr>
      <w:r>
        <w:t>4.1 Terminal output — forge test</w:t>
      </w:r>
    </w:p>
    <w:p>
      <w:r>
        <w:rPr>
          <w:rFonts w:ascii="Consolas" w:hAnsi="Consolas"/>
          <w:sz w:val="18"/>
        </w:rPr>
        <w:t>Ran 17 test suites in 17.13s (87.29s CPU time):</w:t>
      </w:r>
    </w:p>
    <w:p>
      <w:r>
        <w:rPr>
          <w:rFonts w:ascii="Consolas" w:hAnsi="Consolas"/>
          <w:sz w:val="18"/>
        </w:rPr>
        <w:t>108 tests passed, 0 failed, 1 skipped (109 total tests)</w:t>
      </w:r>
    </w:p>
    <w:p>
      <w:r>
        <w:t>Full log archived at: docs/terminal-outputs/forge-test.txt</w:t>
      </w:r>
    </w:p>
    <w:p>
      <w:pPr>
        <w:pStyle w:val="Heading2"/>
      </w:pPr>
      <w:r>
        <w:t>4.2 Terminal output — forge coverage</w:t>
      </w:r>
    </w:p>
    <w:p>
      <w:r>
        <w:rPr>
          <w:rFonts w:ascii="Consolas" w:hAnsi="Consolas"/>
          <w:sz w:val="18"/>
        </w:rPr>
        <w:t>| Total | 99.38% (321/323) | 97.18% (310/319) | 75.47% (40/53) | 100.00% (81/81) |</w:t>
      </w:r>
    </w:p>
    <w:p>
      <w:r>
        <w:t>Full log: docs/terminal-outputs/forge-coverage.txt — summary also in docs/COVERAGE.md.</w:t>
      </w:r>
    </w:p>
    <w:p>
      <w:pPr>
        <w:pStyle w:val="Heading2"/>
      </w:pPr>
      <w:r>
        <w:t>4.3 CI</w:t>
      </w:r>
    </w:p>
    <w:p>
      <w:r>
        <w:t>GitHub Actions (.github/workflows/ci.yml): forge fmt --check, build, forge test, coverage, Slither on src/, frontend npm ci &amp;&amp; build.</w:t>
      </w:r>
    </w:p>
    <w:p>
      <w:pPr>
        <w:pStyle w:val="Heading1"/>
      </w:pPr>
      <w:r>
        <w:t>5. Frontend</w:t>
      </w:r>
    </w:p>
    <w:p>
      <w:r>
        <w:t>React 19 + Vite + Wagmi v2 + Viem on Base Sepolia (chain id 84532):</w:t>
      </w:r>
    </w:p>
    <w:p>
      <w:pPr>
        <w:pStyle w:val="ListBullet"/>
      </w:pPr>
      <w:r>
        <w:t>MetaMask wallet connection; wrong-network detection and switch prompt</w:t>
      </w:r>
    </w:p>
    <w:p>
      <w:pPr>
        <w:pStyle w:val="ListBullet"/>
      </w:pPr>
      <w:r>
        <w:t>Read: token balance, voting power, delegate, AMM reserves, vault shares, proposal state</w:t>
      </w:r>
    </w:p>
    <w:p>
      <w:pPr>
        <w:pStyle w:val="ListBullet"/>
      </w:pPr>
      <w:r>
        <w:t>Write: swap, vault deposit, governance vote (≥3 state-changing transactions)</w:t>
      </w:r>
    </w:p>
    <w:p>
      <w:pPr>
        <w:pStyle w:val="ListBullet"/>
      </w:pPr>
      <w:r>
        <w:t>Indexed data: recent swaps from The Graph (not only direct RPC reads)</w:t>
      </w:r>
    </w:p>
    <w:p>
      <w:pPr>
        <w:pStyle w:val="ListBullet"/>
      </w:pPr>
      <w:r>
        <w:t>User-friendly errors via friendlyError() — no raw RPC dumps</w:t>
      </w:r>
    </w:p>
    <w:p>
      <w:r>
        <w:t>Source: frontend/src/App.tsx — configure contract addresses in frontend/.env after deployment.</w:t>
      </w:r>
    </w:p>
    <w:p>
      <w:pPr>
        <w:pStyle w:val="Heading1"/>
      </w:pPr>
      <w:r>
        <w:t>6. Security</w:t>
      </w:r>
    </w:p>
    <w:p>
      <w:r>
        <w:t>Internal audit report: docs/AUDIT_REPORT.md (executive summary, methodology, findings table, centralization and governance/oracle threat analysis, CEI matrix, Slither appendix).</w:t>
      </w:r>
    </w:p>
    <w:p>
      <w:pPr>
        <w:pStyle w:val="ListBullet"/>
      </w:pPr>
      <w:r>
        <w:t>S-01 Reentrancy — reproduced in ReentrancyCaseStudy; fixed with CEI / ReentrancyFixedVault; PoC tests before/after</w:t>
      </w:r>
    </w:p>
    <w:p>
      <w:pPr>
        <w:pStyle w:val="ListBullet"/>
      </w:pPr>
      <w:r>
        <w:t>S-02 Access control — unguarded setFee vs AccessControlFixed with FEE_ADMIN_ROLE; PoC tests</w:t>
      </w:r>
    </w:p>
    <w:p>
      <w:pPr>
        <w:pStyle w:val="ListBullet"/>
      </w:pPr>
      <w:r>
        <w:t>Slither in CI — must show 0 High and 0 Medium at submission; attach JSON to defense materials</w:t>
      </w:r>
    </w:p>
    <w:p>
      <w:pPr>
        <w:pStyle w:val="ListBullet"/>
      </w:pPr>
      <w:r>
        <w:t>SafeERC20 throughout; no tx.origin; no ETH transfer/send — use call{value:} with checks</w:t>
      </w:r>
    </w:p>
    <w:p>
      <w:pPr>
        <w:pStyle w:val="Heading1"/>
      </w:pPr>
      <w:r>
        <w:t>7. Deployment</w:t>
      </w:r>
    </w:p>
    <w:p>
      <w:r>
        <w:t>Reproducible deployment: script/Deploy.s.sol — broadcasts all contracts, grants Timelock roles to Governor, writes deployments/base-sepolia.json.</w:t>
      </w:r>
    </w:p>
    <w:p>
      <w:r>
        <w:t>Post-deploy verification: script/VerifyDeployment.s.sol (timelock delay, governor parameters, treasury admin).</w:t>
      </w:r>
    </w:p>
    <w:p>
      <w:pPr>
        <w:pStyle w:val="Heading2"/>
      </w:pPr>
      <w:r>
        <w:t>7.1 Base Sepolia (required for grading)</w:t>
      </w:r>
    </w:p>
    <w:p>
      <w:r>
        <w:rPr>
          <w:rFonts w:ascii="Consolas" w:hAnsi="Consolas"/>
          <w:sz w:val="18"/>
        </w:rPr>
        <w:t>forge script script/Deploy.s.sol \</w:t>
      </w:r>
    </w:p>
    <w:p>
      <w:r>
        <w:rPr>
          <w:rFonts w:ascii="Consolas" w:hAnsi="Consolas"/>
          <w:sz w:val="18"/>
        </w:rPr>
        <w:t xml:space="preserve">  --rpc-url https://sepolia.base.org \</w:t>
      </w:r>
    </w:p>
    <w:p>
      <w:r>
        <w:rPr>
          <w:rFonts w:ascii="Consolas" w:hAnsi="Consolas"/>
          <w:sz w:val="18"/>
        </w:rPr>
        <w:t xml:space="preserve">  --broadcast --verify \</w:t>
      </w:r>
    </w:p>
    <w:p>
      <w:r>
        <w:rPr>
          <w:rFonts w:ascii="Consolas" w:hAnsi="Consolas"/>
          <w:sz w:val="18"/>
        </w:rPr>
        <w:t xml:space="preserve">  --private-key &lt;YOUR_TESTNET_KEY&gt;</w:t>
      </w:r>
    </w:p>
    <w:p>
      <w:r>
        <w:t>Then copy addresses to frontend/.env and verify on BaseScan Sepolia.</w:t>
      </w:r>
    </w:p>
    <w:p>
      <w:pPr>
        <w:pStyle w:val="Heading2"/>
      </w:pPr>
      <w:r>
        <w:t>7.2 Local smoke test (Anvil)</w:t>
      </w:r>
    </w:p>
    <w:p>
      <w:r>
        <w:t>Deployment script validated on local Anvil. Excerpt from docs/terminal-outputs/forge-deploy-local-anvil.txt:</w:t>
      </w:r>
    </w:p>
    <w:p>
      <w:r>
        <w:rPr>
          <w:rFonts w:ascii="Consolas" w:hAnsi="Consolas"/>
          <w:sz w:val="18"/>
        </w:rPr>
        <w:t>=== DeFi Super-App deployment ===</w:t>
      </w:r>
    </w:p>
    <w:p>
      <w:r>
        <w:rPr>
          <w:rFonts w:ascii="Consolas" w:hAnsi="Consolas"/>
          <w:sz w:val="18"/>
        </w:rPr>
        <w:t xml:space="preserve">  DeFiGovToken 0xe7f1725E7734CE288F8367e1Bb143E90bb3F0512</w:t>
      </w:r>
    </w:p>
    <w:p>
      <w:r>
        <w:rPr>
          <w:rFonts w:ascii="Consolas" w:hAnsi="Consolas"/>
          <w:sz w:val="18"/>
        </w:rPr>
        <w:t xml:space="preserve">  ConstantProductAMM 0xa513E6E4b8f2a923D98304ec87F64353C4D5C853</w:t>
      </w:r>
    </w:p>
    <w:p>
      <w:r>
        <w:rPr>
          <w:rFonts w:ascii="Consolas" w:hAnsi="Consolas"/>
          <w:sz w:val="18"/>
        </w:rPr>
        <w:t xml:space="preserve">  ...</w:t>
      </w:r>
    </w:p>
    <w:p>
      <w:r>
        <w:rPr>
          <w:rFonts w:ascii="Consolas" w:hAnsi="Consolas"/>
          <w:sz w:val="18"/>
        </w:rPr>
        <w:t>ONCHAIN EXECUTION COMPLETE &amp; SUCCESSFUL.</w:t>
      </w:r>
    </w:p>
    <w:p>
      <w:r>
        <w:t>Local addresses: deployments/anvil-local.json (chain 31337 — not for production UI).</w:t>
      </w:r>
    </w:p>
    <w:p>
      <w:pPr>
        <w:pStyle w:val="Heading2"/>
      </w:pPr>
      <w:r>
        <w:t>7.3 Subgraph</w:t>
      </w:r>
    </w:p>
    <w:p>
      <w:r>
        <w:t>Subgraph under subgraph/ — entities: Protocol, Swap, LiquidityMint, PoolDayData (4+). Five documented GraphQL queries in subgraph/queries.md. Deploy with graph deploy; set VITE_SUBGRAPH_URL in frontend/.env. Instructions: subgraph/DEPLOY.md.</w:t>
      </w:r>
    </w:p>
    <w:p>
      <w:pPr>
        <w:pStyle w:val="Heading2"/>
      </w:pPr>
      <w:r>
        <w:t>7.4 GitHub</w:t>
      </w:r>
    </w:p>
    <w:p>
      <w:r>
        <w:t>Repository must be pushed to GitHub with conventional commits (required from Week 6 per course specification).</w:t>
      </w:r>
    </w:p>
    <w:p>
      <w:pPr>
        <w:pStyle w:val="Heading1"/>
      </w:pPr>
      <w:r>
        <w:t>8. Conclusion</w:t>
      </w:r>
    </w:p>
    <w:p>
      <w:r>
        <w:t>The DeFi Super-App project satisfies the mandatory requirements for Option A: DeFi primitives (AMM + lending + ERC-4626), token standards (ERC20Votes, ERC-721, ERC-4626), Chainlink oracle with staleness guard, OpenZeppelin governance with timelock, The Graph indexing, L2 deployment tooling, comprehensive tests (109) with 99.38% src/ line coverage, security case studies, and supporting documentation (architecture, audit, gas, coverage, compliance checklist).</w:t>
      </w:r>
    </w:p>
    <w:p>
      <w:r>
        <w:t>Remaining steps before defense: (1) broadcast to Base Sepolia and verify contracts, (2) publish subgraph and update frontend .env, (3) confirm Slither clean run, (4) push repository to GitHub.</w:t>
      </w:r>
    </w:p>
    <w:p>
      <w:r>
        <w:t>Related documents: docs/ARCHITECTURE.md, docs/AUDIT_REPORT.md, docs/GAS_REPORT.md, docs/COMPLIANCE_CHECKLIST.md.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