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47469558,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47469558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28/7/2025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47469558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4/9/2025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47469558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12/10/2025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47469558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19/11/2025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47469558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47469558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