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Resumen ejecutivo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14.399999999999999" w:lineRule="auto"/>
        <w:jc w:val="lef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Proyecto general: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Entorno virtual e introducción lúdica al Campus Ixtaczoquitlán y a la Universidad Veracruzana.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Producto de software: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Videojuego “UVirtual”.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 Campus Ixtaczoquitlán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line="14.399999999999999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0000ff"/>
                <w:sz w:val="30"/>
                <w:szCs w:val="30"/>
                <w:rtl w:val="0"/>
              </w:rPr>
              <w:t xml:space="preserve">Área de oportunidad encontrada: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Identificamos principalmente dos problemáticas. La primera es que el Campus Ixtaczoquitlán de la Universidad Veracruzana es el más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grande de la Región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Orizaba-Córdoba ya que es la sede de tres entidades académicas y también de la biblioteca regional. Lo anterior hace qué una considerable cantidad de personas tengan el lugar como su centro de estudios y/o trabajo, sumado a qué el acceso al mismo es medianamente complicado por su ubicación, surge la problemática de poder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conocerl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o y adaptarse a él en su totalidad. La segunda es que se ha hecho común el hecho de que los alumnos de nuevo ingreso a la universidad en un buen porcentaje de ellos permanecen con dudas sobre temas escolares, administrativos, institucionales,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entre algunos otros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, a pesar de recibir inducción desde su ingreso a la escuela, por lo que es una necesidad implementar una forma de poder orientarlos e informarlos acerca de toda la información que necesitan conocer.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14.399999999999999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0000ff"/>
                <w:sz w:val="30"/>
                <w:szCs w:val="30"/>
                <w:rtl w:val="0"/>
              </w:rPr>
              <w:t xml:space="preserve">Descripción de la solución: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La propuesta para atender ambas problemáticas es la creación de un entorno virtual del Campus Ixtaczoquitlán el cual le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permita el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usuario, principalmente el alumno de nuevo ingreso, poder conocer a detalle las instalaciones de todo el lugar y así mismo interactuar con dinámicas informativas en general sobre la Universidad Veracruzana, así como orientarlos respecto a todo esto mismo.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line="14.399999999999999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ff"/>
                <w:sz w:val="30"/>
                <w:szCs w:val="30"/>
                <w:rtl w:val="0"/>
              </w:rPr>
              <w:t xml:space="preserve">Integrantes del equipo: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Aldo Torres Ramírez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(Usará el proyecto solo en prácticas).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Luis David Cocotle Yáñez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(Usará el proyecto después).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Jesús Saith Meneses Conde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(Usará el proyecto solo en prácticas).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