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AgroPredix</w:t>
      </w:r>
    </w:p>
    <w:p w:rsidR="00000000" w:rsidDel="00000000" w:rsidP="00000000" w:rsidRDefault="00000000" w:rsidRPr="00000000" w14:paraId="00000005">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 Gestión de parcelas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Title"/>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Caso de Uso: Registrar y gestionar parcelas</w:t>
      </w:r>
    </w:p>
    <w:p w:rsidR="00000000" w:rsidDel="00000000" w:rsidP="00000000" w:rsidRDefault="00000000" w:rsidRPr="00000000" w14:paraId="0000000A">
      <w:pPr>
        <w:pStyle w:val="Title"/>
        <w:jc w:val="right"/>
        <w:rPr>
          <w:rFonts w:ascii="Times New Roman" w:cs="Times New Roman" w:eastAsia="Times New Roman" w:hAnsi="Times New Roman"/>
        </w:rPr>
      </w:pPr>
      <w:bookmarkStart w:colFirst="0" w:colLast="0" w:name="_r5m0cls1eo4w" w:id="0"/>
      <w:bookmarkEnd w:id="0"/>
      <w:r w:rsidDel="00000000" w:rsidR="00000000" w:rsidRPr="00000000">
        <w:rPr>
          <w:rFonts w:ascii="Times New Roman" w:cs="Times New Roman" w:eastAsia="Times New Roman" w:hAnsi="Times New Roman"/>
          <w:rtl w:val="0"/>
        </w:rPr>
        <w:t xml:space="preserve">ID: CUR-0001</w:t>
      </w:r>
    </w:p>
    <w:p w:rsidR="00000000" w:rsidDel="00000000" w:rsidP="00000000" w:rsidRDefault="00000000" w:rsidRPr="00000000" w14:paraId="0000000B">
      <w:pPr>
        <w:pStyle w:val="Title"/>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Title"/>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pStyle w:val="Title"/>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sectPr>
          <w:headerReference r:id="rId6" w:type="default"/>
          <w:footerReference r:id="rId7" w:type="even"/>
          <w:pgSz w:h="15840" w:w="12240" w:orient="portrait"/>
          <w:pgMar w:bottom="1440" w:top="1440" w:left="1440" w:right="1440" w:header="720" w:footer="720"/>
          <w:pgNumType w:start="1"/>
        </w:sectPr>
      </w:pPr>
      <w:r w:rsidDel="00000000" w:rsidR="00000000" w:rsidRPr="00000000">
        <w:rPr>
          <w:i w:val="1"/>
          <w:iCs w:val="1"/>
          <w:smallCaps w:val="0"/>
          <w:strike w:val="0"/>
          <w:color w:val="0000ff"/>
          <w:sz w:val="20"/>
          <w:szCs w:val="20"/>
          <w:u w:val="none"/>
          <w:shd w:fill="auto" w:val="clear"/>
          <w:vertAlign w:val="baseline"/>
          <w:rtl w:val="0"/>
        </w:rPr>
        <w:t xml:space="preserve"> </w:t>
      </w:r>
    </w:p>
    <w:p w:rsidR="00000000" w:rsidDel="00000000" w:rsidP="00000000" w:rsidRDefault="00000000" w:rsidRPr="00000000" w14:paraId="00000010">
      <w:pPr>
        <w:pStyle w:val="Title"/>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Realización de Caso de Uso: Validar Evaluación de Presupuesto</w:t>
      </w:r>
    </w:p>
    <w:p w:rsidR="00000000" w:rsidDel="00000000" w:rsidP="00000000" w:rsidRDefault="00000000" w:rsidRPr="00000000" w14:paraId="00000011">
      <w:pPr>
        <w:pStyle w:val="Heading1"/>
        <w:ind w:left="720" w:firstLine="0"/>
        <w:rPr>
          <w:rFonts w:ascii="Times New Roman" w:cs="Times New Roman" w:eastAsia="Times New Roman" w:hAnsi="Times New Roman"/>
        </w:rPr>
      </w:pPr>
      <w:bookmarkStart w:colFirst="0" w:colLast="0" w:name="_gjdgxs" w:id="1"/>
      <w:bookmarkEnd w:id="1"/>
      <w:r w:rsidDel="00000000" w:rsidR="00000000" w:rsidRPr="00000000">
        <w:rPr>
          <w:rtl w:val="0"/>
        </w:rPr>
      </w:r>
    </w:p>
    <w:p w:rsidR="00000000" w:rsidDel="00000000" w:rsidP="00000000" w:rsidRDefault="00000000" w:rsidRPr="00000000" w14:paraId="00000012">
      <w:pPr>
        <w:pStyle w:val="Heading1"/>
        <w:numPr>
          <w:ilvl w:val="0"/>
          <w:numId w:val="2"/>
        </w:numPr>
        <w:rPr>
          <w:rFonts w:ascii="Times New Roman" w:cs="Times New Roman" w:eastAsia="Times New Roman" w:hAnsi="Times New Roman"/>
        </w:rPr>
      </w:pPr>
      <w:bookmarkStart w:colFirst="0" w:colLast="0" w:name="_30j0zll" w:id="2"/>
      <w:bookmarkEnd w:id="2"/>
      <w:r w:rsidDel="00000000" w:rsidR="00000000" w:rsidRPr="00000000">
        <w:rPr>
          <w:rFonts w:ascii="Times New Roman" w:cs="Times New Roman" w:eastAsia="Times New Roman" w:hAnsi="Times New Roman"/>
          <w:rtl w:val="0"/>
        </w:rPr>
        <w:t xml:space="preserve">Introducción</w:t>
      </w:r>
    </w:p>
    <w:p w:rsidR="00000000" w:rsidDel="00000000" w:rsidP="00000000" w:rsidRDefault="00000000" w:rsidRPr="00000000" w14:paraId="00000013">
      <w:pPr>
        <w:pStyle w:val="Heading2"/>
        <w:numPr>
          <w:ilvl w:val="1"/>
          <w:numId w:val="2"/>
        </w:numPr>
        <w:rPr>
          <w:rFonts w:ascii="Times New Roman" w:cs="Times New Roman" w:eastAsia="Times New Roman" w:hAnsi="Times New Roman"/>
        </w:rPr>
      </w:pPr>
      <w:bookmarkStart w:colFirst="0" w:colLast="0" w:name="_1fob9te" w:id="3"/>
      <w:bookmarkEnd w:id="3"/>
      <w:r w:rsidDel="00000000" w:rsidR="00000000" w:rsidRPr="00000000">
        <w:rPr>
          <w:rFonts w:ascii="Times New Roman" w:cs="Times New Roman" w:eastAsia="Times New Roman" w:hAnsi="Times New Roman"/>
          <w:rtl w:val="0"/>
        </w:rPr>
        <w:t xml:space="preserve">Propósito</w:t>
      </w:r>
    </w:p>
    <w:p w:rsidR="00000000" w:rsidDel="00000000" w:rsidP="00000000" w:rsidRDefault="00000000" w:rsidRPr="00000000" w14:paraId="00000014">
      <w:pPr>
        <w:ind w:left="720" w:firstLine="0"/>
        <w:jc w:val="both"/>
        <w:rPr/>
      </w:pPr>
      <w:r w:rsidDel="00000000" w:rsidR="00000000" w:rsidRPr="00000000">
        <w:rPr>
          <w:rtl w:val="0"/>
        </w:rPr>
        <w:t xml:space="preserve">Este documento proporciona el diseño detallado de la realización del caso de uso Registrar y gestionar parcelas del sistema AgroPredix. Para ello, se integran los diagramas de secuencia que reflejan la interacción entre la interfaz del usuario, el backend web Django, la base de datos PostgreSQL y las APIs de mapas.</w:t>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pStyle w:val="Heading2"/>
        <w:numPr>
          <w:ilvl w:val="1"/>
          <w:numId w:val="2"/>
        </w:numPr>
        <w:rPr>
          <w:rFonts w:ascii="Times New Roman" w:cs="Times New Roman" w:eastAsia="Times New Roman" w:hAnsi="Times New Roman"/>
        </w:rPr>
      </w:pPr>
      <w:bookmarkStart w:colFirst="0" w:colLast="0" w:name="_3znysh7" w:id="4"/>
      <w:bookmarkEnd w:id="4"/>
      <w:r w:rsidDel="00000000" w:rsidR="00000000" w:rsidRPr="00000000">
        <w:rPr>
          <w:rFonts w:ascii="Times New Roman" w:cs="Times New Roman" w:eastAsia="Times New Roman" w:hAnsi="Times New Roman"/>
          <w:rtl w:val="0"/>
        </w:rPr>
        <w:t xml:space="preserve">Alcance</w:t>
      </w:r>
    </w:p>
    <w:p w:rsidR="00000000" w:rsidDel="00000000" w:rsidP="00000000" w:rsidRDefault="00000000" w:rsidRPr="00000000" w14:paraId="00000017">
      <w:pPr>
        <w:ind w:left="720" w:firstLine="0"/>
        <w:rPr/>
      </w:pPr>
      <w:r w:rsidDel="00000000" w:rsidR="00000000" w:rsidRPr="00000000">
        <w:rPr>
          <w:rtl w:val="0"/>
        </w:rPr>
        <w:t xml:space="preserve">El alcance de este documento cubre el diseño técnico, mensajes y flujos de secuencia del módulo de gestión de parcelas pertenecientes al proyecto AgroPredix.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2"/>
        <w:numPr>
          <w:ilvl w:val="1"/>
          <w:numId w:val="2"/>
        </w:numPr>
        <w:rPr>
          <w:rFonts w:ascii="Times New Roman" w:cs="Times New Roman" w:eastAsia="Times New Roman" w:hAnsi="Times New Roman"/>
        </w:rPr>
      </w:pPr>
      <w:bookmarkStart w:colFirst="0" w:colLast="0" w:name="_2et92p0" w:id="5"/>
      <w:bookmarkEnd w:id="5"/>
      <w:r w:rsidDel="00000000" w:rsidR="00000000" w:rsidRPr="00000000">
        <w:rPr>
          <w:rFonts w:ascii="Times New Roman" w:cs="Times New Roman" w:eastAsia="Times New Roman" w:hAnsi="Times New Roman"/>
          <w:rtl w:val="0"/>
        </w:rPr>
        <w:t xml:space="preserve">Definiciones, Acrónimos, y Abreviaturas</w:t>
      </w:r>
      <w:r w:rsidDel="00000000" w:rsidR="00000000" w:rsidRPr="00000000">
        <w:rPr>
          <w:rtl w:val="0"/>
        </w:rPr>
      </w:r>
    </w:p>
    <w:p w:rsidR="00000000" w:rsidDel="00000000" w:rsidP="00000000" w:rsidRDefault="00000000" w:rsidRPr="00000000" w14:paraId="0000001A">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PWA_Cliente</w:t>
      </w:r>
      <w:r w:rsidDel="00000000" w:rsidR="00000000" w:rsidRPr="00000000">
        <w:rPr>
          <w:b w:val="1"/>
          <w:bCs w:val="1"/>
          <w:rtl w:val="0"/>
        </w:rPr>
        <w:t xml:space="preserve"> / </w:t>
      </w:r>
      <w:r w:rsidDel="00000000" w:rsidR="00000000" w:rsidRPr="00000000">
        <w:rPr>
          <w:b w:val="1"/>
          <w:bCs w:val="1"/>
          <w:rtl w:val="0"/>
        </w:rPr>
        <w:t xml:space="preserve">UI_Parcelas</w:t>
      </w:r>
      <w:r w:rsidDel="00000000" w:rsidR="00000000" w:rsidRPr="00000000">
        <w:rPr>
          <w:rtl w:val="0"/>
        </w:rPr>
        <w:t xml:space="preserve">: Interfaz de usuario PWA ejecutada en cliente/móvil.</w:t>
      </w:r>
    </w:p>
    <w:p w:rsidR="00000000" w:rsidDel="00000000" w:rsidP="00000000" w:rsidRDefault="00000000" w:rsidRPr="00000000" w14:paraId="0000001B">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AGROPREDIX-WEB</w:t>
      </w:r>
      <w:r w:rsidDel="00000000" w:rsidR="00000000" w:rsidRPr="00000000">
        <w:rPr>
          <w:b w:val="1"/>
          <w:bCs w:val="1"/>
          <w:rtl w:val="0"/>
        </w:rPr>
        <w:t xml:space="preserve"> (Django Server)</w:t>
      </w:r>
      <w:r w:rsidDel="00000000" w:rsidR="00000000" w:rsidRPr="00000000">
        <w:rPr>
          <w:rtl w:val="0"/>
        </w:rPr>
        <w:t xml:space="preserve">: Servidor web y backend de lógica de negocio (</w:t>
      </w:r>
      <w:r w:rsidDel="00000000" w:rsidR="00000000" w:rsidRPr="00000000">
        <w:rPr>
          <w:rtl w:val="0"/>
        </w:rPr>
        <w:t xml:space="preserve">agropredix</w:t>
      </w:r>
      <w:r w:rsidDel="00000000" w:rsidR="00000000" w:rsidRPr="00000000">
        <w:rPr>
          <w:rtl w:val="0"/>
        </w:rPr>
        <w:t xml:space="preserve">, </w:t>
      </w:r>
      <w:r w:rsidDel="00000000" w:rsidR="00000000" w:rsidRPr="00000000">
        <w:rPr>
          <w:rtl w:val="0"/>
        </w:rPr>
        <w:t xml:space="preserve">parcelas/</w:t>
      </w:r>
      <w:r w:rsidDel="00000000" w:rsidR="00000000" w:rsidRPr="00000000">
        <w:rPr>
          <w:rtl w:val="0"/>
        </w:rPr>
        <w:t xml:space="preserve"> app).</w:t>
      </w:r>
    </w:p>
    <w:p w:rsidR="00000000" w:rsidDel="00000000" w:rsidP="00000000" w:rsidRDefault="00000000" w:rsidRPr="00000000" w14:paraId="0000001C">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AGROPREDIX-MODEL</w:t>
      </w:r>
      <w:r w:rsidDel="00000000" w:rsidR="00000000" w:rsidRPr="00000000">
        <w:rPr>
          <w:b w:val="1"/>
          <w:bCs w:val="1"/>
          <w:rtl w:val="0"/>
        </w:rPr>
        <w:t xml:space="preserve"> (Flask Server / AWS Lambda)</w:t>
      </w:r>
      <w:r w:rsidDel="00000000" w:rsidR="00000000" w:rsidRPr="00000000">
        <w:rPr>
          <w:rtl w:val="0"/>
        </w:rPr>
        <w:t xml:space="preserve">: Servidor analítico / API REST para ejecución de motores de predicción (</w:t>
      </w:r>
      <w:r w:rsidDel="00000000" w:rsidR="00000000" w:rsidRPr="00000000">
        <w:rPr>
          <w:rtl w:val="0"/>
        </w:rPr>
        <w:t xml:space="preserve">model_agropredix</w:t>
      </w:r>
      <w:r w:rsidDel="00000000" w:rsidR="00000000" w:rsidRPr="00000000">
        <w:rPr>
          <w:rtl w:val="0"/>
        </w:rPr>
        <w:t xml:space="preserve">).</w:t>
      </w:r>
    </w:p>
    <w:p w:rsidR="00000000" w:rsidDel="00000000" w:rsidP="00000000" w:rsidRDefault="00000000" w:rsidRPr="00000000" w14:paraId="0000001D">
      <w:pPr>
        <w:numPr>
          <w:ilvl w:val="0"/>
          <w:numId w:val="3"/>
        </w:numPr>
        <w:spacing w:after="0" w:afterAutospacing="0" w:line="276" w:lineRule="auto"/>
        <w:ind w:left="1440" w:hanging="360"/>
        <w:jc w:val="both"/>
        <w:rPr/>
      </w:pPr>
      <w:bookmarkStart w:colFirst="0" w:colLast="0" w:name="_d0u7ur112qaq" w:id="6"/>
      <w:bookmarkEnd w:id="6"/>
      <w:r w:rsidDel="00000000" w:rsidR="00000000" w:rsidRPr="00000000">
        <w:rPr>
          <w:b w:val="1"/>
          <w:bCs w:val="1"/>
          <w:rtl w:val="0"/>
        </w:rPr>
        <w:t xml:space="preserve">AGROPREDIX-DATA</w:t>
      </w:r>
      <w:r w:rsidDel="00000000" w:rsidR="00000000" w:rsidRPr="00000000">
        <w:rPr>
          <w:b w:val="1"/>
          <w:bCs w:val="1"/>
          <w:rtl w:val="0"/>
        </w:rPr>
        <w:t xml:space="preserve"> (PostgreSQL Database)</w:t>
      </w:r>
      <w:r w:rsidDel="00000000" w:rsidR="00000000" w:rsidRPr="00000000">
        <w:rPr>
          <w:rtl w:val="0"/>
        </w:rPr>
        <w:t xml:space="preserve">: Base de datos relacional (</w:t>
      </w:r>
      <w:r w:rsidDel="00000000" w:rsidR="00000000" w:rsidRPr="00000000">
        <w:rPr>
          <w:rtl w:val="0"/>
        </w:rPr>
        <w:t xml:space="preserve">db_agropredix</w:t>
      </w:r>
      <w:r w:rsidDel="00000000" w:rsidR="00000000" w:rsidRPr="00000000">
        <w:rPr>
          <w:rtl w:val="0"/>
        </w:rPr>
        <w:t xml:space="preserve">).</w:t>
      </w:r>
    </w:p>
    <w:p w:rsidR="00000000" w:rsidDel="00000000" w:rsidP="00000000" w:rsidRDefault="00000000" w:rsidRPr="00000000" w14:paraId="0000001E">
      <w:pPr>
        <w:numPr>
          <w:ilvl w:val="0"/>
          <w:numId w:val="3"/>
        </w:numPr>
        <w:spacing w:after="120" w:line="276" w:lineRule="auto"/>
        <w:ind w:left="1440" w:hanging="360"/>
        <w:jc w:val="both"/>
        <w:rPr/>
      </w:pPr>
      <w:bookmarkStart w:colFirst="0" w:colLast="0" w:name="_d0u7ur112qaq" w:id="6"/>
      <w:bookmarkEnd w:id="6"/>
      <w:r w:rsidDel="00000000" w:rsidR="00000000" w:rsidRPr="00000000">
        <w:rPr>
          <w:b w:val="1"/>
          <w:bCs w:val="1"/>
          <w:rtl w:val="0"/>
        </w:rPr>
        <w:t xml:space="preserve">APIs_Externas</w:t>
      </w:r>
      <w:r w:rsidDel="00000000" w:rsidR="00000000" w:rsidRPr="00000000">
        <w:rPr>
          <w:rtl w:val="0"/>
        </w:rPr>
        <w:t xml:space="preserve">: Servicios externos como Google Maps API, SENAMHI y MINAGRI.</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smallCaps w:val="0"/>
          <w:strike w:val="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pStyle w:val="Heading2"/>
        <w:numPr>
          <w:ilvl w:val="1"/>
          <w:numId w:val="2"/>
        </w:numPr>
        <w:rPr>
          <w:rFonts w:ascii="Times New Roman" w:cs="Times New Roman" w:eastAsia="Times New Roman" w:hAnsi="Times New Roman"/>
        </w:rPr>
      </w:pPr>
      <w:bookmarkStart w:colFirst="0" w:colLast="0" w:name="_tyjcwt" w:id="7"/>
      <w:bookmarkEnd w:id="7"/>
      <w:r w:rsidDel="00000000" w:rsidR="00000000" w:rsidRPr="00000000">
        <w:rPr>
          <w:rFonts w:ascii="Times New Roman" w:cs="Times New Roman" w:eastAsia="Times New Roman" w:hAnsi="Times New Roman"/>
          <w:rtl w:val="0"/>
        </w:rPr>
        <w:t xml:space="preserve">Referencias</w:t>
      </w:r>
    </w:p>
    <w:p w:rsidR="00000000" w:rsidDel="00000000" w:rsidP="00000000" w:rsidRDefault="00000000" w:rsidRPr="00000000" w14:paraId="00000021">
      <w:pPr>
        <w:numPr>
          <w:ilvl w:val="0"/>
          <w:numId w:val="1"/>
        </w:numPr>
        <w:ind w:left="1440" w:hanging="360"/>
        <w:rPr>
          <w:u w:val="none"/>
        </w:rPr>
      </w:pPr>
      <w:r w:rsidDel="00000000" w:rsidR="00000000" w:rsidRPr="00000000">
        <w:rPr>
          <w:rtl w:val="0"/>
        </w:rPr>
        <w:t xml:space="preserve">Documento de Caso de Uso: Registrar y gestionar parcelas (CU-0001).</w:t>
      </w:r>
    </w:p>
    <w:p w:rsidR="00000000" w:rsidDel="00000000" w:rsidP="00000000" w:rsidRDefault="00000000" w:rsidRPr="00000000" w14:paraId="00000022">
      <w:pPr>
        <w:numPr>
          <w:ilvl w:val="0"/>
          <w:numId w:val="1"/>
        </w:numPr>
        <w:ind w:left="1440" w:hanging="360"/>
        <w:rPr>
          <w:u w:val="none"/>
        </w:rPr>
      </w:pPr>
      <w:r w:rsidDel="00000000" w:rsidR="00000000" w:rsidRPr="00000000">
        <w:rPr>
          <w:rtl w:val="0"/>
        </w:rPr>
        <w:t xml:space="preserve">Especificación de Requisitos del Sistema AgroPredix.</w:t>
      </w:r>
    </w:p>
    <w:p w:rsidR="00000000" w:rsidDel="00000000" w:rsidP="00000000" w:rsidRDefault="00000000" w:rsidRPr="00000000" w14:paraId="00000023">
      <w:pPr>
        <w:ind w:left="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numPr>
          <w:ilvl w:val="0"/>
          <w:numId w:val="2"/>
        </w:numPr>
        <w:rPr>
          <w:rFonts w:ascii="Times New Roman" w:cs="Times New Roman" w:eastAsia="Times New Roman" w:hAnsi="Times New Roman"/>
        </w:rPr>
      </w:pPr>
      <w:bookmarkStart w:colFirst="0" w:colLast="0" w:name="_3dy6vkm" w:id="8"/>
      <w:bookmarkEnd w:id="8"/>
      <w:r w:rsidDel="00000000" w:rsidR="00000000" w:rsidRPr="00000000">
        <w:rPr>
          <w:rFonts w:ascii="Times New Roman" w:cs="Times New Roman" w:eastAsia="Times New Roman" w:hAnsi="Times New Roman"/>
          <w:rtl w:val="0"/>
        </w:rPr>
        <w:t xml:space="preserve">Diseño</w:t>
      </w:r>
      <w:r w:rsidDel="00000000" w:rsidR="00000000" w:rsidRPr="00000000">
        <w:rPr>
          <w:rtl w:val="0"/>
        </w:rPr>
      </w:r>
    </w:p>
    <w:p w:rsidR="00000000" w:rsidDel="00000000" w:rsidP="00000000" w:rsidRDefault="00000000" w:rsidRPr="00000000" w14:paraId="00000025">
      <w:pPr>
        <w:pStyle w:val="Heading2"/>
        <w:numPr>
          <w:ilvl w:val="1"/>
          <w:numId w:val="2"/>
        </w:numPr>
        <w:rPr>
          <w:rFonts w:ascii="Times New Roman" w:cs="Times New Roman" w:eastAsia="Times New Roman" w:hAnsi="Times New Roman"/>
        </w:rPr>
      </w:pPr>
      <w:bookmarkStart w:colFirst="0" w:colLast="0" w:name="_1t3h5sf" w:id="9"/>
      <w:bookmarkEnd w:id="9"/>
      <w:r w:rsidDel="00000000" w:rsidR="00000000" w:rsidRPr="00000000">
        <w:rPr>
          <w:rFonts w:ascii="Times New Roman" w:cs="Times New Roman" w:eastAsia="Times New Roman" w:hAnsi="Times New Roman"/>
          <w:rtl w:val="0"/>
        </w:rPr>
        <w:t xml:space="preserve">Diagramas de secuencia</w:t>
      </w:r>
      <w:r w:rsidDel="00000000" w:rsidR="00000000" w:rsidRPr="00000000">
        <w:rPr>
          <w:rtl w:val="0"/>
        </w:rPr>
      </w:r>
    </w:p>
    <w:p w:rsidR="00000000" w:rsidDel="00000000" w:rsidP="00000000" w:rsidRDefault="00000000" w:rsidRPr="00000000" w14:paraId="00000026">
      <w:pPr>
        <w:ind w:left="720" w:firstLine="0"/>
        <w:rPr>
          <w:b w:val="1"/>
          <w:bCs w:val="1"/>
        </w:rPr>
      </w:pPr>
      <w:r w:rsidDel="00000000" w:rsidR="00000000" w:rsidRPr="00000000">
        <w:rPr>
          <w:rtl w:val="0"/>
        </w:rPr>
      </w:r>
    </w:p>
    <w:p w:rsidR="00000000" w:rsidDel="00000000" w:rsidP="00000000" w:rsidRDefault="00000000" w:rsidRPr="00000000" w14:paraId="00000027">
      <w:pPr>
        <w:ind w:left="720" w:firstLine="0"/>
        <w:rPr>
          <w:b w:val="1"/>
          <w:bCs w:val="1"/>
        </w:rPr>
      </w:pPr>
      <w:r w:rsidDel="00000000" w:rsidR="00000000" w:rsidRPr="00000000">
        <w:rPr>
          <w:b w:val="1"/>
          <w:bCs w:val="1"/>
          <w:rtl w:val="0"/>
        </w:rPr>
        <w:t xml:space="preserve">Flujo normal</w:t>
      </w:r>
    </w:p>
    <w:p w:rsidR="00000000" w:rsidDel="00000000" w:rsidP="00000000" w:rsidRDefault="00000000" w:rsidRPr="00000000" w14:paraId="00000028">
      <w:pPr>
        <w:ind w:left="720" w:firstLine="0"/>
        <w:rPr>
          <w:b w:val="1"/>
          <w:bCs w:val="1"/>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5353050" cy="4368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353050" cy="4368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A">
      <w:pPr>
        <w:ind w:left="0" w:firstLine="0"/>
        <w:rPr>
          <w:b w:val="1"/>
          <w:bCs w:val="1"/>
        </w:rPr>
      </w:pPr>
      <w:r w:rsidDel="00000000" w:rsidR="00000000" w:rsidRPr="00000000">
        <w:rPr>
          <w:rtl w:val="0"/>
        </w:rPr>
      </w:r>
    </w:p>
    <w:p w:rsidR="00000000" w:rsidDel="00000000" w:rsidP="00000000" w:rsidRDefault="00000000" w:rsidRPr="00000000" w14:paraId="0000002B">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C">
      <w:pPr>
        <w:ind w:left="720" w:firstLine="0"/>
        <w:rPr>
          <w:b w:val="1"/>
          <w:bCs w:val="1"/>
        </w:rPr>
      </w:pPr>
      <w:r w:rsidDel="00000000" w:rsidR="00000000" w:rsidRPr="00000000">
        <w:rPr>
          <w:b w:val="1"/>
          <w:bCs w:val="1"/>
          <w:rtl w:val="0"/>
        </w:rPr>
        <w:t xml:space="preserve">Flujo alternativo 1: Filtrar o buscar parcelas</w:t>
      </w:r>
    </w:p>
    <w:p w:rsidR="00000000" w:rsidDel="00000000" w:rsidP="00000000" w:rsidRDefault="00000000" w:rsidRPr="00000000" w14:paraId="0000002D">
      <w:pPr>
        <w:ind w:left="0" w:firstLine="0"/>
        <w:rPr>
          <w:b w:val="1"/>
          <w:bCs w:val="1"/>
        </w:rPr>
      </w:pPr>
      <w:r w:rsidDel="00000000" w:rsidR="00000000" w:rsidRPr="00000000">
        <w:rPr>
          <w:rtl w:val="0"/>
        </w:rPr>
      </w:r>
    </w:p>
    <w:p w:rsidR="00000000" w:rsidDel="00000000" w:rsidP="00000000" w:rsidRDefault="00000000" w:rsidRPr="00000000" w14:paraId="0000002E">
      <w:pPr>
        <w:ind w:left="720" w:firstLine="0"/>
        <w:rPr>
          <w:b w:val="1"/>
          <w:bCs w:val="1"/>
        </w:rPr>
      </w:pPr>
      <w:r w:rsidDel="00000000" w:rsidR="00000000" w:rsidRPr="00000000">
        <w:rPr>
          <w:rtl w:val="0"/>
        </w:rPr>
      </w:r>
    </w:p>
    <w:tbl>
      <w:tblPr>
        <w:tblStyle w:val="Table2"/>
        <w:tblpPr w:leftFromText="180" w:rightFromText="180" w:topFromText="180" w:bottomFromText="180" w:vertAnchor="text" w:horzAnchor="text" w:tblpX="735" w:tblpY="0"/>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p w:rsidR="00000000" w:rsidDel="00000000" w:rsidP="00000000" w:rsidRDefault="00000000" w:rsidRPr="00000000" w14:paraId="0000002F">
            <w:pPr>
              <w:rPr>
                <w:b w:val="1"/>
                <w:bCs w:val="1"/>
              </w:rPr>
            </w:pPr>
            <w:r w:rsidDel="00000000" w:rsidR="00000000" w:rsidRPr="00000000">
              <w:rPr>
                <w:b w:val="1"/>
                <w:bCs w:val="1"/>
              </w:rPr>
              <w:drawing>
                <wp:inline distB="114300" distT="114300" distL="114300" distR="114300">
                  <wp:extent cx="5353050" cy="3606800"/>
                  <wp:effectExtent b="0" l="0" r="0" t="0"/>
                  <wp:docPr id="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353050" cy="3606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0">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1">
      <w:pPr>
        <w:ind w:left="720" w:firstLine="0"/>
        <w:rPr>
          <w:b w:val="1"/>
          <w:bCs w:val="1"/>
        </w:rPr>
      </w:pPr>
      <w:r w:rsidDel="00000000" w:rsidR="00000000" w:rsidRPr="00000000">
        <w:rPr>
          <w:b w:val="1"/>
          <w:bCs w:val="1"/>
          <w:rtl w:val="0"/>
        </w:rPr>
        <w:t xml:space="preserve">Flujo alternativo 2: Consultar detalle y estimaciones edafoclimáticas de la parcela</w:t>
      </w:r>
    </w:p>
    <w:p w:rsidR="00000000" w:rsidDel="00000000" w:rsidP="00000000" w:rsidRDefault="00000000" w:rsidRPr="00000000" w14:paraId="00000032">
      <w:pPr>
        <w:ind w:left="720" w:firstLine="0"/>
        <w:rPr/>
      </w:pP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5353050" cy="368300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353050"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6">
      <w:pPr>
        <w:ind w:left="720" w:firstLine="0"/>
        <w:rPr>
          <w:b w:val="1"/>
          <w:bCs w:val="1"/>
        </w:rPr>
      </w:pPr>
      <w:r w:rsidDel="00000000" w:rsidR="00000000" w:rsidRPr="00000000">
        <w:rPr>
          <w:b w:val="1"/>
          <w:bCs w:val="1"/>
          <w:rtl w:val="0"/>
        </w:rPr>
        <w:t xml:space="preserve">Flujo alternativo 3: Cargar análisis de suelo opcional</w:t>
      </w:r>
    </w:p>
    <w:p w:rsidR="00000000" w:rsidDel="00000000" w:rsidP="00000000" w:rsidRDefault="00000000" w:rsidRPr="00000000" w14:paraId="00000037">
      <w:pPr>
        <w:ind w:left="720" w:firstLine="0"/>
        <w:rPr>
          <w:b w:val="1"/>
          <w:bCs w:val="1"/>
        </w:rPr>
      </w:pP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Pr>
              <w:drawing>
                <wp:inline distB="114300" distT="114300" distL="114300" distR="114300">
                  <wp:extent cx="5353050" cy="3352800"/>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353050" cy="3352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ind w:left="72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B">
      <w:pPr>
        <w:ind w:left="720" w:firstLine="0"/>
        <w:rPr>
          <w:b w:val="1"/>
          <w:bCs w:val="1"/>
        </w:rPr>
      </w:pPr>
      <w:r w:rsidDel="00000000" w:rsidR="00000000" w:rsidRPr="00000000">
        <w:rPr>
          <w:b w:val="1"/>
          <w:bCs w:val="1"/>
          <w:rtl w:val="0"/>
        </w:rPr>
        <w:t xml:space="preserve">Flujo alternativo 4: Editar parcela registrada</w:t>
      </w:r>
    </w:p>
    <w:p w:rsidR="00000000" w:rsidDel="00000000" w:rsidP="00000000" w:rsidRDefault="00000000" w:rsidRPr="00000000" w14:paraId="0000003C">
      <w:pPr>
        <w:ind w:left="720" w:firstLine="0"/>
        <w:rPr/>
      </w:pPr>
      <w:r w:rsidDel="00000000" w:rsidR="00000000" w:rsidRPr="00000000">
        <w:rPr>
          <w:rtl w:val="0"/>
        </w:rPr>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drawing>
                <wp:inline distB="114300" distT="114300" distL="114300" distR="114300">
                  <wp:extent cx="5353050" cy="36830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53050" cy="3683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pStyle w:val="Heading2"/>
        <w:numPr>
          <w:ilvl w:val="1"/>
          <w:numId w:val="2"/>
        </w:numPr>
        <w:rPr>
          <w:rFonts w:ascii="Times New Roman" w:cs="Times New Roman" w:eastAsia="Times New Roman" w:hAnsi="Times New Roman"/>
        </w:rPr>
      </w:pPr>
      <w:bookmarkStart w:colFirst="0" w:colLast="0" w:name="_4d34og8" w:id="10"/>
      <w:bookmarkEnd w:id="10"/>
      <w:r w:rsidDel="00000000" w:rsidR="00000000" w:rsidRPr="00000000">
        <w:rPr>
          <w:rFonts w:ascii="Times New Roman" w:cs="Times New Roman" w:eastAsia="Times New Roman" w:hAnsi="Times New Roman"/>
          <w:rtl w:val="0"/>
        </w:rPr>
        <w:t xml:space="preserve">Modelo de datos</w:t>
      </w:r>
    </w:p>
    <w:p w:rsidR="00000000" w:rsidDel="00000000" w:rsidP="00000000" w:rsidRDefault="00000000" w:rsidRPr="00000000" w14:paraId="00000042">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drawing>
                <wp:inline distB="114300" distT="114300" distL="114300" distR="114300">
                  <wp:extent cx="5810250" cy="4597400"/>
                  <wp:effectExtent b="0" l="0" r="0" t="0"/>
                  <wp:docPr id="6"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810250" cy="45974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headerReference r:id="rId14" w:type="default"/>
      <w:headerReference r:id="rId15" w:type="first"/>
      <w:footerReference r:id="rId16" w:type="default"/>
      <w:footerReference r:id="rId17"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ind w:right="360"/>
            <w:rPr/>
          </w:pPr>
          <w:r w:rsidDel="00000000" w:rsidR="00000000" w:rsidRPr="00000000">
            <w:rPr>
              <w:rtl w:val="0"/>
            </w:rPr>
            <w:t xml:space="preserve">Confidencial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center"/>
            <w:rPr/>
          </w:pPr>
          <w:r w:rsidDel="00000000" w:rsidR="00000000" w:rsidRPr="00000000">
            <w:rPr>
              <w:rtl w:val="0"/>
            </w:rPr>
            <w:t xml:space="preserve">Universidad La Salle, 2025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048">
    <w:pPr>
      <w:pBdr>
        <w:bottom w:color="000000" w:space="1" w:sz="6" w:val="single"/>
      </w:pBdr>
      <w:jc w:val="right"/>
      <w:rPr>
        <w:b w:val="1"/>
        <w:bCs w:val="1"/>
        <w:sz w:val="36"/>
        <w:szCs w:val="36"/>
      </w:rPr>
    </w:pPr>
    <w:r w:rsidDel="00000000" w:rsidR="00000000" w:rsidRPr="00000000">
      <w:rPr>
        <w:b w:val="1"/>
        <w:bCs w:val="1"/>
        <w:sz w:val="36"/>
        <w:szCs w:val="36"/>
        <w:rtl w:val="0"/>
      </w:rPr>
      <w:t xml:space="preserve">UNIVERSIDAD LA SALLE</w:t>
    </w:r>
  </w:p>
  <w:p w:rsidR="00000000" w:rsidDel="00000000" w:rsidP="00000000" w:rsidRDefault="00000000" w:rsidRPr="00000000" w14:paraId="00000049">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9540"/>
      <w:tblGridChange w:id="0">
        <w:tblGrid>
          <w:gridCol w:w="9540"/>
        </w:tblGrid>
      </w:tblGridChange>
    </w:tblGrid>
    <w:tr>
      <w:trPr>
        <w:cantSplit w:val="0"/>
        <w:tblHeader w:val="0"/>
      </w:trPr>
      <w:tc>
        <w:tcPr/>
        <w:p w:rsidR="00000000" w:rsidDel="00000000" w:rsidP="00000000" w:rsidRDefault="00000000" w:rsidRPr="00000000" w14:paraId="0000004C">
          <w:pPr>
            <w:rPr/>
          </w:pPr>
          <w:r w:rsidDel="00000000" w:rsidR="00000000" w:rsidRPr="00000000">
            <w:rPr>
              <w:rtl w:val="0"/>
            </w:rPr>
            <w:t xml:space="preserve">UNIVERSIDAD LA SALLE</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Realización de Caso de Uso: Gestión de parcelas</w:t>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PE"/>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720" w:hanging="72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720" w:hanging="72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3.xml"/><Relationship Id="rId14" Type="http://schemas.openxmlformats.org/officeDocument/2006/relationships/header" Target="header2.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mpany">
    <vt:lpwstr>ULASALLE</vt:lpwstr>
  </property>
</Properties>
</file>