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principal"/>
        <w:pBdr>
          <w:bottom w:val="single" w:sz="4" w:space="1" w:color="000000"/>
        </w:pBdr>
        <w:jc w:val="center"/>
        <w:rPr>
          <w:lang w:val="de-CH"/>
        </w:rPr>
      </w:pPr>
      <w:r>
        <w:rPr>
          <w:lang w:val="de-CH"/>
        </w:rPr>
        <w:t>VOLATILITÉ</w:t>
      </w:r>
    </w:p>
    <w:sdt>
      <w:sdtPr>
        <w:docPartObj>
          <w:docPartGallery w:val="Table of Contents"/>
          <w:docPartUnique w:val="true"/>
        </w:docPartObj>
      </w:sdtPr>
      <w:sdtContent>
        <w:p>
          <w:pPr>
            <w:pStyle w:val="Titredetabledesmatires"/>
            <w:ind w:left="0" w:hanging="0"/>
            <w:rPr/>
          </w:pPr>
          <w:r>
            <w:rPr>
              <w:lang w:val="fr-FR"/>
            </w:rPr>
            <w:t>Table des matières</w:t>
          </w:r>
        </w:p>
        <w:p>
          <w:pPr>
            <w:pStyle w:val="Tabledesmatiresniveau1"/>
            <w:tabs>
              <w:tab w:val="clear" w:pos="708"/>
              <w:tab w:val="left" w:pos="440" w:leader="none"/>
              <w:tab w:val="right" w:pos="9062" w:leader="dot"/>
            </w:tabs>
            <w:rPr>
              <w:rFonts w:eastAsia="" w:eastAsiaTheme="minorEastAsia"/>
              <w:lang w:eastAsia="fr-CH"/>
            </w:rPr>
          </w:pPr>
          <w:r>
            <w:fldChar w:fldCharType="begin"/>
          </w:r>
          <w:r>
            <w:rPr>
              <w:webHidden/>
              <w:rStyle w:val="Sautdindex"/>
              <w:vanish w:val="false"/>
            </w:rPr>
            <w:instrText xml:space="preserve"> TOC \z \o "1-3" \u \h</w:instrText>
          </w:r>
          <w:r>
            <w:rPr>
              <w:webHidden/>
              <w:rStyle w:val="Sautdindex"/>
              <w:vanish w:val="false"/>
            </w:rPr>
            <w:fldChar w:fldCharType="separate"/>
          </w:r>
          <w:hyperlink w:anchor="_Toc123243889">
            <w:r>
              <w:rPr>
                <w:webHidden/>
                <w:rStyle w:val="Sautdindex"/>
                <w:vanish w:val="false"/>
              </w:rPr>
              <w:t>1</w:t>
            </w:r>
            <w:r>
              <w:rPr>
                <w:rStyle w:val="Sautdindex"/>
                <w:rFonts w:eastAsia="" w:eastAsiaTheme="minorEastAsia"/>
                <w:lang w:eastAsia="fr-CH"/>
              </w:rPr>
              <w:tab/>
            </w:r>
            <w:r>
              <w:rPr>
                <w:rStyle w:val="Sautdindex"/>
              </w:rPr>
              <w:t>Modifications du document</w:t>
            </w:r>
            <w:r>
              <w:rPr>
                <w:webHidden/>
              </w:rPr>
              <w:fldChar w:fldCharType="begin"/>
            </w:r>
            <w:r>
              <w:rPr>
                <w:webHidden/>
              </w:rPr>
              <w:instrText xml:space="preserve">PAGEREF _Toc123243889 \h</w:instrText>
            </w:r>
            <w:r>
              <w:rPr>
                <w:webHidden/>
              </w:rPr>
              <w:fldChar w:fldCharType="separate"/>
            </w:r>
            <w:r>
              <w:rPr>
                <w:rStyle w:val="Sautdindex"/>
                <w:vanish w:val="false"/>
              </w:rPr>
              <w:tab/>
              <w:t>1</w:t>
            </w:r>
            <w:r>
              <w:rPr>
                <w:webHidden/>
              </w:rPr>
              <w:fldChar w:fldCharType="end"/>
            </w:r>
          </w:hyperlink>
        </w:p>
        <w:p>
          <w:pPr>
            <w:pStyle w:val="Tabledesmatiresniveau1"/>
            <w:tabs>
              <w:tab w:val="clear" w:pos="708"/>
              <w:tab w:val="left" w:pos="440" w:leader="none"/>
              <w:tab w:val="right" w:pos="9062" w:leader="dot"/>
            </w:tabs>
            <w:rPr>
              <w:rFonts w:eastAsia="" w:eastAsiaTheme="minorEastAsia"/>
              <w:lang w:eastAsia="fr-CH"/>
            </w:rPr>
          </w:pPr>
          <w:hyperlink w:anchor="_Toc123243890">
            <w:r>
              <w:rPr>
                <w:webHidden/>
                <w:rStyle w:val="Sautdindex"/>
                <w:vanish w:val="false"/>
              </w:rPr>
              <w:t>2</w:t>
            </w:r>
            <w:r>
              <w:rPr>
                <w:rStyle w:val="Sautdindex"/>
                <w:rFonts w:eastAsia="" w:eastAsiaTheme="minorEastAsia"/>
                <w:lang w:eastAsia="fr-CH"/>
              </w:rPr>
              <w:tab/>
            </w:r>
            <w:r>
              <w:rPr>
                <w:rStyle w:val="Sautdindex"/>
              </w:rPr>
              <w:t>Objectif du document</w:t>
            </w:r>
            <w:r>
              <w:rPr>
                <w:webHidden/>
              </w:rPr>
              <w:fldChar w:fldCharType="begin"/>
            </w:r>
            <w:r>
              <w:rPr>
                <w:webHidden/>
              </w:rPr>
              <w:instrText xml:space="preserve">PAGEREF _Toc123243890 \h</w:instrText>
            </w:r>
            <w:r>
              <w:rPr>
                <w:webHidden/>
              </w:rPr>
              <w:fldChar w:fldCharType="separate"/>
            </w:r>
            <w:r>
              <w:rPr>
                <w:rStyle w:val="Sautdindex"/>
                <w:vanish w:val="false"/>
              </w:rPr>
              <w:tab/>
              <w:t>1</w:t>
            </w:r>
            <w:r>
              <w:rPr>
                <w:webHidden/>
              </w:rPr>
              <w:fldChar w:fldCharType="end"/>
            </w:r>
          </w:hyperlink>
        </w:p>
        <w:p>
          <w:pPr>
            <w:pStyle w:val="Tabledesmatiresniveau1"/>
            <w:tabs>
              <w:tab w:val="clear" w:pos="708"/>
              <w:tab w:val="left" w:pos="440" w:leader="none"/>
              <w:tab w:val="right" w:pos="9062" w:leader="dot"/>
            </w:tabs>
            <w:rPr>
              <w:rFonts w:eastAsia="" w:eastAsiaTheme="minorEastAsia"/>
              <w:lang w:eastAsia="fr-CH"/>
            </w:rPr>
          </w:pPr>
          <w:hyperlink w:anchor="_Toc123243891">
            <w:r>
              <w:rPr>
                <w:webHidden/>
                <w:rStyle w:val="Sautdindex"/>
                <w:vanish w:val="false"/>
              </w:rPr>
              <w:t>3</w:t>
            </w:r>
            <w:r>
              <w:rPr>
                <w:rStyle w:val="Sautdindex"/>
                <w:rFonts w:eastAsia="" w:eastAsiaTheme="minorEastAsia"/>
                <w:lang w:eastAsia="fr-CH"/>
              </w:rPr>
              <w:tab/>
            </w:r>
            <w:r>
              <w:rPr>
                <w:rStyle w:val="Sautdindex"/>
              </w:rPr>
              <w:t>Références</w:t>
            </w:r>
            <w:r>
              <w:rPr>
                <w:webHidden/>
              </w:rPr>
              <w:fldChar w:fldCharType="begin"/>
            </w:r>
            <w:r>
              <w:rPr>
                <w:webHidden/>
              </w:rPr>
              <w:instrText xml:space="preserve">PAGEREF _Toc123243891 \h</w:instrText>
            </w:r>
            <w:r>
              <w:rPr>
                <w:webHidden/>
              </w:rPr>
              <w:fldChar w:fldCharType="separate"/>
            </w:r>
            <w:r>
              <w:rPr>
                <w:rStyle w:val="Sautdindex"/>
                <w:vanish w:val="false"/>
              </w:rPr>
              <w:tab/>
              <w:t>1</w:t>
            </w:r>
            <w:r>
              <w:rPr>
                <w:webHidden/>
              </w:rPr>
              <w:fldChar w:fldCharType="end"/>
            </w:r>
          </w:hyperlink>
        </w:p>
        <w:p>
          <w:pPr>
            <w:pStyle w:val="Tabledesmatiresniveau1"/>
            <w:tabs>
              <w:tab w:val="clear" w:pos="708"/>
              <w:tab w:val="left" w:pos="440" w:leader="none"/>
              <w:tab w:val="right" w:pos="9062" w:leader="dot"/>
            </w:tabs>
            <w:rPr>
              <w:rFonts w:eastAsia="" w:eastAsiaTheme="minorEastAsia"/>
              <w:lang w:eastAsia="fr-CH"/>
            </w:rPr>
          </w:pPr>
          <w:hyperlink w:anchor="_Toc123243892">
            <w:r>
              <w:rPr>
                <w:webHidden/>
                <w:rStyle w:val="Sautdindex"/>
                <w:vanish w:val="false"/>
              </w:rPr>
              <w:t>4</w:t>
            </w:r>
            <w:r>
              <w:rPr>
                <w:rStyle w:val="Sautdindex"/>
                <w:rFonts w:eastAsia="" w:eastAsiaTheme="minorEastAsia"/>
                <w:lang w:eastAsia="fr-CH"/>
              </w:rPr>
              <w:tab/>
            </w:r>
            <w:r>
              <w:rPr>
                <w:rStyle w:val="Sautdindex"/>
              </w:rPr>
              <w:t>Définition de la volatilité</w:t>
            </w:r>
            <w:r>
              <w:rPr>
                <w:webHidden/>
              </w:rPr>
              <w:fldChar w:fldCharType="begin"/>
            </w:r>
            <w:r>
              <w:rPr>
                <w:webHidden/>
              </w:rPr>
              <w:instrText xml:space="preserve">PAGEREF _Toc123243892 \h</w:instrText>
            </w:r>
            <w:r>
              <w:rPr>
                <w:webHidden/>
              </w:rPr>
              <w:fldChar w:fldCharType="separate"/>
            </w:r>
            <w:r>
              <w:rPr>
                <w:rStyle w:val="Sautdindex"/>
                <w:vanish w:val="false"/>
              </w:rPr>
              <w:tab/>
              <w:t>2</w:t>
            </w:r>
            <w:r>
              <w:rPr>
                <w:webHidden/>
              </w:rPr>
              <w:fldChar w:fldCharType="end"/>
            </w:r>
          </w:hyperlink>
        </w:p>
        <w:p>
          <w:pPr>
            <w:pStyle w:val="Tabledesmatiresniveau1"/>
            <w:tabs>
              <w:tab w:val="clear" w:pos="708"/>
              <w:tab w:val="left" w:pos="440" w:leader="none"/>
              <w:tab w:val="right" w:pos="9062" w:leader="dot"/>
            </w:tabs>
            <w:rPr>
              <w:rFonts w:eastAsia="" w:eastAsiaTheme="minorEastAsia"/>
              <w:lang w:eastAsia="fr-CH"/>
            </w:rPr>
          </w:pPr>
          <w:hyperlink w:anchor="_Toc123243893">
            <w:r>
              <w:rPr>
                <w:webHidden/>
                <w:rStyle w:val="Sautdindex"/>
                <w:vanish w:val="false"/>
              </w:rPr>
              <w:t>5</w:t>
            </w:r>
            <w:r>
              <w:rPr>
                <w:rStyle w:val="Sautdindex"/>
                <w:rFonts w:eastAsia="" w:eastAsiaTheme="minorEastAsia"/>
                <w:lang w:eastAsia="fr-CH"/>
              </w:rPr>
              <w:tab/>
            </w:r>
            <w:r>
              <w:rPr>
                <w:rStyle w:val="Sautdindex"/>
              </w:rPr>
              <w:t>Estimation de la volatilité</w:t>
            </w:r>
            <w:r>
              <w:rPr>
                <w:webHidden/>
              </w:rPr>
              <w:fldChar w:fldCharType="begin"/>
            </w:r>
            <w:r>
              <w:rPr>
                <w:webHidden/>
              </w:rPr>
              <w:instrText xml:space="preserve">PAGEREF _Toc123243893 \h</w:instrText>
            </w:r>
            <w:r>
              <w:rPr>
                <w:webHidden/>
              </w:rPr>
              <w:fldChar w:fldCharType="separate"/>
            </w:r>
            <w:r>
              <w:rPr>
                <w:rStyle w:val="Sautdindex"/>
                <w:vanish w:val="false"/>
              </w:rPr>
              <w:tab/>
              <w:t>3</w:t>
            </w:r>
            <w:r>
              <w:rPr>
                <w:webHidden/>
              </w:rPr>
              <w:fldChar w:fldCharType="end"/>
            </w:r>
          </w:hyperlink>
        </w:p>
        <w:p>
          <w:pPr>
            <w:pStyle w:val="Tabledesmatiresniveau1"/>
            <w:tabs>
              <w:tab w:val="clear" w:pos="708"/>
              <w:tab w:val="left" w:pos="440" w:leader="none"/>
              <w:tab w:val="right" w:pos="9062" w:leader="dot"/>
            </w:tabs>
            <w:rPr>
              <w:rFonts w:eastAsia="" w:eastAsiaTheme="minorEastAsia"/>
              <w:lang w:eastAsia="fr-CH"/>
            </w:rPr>
          </w:pPr>
          <w:hyperlink w:anchor="_Toc123243894">
            <w:r>
              <w:rPr>
                <w:webHidden/>
                <w:rStyle w:val="Sautdindex"/>
                <w:vanish w:val="false"/>
              </w:rPr>
              <w:t>6</w:t>
            </w:r>
            <w:r>
              <w:rPr>
                <w:rStyle w:val="Sautdindex"/>
                <w:rFonts w:eastAsia="" w:eastAsiaTheme="minorEastAsia"/>
                <w:lang w:eastAsia="fr-CH"/>
              </w:rPr>
              <w:tab/>
            </w:r>
            <w:r>
              <w:rPr>
                <w:rStyle w:val="Sautdindex"/>
              </w:rPr>
              <w:t>Spéculer sur la volatilité</w:t>
            </w:r>
            <w:r>
              <w:rPr>
                <w:webHidden/>
              </w:rPr>
              <w:fldChar w:fldCharType="begin"/>
            </w:r>
            <w:r>
              <w:rPr>
                <w:webHidden/>
              </w:rPr>
              <w:instrText xml:space="preserve">PAGEREF _Toc123243894 \h</w:instrText>
            </w:r>
            <w:r>
              <w:rPr>
                <w:webHidden/>
              </w:rPr>
              <w:fldChar w:fldCharType="separate"/>
            </w:r>
            <w:r>
              <w:rPr>
                <w:rStyle w:val="Sautdindex"/>
                <w:vanish w:val="false"/>
              </w:rPr>
              <w:tab/>
              <w:t>4</w:t>
            </w:r>
            <w:r>
              <w:rPr>
                <w:webHidden/>
              </w:rPr>
              <w:fldChar w:fldCharType="end"/>
            </w:r>
          </w:hyperlink>
        </w:p>
        <w:p>
          <w:pPr>
            <w:pStyle w:val="Tabledesmatiresniveau1"/>
            <w:tabs>
              <w:tab w:val="clear" w:pos="708"/>
              <w:tab w:val="left" w:pos="440" w:leader="none"/>
              <w:tab w:val="right" w:pos="9062" w:leader="dot"/>
            </w:tabs>
            <w:rPr>
              <w:rFonts w:eastAsia="" w:eastAsiaTheme="minorEastAsia"/>
              <w:lang w:eastAsia="fr-CH"/>
            </w:rPr>
          </w:pPr>
          <w:hyperlink w:anchor="_Toc123243895">
            <w:r>
              <w:rPr>
                <w:webHidden/>
                <w:rStyle w:val="Sautdindex"/>
                <w:vanish w:val="false"/>
              </w:rPr>
              <w:t>7</w:t>
            </w:r>
            <w:r>
              <w:rPr>
                <w:rStyle w:val="Sautdindex"/>
                <w:rFonts w:eastAsia="" w:eastAsiaTheme="minorEastAsia"/>
                <w:lang w:eastAsia="fr-CH"/>
              </w:rPr>
              <w:tab/>
            </w:r>
            <w:r>
              <w:rPr>
                <w:rStyle w:val="Sautdindex"/>
              </w:rPr>
              <w:t>Annexe : Calcul du IV par IBKR dans la TWS (page Option Chain)</w:t>
            </w:r>
            <w:r>
              <w:rPr>
                <w:webHidden/>
              </w:rPr>
              <w:fldChar w:fldCharType="begin"/>
            </w:r>
            <w:r>
              <w:rPr>
                <w:webHidden/>
              </w:rPr>
              <w:instrText xml:space="preserve">PAGEREF _Toc123243895 \h</w:instrText>
            </w:r>
            <w:r>
              <w:rPr>
                <w:webHidden/>
              </w:rPr>
              <w:fldChar w:fldCharType="separate"/>
            </w:r>
            <w:r>
              <w:rPr>
                <w:rStyle w:val="Sautdindex"/>
                <w:vanish w:val="false"/>
              </w:rPr>
              <w:tab/>
              <w:t>5</w:t>
            </w:r>
            <w:r>
              <w:rPr>
                <w:webHidden/>
              </w:rPr>
              <w:fldChar w:fldCharType="end"/>
            </w:r>
          </w:hyperlink>
        </w:p>
        <w:p>
          <w:pPr>
            <w:pStyle w:val="Normal"/>
            <w:pBdr>
              <w:bottom w:val="single" w:sz="6" w:space="1" w:color="000000"/>
            </w:pBdr>
            <w:rPr/>
          </w:pPr>
          <w:r>
            <w:rPr/>
          </w:r>
          <w:r>
            <w:rPr/>
            <w:fldChar w:fldCharType="end"/>
          </w:r>
        </w:p>
      </w:sdtContent>
    </w:sdt>
    <w:p>
      <w:pPr>
        <w:pStyle w:val="Normal"/>
        <w:rPr/>
      </w:pPr>
      <w:r>
        <w:rPr/>
      </w:r>
    </w:p>
    <w:p>
      <w:pPr>
        <w:pStyle w:val="Titre1"/>
        <w:rPr/>
      </w:pPr>
      <w:bookmarkStart w:id="0" w:name="_Toc123243889"/>
      <w:r>
        <w:rPr/>
        <w:t>Modifications du document</w:t>
      </w:r>
      <w:bookmarkEnd w:id="0"/>
    </w:p>
    <w:p>
      <w:pPr>
        <w:pStyle w:val="Normal"/>
        <w:rPr/>
      </w:pPr>
      <w:r>
        <w:rPr>
          <w:rFonts w:ascii="Verdana" w:hAnsi="Verdana"/>
          <w:sz w:val="24"/>
          <w:szCs w:val="24"/>
        </w:rPr>
        <w:t>Date de création : 29.12.2022</w:t>
      </w:r>
    </w:p>
    <w:p>
      <w:pPr>
        <w:pStyle w:val="Titre1"/>
        <w:rPr/>
      </w:pPr>
      <w:bookmarkStart w:id="1" w:name="_Toc123243890"/>
      <w:r>
        <w:rPr/>
        <w:t>Objectif du document</w:t>
      </w:r>
      <w:bookmarkEnd w:id="1"/>
    </w:p>
    <w:p>
      <w:pPr>
        <w:pStyle w:val="Normal"/>
        <w:rPr>
          <w:rFonts w:ascii="Verdana" w:hAnsi="Verdana"/>
          <w:sz w:val="24"/>
          <w:szCs w:val="24"/>
        </w:rPr>
      </w:pPr>
      <w:r>
        <w:rPr>
          <w:rFonts w:ascii="Verdana" w:hAnsi="Verdana"/>
          <w:sz w:val="24"/>
          <w:szCs w:val="24"/>
        </w:rPr>
        <w:t>En synthétisant les sources listées dans le chapitre Références :</w:t>
      </w:r>
    </w:p>
    <w:p>
      <w:pPr>
        <w:pStyle w:val="ListParagraph"/>
        <w:numPr>
          <w:ilvl w:val="0"/>
          <w:numId w:val="5"/>
        </w:numPr>
        <w:rPr>
          <w:rFonts w:ascii="Verdana" w:hAnsi="Verdana"/>
          <w:sz w:val="24"/>
          <w:szCs w:val="24"/>
        </w:rPr>
      </w:pPr>
      <w:r>
        <w:rPr>
          <w:rFonts w:ascii="Verdana" w:hAnsi="Verdana"/>
          <w:sz w:val="24"/>
          <w:szCs w:val="24"/>
        </w:rPr>
        <w:t>Identifier les opportunités de spéculation</w:t>
      </w:r>
    </w:p>
    <w:p>
      <w:pPr>
        <w:pStyle w:val="ListParagraph"/>
        <w:numPr>
          <w:ilvl w:val="0"/>
          <w:numId w:val="5"/>
        </w:numPr>
        <w:rPr>
          <w:rFonts w:ascii="Verdana" w:hAnsi="Verdana"/>
          <w:sz w:val="24"/>
          <w:szCs w:val="24"/>
        </w:rPr>
      </w:pPr>
      <w:r>
        <w:rPr>
          <w:rFonts w:ascii="Verdana" w:hAnsi="Verdana"/>
          <w:sz w:val="24"/>
          <w:szCs w:val="24"/>
        </w:rPr>
        <w:t>Définir comment spéculer de façon adaptée à mon rythme de spéculation (une-deux fois dans la semaine)</w:t>
      </w:r>
    </w:p>
    <w:p>
      <w:pPr>
        <w:pStyle w:val="ListParagraph"/>
        <w:numPr>
          <w:ilvl w:val="0"/>
          <w:numId w:val="5"/>
        </w:numPr>
        <w:rPr>
          <w:rFonts w:ascii="Verdana" w:hAnsi="Verdana"/>
          <w:sz w:val="24"/>
          <w:szCs w:val="24"/>
        </w:rPr>
      </w:pPr>
      <w:r>
        <w:rPr>
          <w:rFonts w:ascii="Verdana" w:hAnsi="Verdana"/>
          <w:sz w:val="24"/>
          <w:szCs w:val="24"/>
        </w:rPr>
        <w:t>Estimer le risque maximum et gérer le risque</w:t>
      </w:r>
    </w:p>
    <w:p>
      <w:pPr>
        <w:pStyle w:val="ListParagraph"/>
        <w:numPr>
          <w:ilvl w:val="0"/>
          <w:numId w:val="5"/>
        </w:numPr>
        <w:rPr>
          <w:rFonts w:ascii="Verdana" w:hAnsi="Verdana"/>
          <w:sz w:val="24"/>
          <w:szCs w:val="24"/>
        </w:rPr>
      </w:pPr>
      <w:r>
        <w:rPr>
          <w:rFonts w:ascii="Verdana" w:hAnsi="Verdana"/>
          <w:sz w:val="24"/>
          <w:szCs w:val="24"/>
        </w:rPr>
        <w:t>Définir le rendement sur investissement</w:t>
      </w:r>
    </w:p>
    <w:p>
      <w:pPr>
        <w:pStyle w:val="Normal"/>
        <w:rPr/>
      </w:pPr>
      <w:r>
        <w:rPr/>
      </w:r>
    </w:p>
    <w:p>
      <w:pPr>
        <w:pStyle w:val="Titre1"/>
        <w:rPr/>
      </w:pPr>
      <w:bookmarkStart w:id="2" w:name="_Toc123243891"/>
      <w:r>
        <w:rPr/>
        <w:t>Références</w:t>
      </w:r>
      <w:bookmarkEnd w:id="2"/>
    </w:p>
    <w:tbl>
      <w:tblPr>
        <w:tblStyle w:val="Grilledutableau"/>
        <w:tblW w:w="916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59"/>
        <w:gridCol w:w="3153"/>
        <w:gridCol w:w="1944"/>
        <w:gridCol w:w="1659"/>
        <w:gridCol w:w="896"/>
        <w:gridCol w:w="949"/>
      </w:tblGrid>
      <w:tr>
        <w:trPr/>
        <w:tc>
          <w:tcPr>
            <w:tcW w:w="559"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N°</w:t>
            </w:r>
          </w:p>
        </w:tc>
        <w:tc>
          <w:tcPr>
            <w:tcW w:w="3153"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Titre</w:t>
            </w:r>
          </w:p>
        </w:tc>
        <w:tc>
          <w:tcPr>
            <w:tcW w:w="1944"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Auteur</w:t>
            </w:r>
          </w:p>
        </w:tc>
        <w:tc>
          <w:tcPr>
            <w:tcW w:w="1659"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Edition</w:t>
            </w:r>
          </w:p>
        </w:tc>
        <w:tc>
          <w:tcPr>
            <w:tcW w:w="896"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Disp.</w:t>
            </w:r>
          </w:p>
        </w:tc>
        <w:tc>
          <w:tcPr>
            <w:tcW w:w="949"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Date</w:t>
            </w:r>
          </w:p>
        </w:tc>
      </w:tr>
      <w:tr>
        <w:trPr/>
        <w:tc>
          <w:tcPr>
            <w:tcW w:w="55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1</w:t>
            </w:r>
          </w:p>
        </w:tc>
        <w:tc>
          <w:tcPr>
            <w:tcW w:w="3153"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Option, Volatility and Pricing</w:t>
            </w:r>
          </w:p>
        </w:tc>
        <w:tc>
          <w:tcPr>
            <w:tcW w:w="1944"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S. Natenberg</w:t>
            </w:r>
          </w:p>
        </w:tc>
        <w:tc>
          <w:tcPr>
            <w:tcW w:w="165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2ème édition</w:t>
            </w:r>
          </w:p>
        </w:tc>
        <w:tc>
          <w:tcPr>
            <w:tcW w:w="896"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X</w:t>
            </w:r>
          </w:p>
        </w:tc>
        <w:tc>
          <w:tcPr>
            <w:tcW w:w="94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2014</w:t>
            </w:r>
          </w:p>
        </w:tc>
      </w:tr>
      <w:tr>
        <w:trPr/>
        <w:tc>
          <w:tcPr>
            <w:tcW w:w="55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w:t>
            </w:r>
          </w:p>
        </w:tc>
        <w:tc>
          <w:tcPr>
            <w:tcW w:w="3153"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fr-CH" w:eastAsia="en-US" w:bidi="ar-SA"/>
              </w:rPr>
              <w:t>Options as Strategic investment</w:t>
            </w:r>
          </w:p>
        </w:tc>
        <w:tc>
          <w:tcPr>
            <w:tcW w:w="1944"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fr-CH" w:eastAsia="en-US" w:bidi="ar-SA"/>
              </w:rPr>
              <w:t>L. McMillan</w:t>
            </w:r>
          </w:p>
        </w:tc>
        <w:tc>
          <w:tcPr>
            <w:tcW w:w="165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5ème édition</w:t>
            </w:r>
          </w:p>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2012</w:t>
            </w:r>
          </w:p>
        </w:tc>
        <w:tc>
          <w:tcPr>
            <w:tcW w:w="896"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4th</w:t>
            </w:r>
          </w:p>
        </w:tc>
        <w:tc>
          <w:tcPr>
            <w:tcW w:w="94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2002</w:t>
            </w:r>
          </w:p>
        </w:tc>
      </w:tr>
      <w:tr>
        <w:trPr/>
        <w:tc>
          <w:tcPr>
            <w:tcW w:w="55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3</w:t>
            </w:r>
          </w:p>
        </w:tc>
        <w:tc>
          <w:tcPr>
            <w:tcW w:w="3153"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Volatility Trading</w:t>
            </w:r>
          </w:p>
        </w:tc>
        <w:tc>
          <w:tcPr>
            <w:tcW w:w="1944"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Euan Sinclair</w:t>
            </w:r>
          </w:p>
        </w:tc>
        <w:tc>
          <w:tcPr>
            <w:tcW w:w="165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2nde édition</w:t>
            </w:r>
          </w:p>
        </w:tc>
        <w:tc>
          <w:tcPr>
            <w:tcW w:w="896"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X</w:t>
            </w:r>
          </w:p>
        </w:tc>
        <w:tc>
          <w:tcPr>
            <w:tcW w:w="94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2013</w:t>
            </w:r>
          </w:p>
        </w:tc>
      </w:tr>
      <w:tr>
        <w:trPr/>
        <w:tc>
          <w:tcPr>
            <w:tcW w:w="559"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4</w:t>
            </w:r>
          </w:p>
        </w:tc>
        <w:tc>
          <w:tcPr>
            <w:tcW w:w="3153" w:type="dxa"/>
            <w:tcBorders/>
          </w:tcPr>
          <w:p>
            <w:pPr>
              <w:pStyle w:val="Normal"/>
              <w:widowControl w:val="false"/>
              <w:suppressAutoHyphens w:val="true"/>
              <w:spacing w:lineRule="auto" w:line="240" w:before="0" w:after="0"/>
              <w:jc w:val="left"/>
              <w:rPr>
                <w:rFonts w:ascii="Verdana" w:hAnsi="Verdana"/>
                <w:b/>
                <w:bCs/>
                <w:sz w:val="24"/>
                <w:szCs w:val="24"/>
              </w:rPr>
            </w:pPr>
            <w:r>
              <w:rPr>
                <w:rFonts w:eastAsia="Calibri" w:cs="" w:ascii="Verdana" w:hAnsi="Verdana"/>
                <w:b/>
                <w:bCs/>
                <w:kern w:val="0"/>
                <w:sz w:val="24"/>
                <w:szCs w:val="24"/>
                <w:lang w:val="fr-CH" w:eastAsia="en-US" w:bidi="ar-SA"/>
              </w:rPr>
              <w:t>Options, Futures and other derivatives</w:t>
            </w:r>
          </w:p>
        </w:tc>
        <w:tc>
          <w:tcPr>
            <w:tcW w:w="1944"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John C. Hull</w:t>
            </w:r>
          </w:p>
        </w:tc>
        <w:tc>
          <w:tcPr>
            <w:tcW w:w="1659"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11</w:t>
            </w:r>
            <w:r>
              <w:rPr>
                <w:rFonts w:eastAsia="Calibri" w:cs="" w:ascii="Verdana" w:hAnsi="Verdana"/>
                <w:kern w:val="0"/>
                <w:sz w:val="24"/>
                <w:szCs w:val="24"/>
                <w:vertAlign w:val="superscript"/>
                <w:lang w:val="fr-CH" w:eastAsia="en-US" w:bidi="ar-SA"/>
              </w:rPr>
              <w:t>ème</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Édition</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2021</w:t>
            </w:r>
          </w:p>
        </w:tc>
        <w:tc>
          <w:tcPr>
            <w:tcW w:w="896"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9th</w:t>
            </w:r>
          </w:p>
        </w:tc>
        <w:tc>
          <w:tcPr>
            <w:tcW w:w="949"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2014</w:t>
            </w:r>
          </w:p>
        </w:tc>
      </w:tr>
      <w:tr>
        <w:trPr/>
        <w:tc>
          <w:tcPr>
            <w:tcW w:w="559"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5</w:t>
            </w:r>
          </w:p>
        </w:tc>
        <w:tc>
          <w:tcPr>
            <w:tcW w:w="3153" w:type="dxa"/>
            <w:tcBorders/>
          </w:tcPr>
          <w:p>
            <w:pPr>
              <w:pStyle w:val="Normal"/>
              <w:widowControl w:val="false"/>
              <w:suppressAutoHyphens w:val="true"/>
              <w:spacing w:lineRule="auto" w:line="240" w:before="0" w:after="0"/>
              <w:jc w:val="left"/>
              <w:rPr>
                <w:rFonts w:ascii="Verdana" w:hAnsi="Verdana"/>
                <w:sz w:val="24"/>
                <w:szCs w:val="24"/>
              </w:rPr>
            </w:pPr>
            <w:hyperlink r:id="rId2">
              <w:r>
                <w:rPr>
                  <w:rStyle w:val="LienInternet"/>
                  <w:rFonts w:eastAsia="Calibri" w:cs=""/>
                  <w:kern w:val="0"/>
                  <w:sz w:val="22"/>
                  <w:szCs w:val="22"/>
                  <w:lang w:val="fr-CH" w:eastAsia="en-US" w:bidi="ar-SA"/>
                </w:rPr>
                <w:t>(13) ULTIMATE Guide to Selling Options Profitably PART 5 - Diving Deep into Volatility (Important) : options (reddit.com)</w:t>
              </w:r>
            </w:hyperlink>
          </w:p>
        </w:tc>
        <w:tc>
          <w:tcPr>
            <w:tcW w:w="1944" w:type="dxa"/>
            <w:tcBorders/>
          </w:tcPr>
          <w:p>
            <w:pPr>
              <w:pStyle w:val="Normal"/>
              <w:widowControl w:val="false"/>
              <w:shd w:val="clear" w:color="auto" w:fill="FFFFFF"/>
              <w:suppressAutoHyphens w:val="true"/>
              <w:spacing w:lineRule="auto" w:line="259" w:before="0" w:after="160"/>
              <w:jc w:val="left"/>
              <w:textAlignment w:val="baseline"/>
              <w:rPr>
                <w:rFonts w:ascii="Arial" w:hAnsi="Arial" w:cs="Arial"/>
                <w:color w:val="878A8C"/>
                <w:sz w:val="18"/>
                <w:szCs w:val="18"/>
              </w:rPr>
            </w:pPr>
            <w:hyperlink r:id="rId3">
              <w:r>
                <w:rPr>
                  <w:rStyle w:val="LienInternet"/>
                  <w:rFonts w:eastAsia="Calibri" w:cs="Arial" w:ascii="inherit" w:hAnsi="inherit"/>
                  <w:color w:val="787C7E"/>
                  <w:kern w:val="0"/>
                  <w:sz w:val="18"/>
                  <w:szCs w:val="18"/>
                  <w:lang w:val="fr-CH" w:eastAsia="en-US" w:bidi="ar-SA"/>
                </w:rPr>
                <w:t>u/AlphaGiveth</w:t>
              </w:r>
            </w:hyperlink>
          </w:p>
        </w:tc>
        <w:tc>
          <w:tcPr>
            <w:tcW w:w="1659" w:type="dxa"/>
            <w:tcBorders/>
          </w:tcPr>
          <w:p>
            <w:pPr>
              <w:pStyle w:val="Normal"/>
              <w:widowControl w:val="false"/>
              <w:suppressAutoHyphens w:val="true"/>
              <w:spacing w:lineRule="auto" w:line="240" w:before="0" w:after="0"/>
              <w:jc w:val="left"/>
              <w:rPr>
                <w:rFonts w:ascii="Verdana" w:hAnsi="Verdana"/>
                <w:sz w:val="24"/>
                <w:szCs w:val="24"/>
              </w:rPr>
            </w:pPr>
            <w:r>
              <w:rPr>
                <w:rFonts w:ascii="Verdana" w:hAnsi="Verdana"/>
                <w:sz w:val="24"/>
                <w:szCs w:val="24"/>
              </w:rPr>
            </w:r>
          </w:p>
        </w:tc>
        <w:tc>
          <w:tcPr>
            <w:tcW w:w="896" w:type="dxa"/>
            <w:tcBorders/>
          </w:tcPr>
          <w:p>
            <w:pPr>
              <w:pStyle w:val="Normal"/>
              <w:widowControl w:val="false"/>
              <w:suppressAutoHyphens w:val="true"/>
              <w:spacing w:lineRule="auto" w:line="240" w:before="0" w:after="0"/>
              <w:jc w:val="left"/>
              <w:rPr>
                <w:rFonts w:ascii="Verdana" w:hAnsi="Verdana"/>
                <w:sz w:val="24"/>
                <w:szCs w:val="24"/>
              </w:rPr>
            </w:pPr>
            <w:r>
              <w:rPr>
                <w:rFonts w:ascii="Verdana" w:hAnsi="Verdana"/>
                <w:sz w:val="24"/>
                <w:szCs w:val="24"/>
              </w:rPr>
            </w:r>
          </w:p>
        </w:tc>
        <w:tc>
          <w:tcPr>
            <w:tcW w:w="949"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2021</w:t>
            </w:r>
          </w:p>
        </w:tc>
      </w:tr>
    </w:tbl>
    <w:p>
      <w:pPr>
        <w:pStyle w:val="Normal"/>
        <w:rPr>
          <w:rFonts w:ascii="Verdana" w:hAnsi="Verdana"/>
          <w:sz w:val="24"/>
          <w:szCs w:val="24"/>
        </w:rPr>
      </w:pPr>
      <w:r>
        <w:rPr>
          <w:rFonts w:ascii="Verdana" w:hAnsi="Verdana"/>
          <w:sz w:val="24"/>
          <w:szCs w:val="24"/>
        </w:rPr>
      </w:r>
    </w:p>
    <w:p>
      <w:pPr>
        <w:pStyle w:val="Normal"/>
        <w:rPr>
          <w:rFonts w:ascii="Verdana" w:hAnsi="Verdana"/>
          <w:sz w:val="24"/>
          <w:szCs w:val="24"/>
        </w:rPr>
      </w:pPr>
      <w:r>
        <w:rPr>
          <w:rFonts w:ascii="Verdana" w:hAnsi="Verdana"/>
          <w:sz w:val="24"/>
          <w:szCs w:val="24"/>
        </w:rPr>
      </w:r>
    </w:p>
    <w:p>
      <w:pPr>
        <w:pStyle w:val="Normal"/>
        <w:rPr>
          <w:rFonts w:ascii="Verdana" w:hAnsi="Verdana"/>
          <w:sz w:val="24"/>
          <w:szCs w:val="24"/>
        </w:rPr>
      </w:pPr>
      <w:r>
        <w:rPr>
          <w:rFonts w:ascii="Verdana" w:hAnsi="Verdana"/>
          <w:sz w:val="24"/>
          <w:szCs w:val="24"/>
        </w:rPr>
      </w:r>
    </w:p>
    <w:tbl>
      <w:tblPr>
        <w:tblStyle w:val="Grilledutableau"/>
        <w:tblW w:w="906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61"/>
        <w:gridCol w:w="3335"/>
        <w:gridCol w:w="5171"/>
      </w:tblGrid>
      <w:tr>
        <w:trPr/>
        <w:tc>
          <w:tcPr>
            <w:tcW w:w="561"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N°</w:t>
            </w:r>
          </w:p>
        </w:tc>
        <w:tc>
          <w:tcPr>
            <w:tcW w:w="3335"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Titre</w:t>
            </w:r>
          </w:p>
        </w:tc>
        <w:tc>
          <w:tcPr>
            <w:tcW w:w="5171"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Chapitres - Pages</w:t>
            </w:r>
          </w:p>
        </w:tc>
      </w:tr>
      <w:tr>
        <w:trPr/>
        <w:tc>
          <w:tcPr>
            <w:tcW w:w="561"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1</w:t>
            </w:r>
          </w:p>
        </w:tc>
        <w:tc>
          <w:tcPr>
            <w:tcW w:w="3335"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Option, Volatility and Pricing</w:t>
            </w:r>
          </w:p>
        </w:tc>
        <w:tc>
          <w:tcPr>
            <w:tcW w:w="5171"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6 Volatility</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Définition, Realized vs. Implied, impact sur prix</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11 Volatility Spreads</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20 Volatility revisited</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Fwd volatility, term structure,…</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24 Volatility Skew</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25 Volatility contracts</w:t>
            </w:r>
          </w:p>
        </w:tc>
      </w:tr>
      <w:tr>
        <w:trPr/>
        <w:tc>
          <w:tcPr>
            <w:tcW w:w="561"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2</w:t>
            </w:r>
          </w:p>
        </w:tc>
        <w:tc>
          <w:tcPr>
            <w:tcW w:w="3335"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fr-CH" w:eastAsia="en-US" w:bidi="ar-SA"/>
              </w:rPr>
              <w:t>Options as Strategic investment</w:t>
            </w:r>
          </w:p>
        </w:tc>
        <w:tc>
          <w:tcPr>
            <w:tcW w:w="5171"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36 Basics of Volatility trading</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37 How volatility affect popular strategies</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38 Distribution of Stock prices</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39 Volatility trading techniques</w:t>
            </w:r>
          </w:p>
        </w:tc>
      </w:tr>
      <w:tr>
        <w:trPr/>
        <w:tc>
          <w:tcPr>
            <w:tcW w:w="561"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3</w:t>
            </w:r>
          </w:p>
        </w:tc>
        <w:tc>
          <w:tcPr>
            <w:tcW w:w="3335" w:type="dxa"/>
            <w:tcBorders/>
          </w:tcPr>
          <w:p>
            <w:pPr>
              <w:pStyle w:val="Normal"/>
              <w:widowControl w:val="false"/>
              <w:suppressAutoHyphens w:val="true"/>
              <w:spacing w:lineRule="auto" w:line="240" w:before="0" w:after="0"/>
              <w:jc w:val="left"/>
              <w:rPr>
                <w:rFonts w:ascii="Verdana" w:hAnsi="Verdana"/>
                <w:b/>
                <w:bCs/>
                <w:sz w:val="24"/>
                <w:szCs w:val="24"/>
                <w:lang w:val="de-CH"/>
              </w:rPr>
            </w:pPr>
            <w:r>
              <w:rPr>
                <w:rFonts w:eastAsia="Calibri" w:cs="" w:ascii="Verdana" w:hAnsi="Verdana"/>
                <w:b/>
                <w:bCs/>
                <w:kern w:val="0"/>
                <w:sz w:val="24"/>
                <w:szCs w:val="24"/>
                <w:lang w:val="de-CH" w:eastAsia="en-US" w:bidi="ar-SA"/>
              </w:rPr>
              <w:t>Volatility Trading</w:t>
            </w:r>
          </w:p>
        </w:tc>
        <w:tc>
          <w:tcPr>
            <w:tcW w:w="5171" w:type="dxa"/>
            <w:tcBorders/>
          </w:tcPr>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Ch.2 Volatility measurement</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3 Stylized facts about volatility</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4 Volatility forecasting</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5 Implied volatility dynamics</w:t>
            </w:r>
          </w:p>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Ch. 6 Hedging</w:t>
            </w:r>
          </w:p>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Ch. 11 Generating returns through volatility</w:t>
            </w:r>
          </w:p>
        </w:tc>
      </w:tr>
      <w:tr>
        <w:trPr/>
        <w:tc>
          <w:tcPr>
            <w:tcW w:w="561"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4</w:t>
            </w:r>
          </w:p>
        </w:tc>
        <w:tc>
          <w:tcPr>
            <w:tcW w:w="3335" w:type="dxa"/>
            <w:tcBorders/>
          </w:tcPr>
          <w:p>
            <w:pPr>
              <w:pStyle w:val="Normal"/>
              <w:widowControl w:val="false"/>
              <w:suppressAutoHyphens w:val="true"/>
              <w:spacing w:lineRule="auto" w:line="240" w:before="0" w:after="0"/>
              <w:jc w:val="left"/>
              <w:rPr>
                <w:rFonts w:ascii="Verdana" w:hAnsi="Verdana"/>
                <w:b/>
                <w:bCs/>
                <w:sz w:val="24"/>
                <w:szCs w:val="24"/>
              </w:rPr>
            </w:pPr>
            <w:r>
              <w:rPr>
                <w:rFonts w:eastAsia="Calibri" w:cs="" w:ascii="Verdana" w:hAnsi="Verdana"/>
                <w:b/>
                <w:bCs/>
                <w:kern w:val="0"/>
                <w:sz w:val="24"/>
                <w:szCs w:val="24"/>
                <w:lang w:val="fr-CH" w:eastAsia="en-US" w:bidi="ar-SA"/>
              </w:rPr>
              <w:t>Options, Futures and other derivatives</w:t>
            </w:r>
          </w:p>
        </w:tc>
        <w:tc>
          <w:tcPr>
            <w:tcW w:w="5171" w:type="dxa"/>
            <w:tcBorders/>
          </w:tcPr>
          <w:p>
            <w:pPr>
              <w:pStyle w:val="Normal"/>
              <w:widowControl w:val="false"/>
              <w:suppressAutoHyphens w:val="true"/>
              <w:spacing w:lineRule="auto" w:line="240" w:before="0" w:after="0"/>
              <w:jc w:val="left"/>
              <w:rPr>
                <w:rFonts w:ascii="Verdana" w:hAnsi="Verdana"/>
                <w:sz w:val="24"/>
                <w:szCs w:val="24"/>
                <w:lang w:val="de-CH"/>
              </w:rPr>
            </w:pPr>
            <w:r>
              <w:rPr>
                <w:rFonts w:eastAsia="Calibri" w:cs="" w:ascii="Verdana" w:hAnsi="Verdana"/>
                <w:kern w:val="0"/>
                <w:sz w:val="24"/>
                <w:szCs w:val="24"/>
                <w:lang w:val="de-CH" w:eastAsia="en-US" w:bidi="ar-SA"/>
              </w:rPr>
              <w:t>Ch. 14 Wiener processes and Ito lemma</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20 Volatility smiles</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23 Estimating volatilities and correlation</w:t>
            </w:r>
          </w:p>
          <w:p>
            <w:pPr>
              <w:pStyle w:val="Normal"/>
              <w:widowControl w:val="false"/>
              <w:suppressAutoHyphens w:val="true"/>
              <w:spacing w:lineRule="auto" w:line="240" w:before="0" w:after="0"/>
              <w:jc w:val="left"/>
              <w:rPr>
                <w:rFonts w:ascii="Verdana" w:hAnsi="Verdana"/>
                <w:sz w:val="24"/>
                <w:szCs w:val="24"/>
              </w:rPr>
            </w:pPr>
            <w:r>
              <w:rPr>
                <w:rFonts w:eastAsia="Calibri" w:cs="" w:ascii="Verdana" w:hAnsi="Verdana"/>
                <w:kern w:val="0"/>
                <w:sz w:val="24"/>
                <w:szCs w:val="24"/>
                <w:lang w:val="fr-CH" w:eastAsia="en-US" w:bidi="ar-SA"/>
              </w:rPr>
              <w:t>Ch 27 More on models and numerical procedures</w:t>
            </w:r>
          </w:p>
        </w:tc>
      </w:tr>
    </w:tbl>
    <w:p>
      <w:pPr>
        <w:pStyle w:val="Normal"/>
        <w:rPr>
          <w:rFonts w:ascii="Verdana" w:hAnsi="Verdana"/>
          <w:sz w:val="24"/>
          <w:szCs w:val="24"/>
        </w:rPr>
      </w:pPr>
      <w:r>
        <w:rPr>
          <w:rFonts w:ascii="Verdana" w:hAnsi="Verdana"/>
          <w:sz w:val="24"/>
          <w:szCs w:val="24"/>
        </w:rPr>
      </w:r>
    </w:p>
    <w:p>
      <w:pPr>
        <w:pStyle w:val="Normal"/>
        <w:rPr>
          <w:rFonts w:ascii="Verdana" w:hAnsi="Verdana"/>
          <w:sz w:val="24"/>
          <w:szCs w:val="24"/>
        </w:rPr>
      </w:pPr>
      <w:r>
        <w:rPr>
          <w:rFonts w:ascii="Verdana" w:hAnsi="Verdana"/>
          <w:sz w:val="24"/>
          <w:szCs w:val="24"/>
        </w:rPr>
      </w:r>
    </w:p>
    <w:p>
      <w:pPr>
        <w:pStyle w:val="Titre1"/>
        <w:rPr/>
      </w:pPr>
      <w:bookmarkStart w:id="3" w:name="_Toc123243892"/>
      <w:r>
        <w:rPr/>
        <w:t>Définition de la volatilité</w:t>
      </w:r>
      <w:bookmarkEnd w:id="3"/>
    </w:p>
    <w:p>
      <w:pPr>
        <w:pStyle w:val="Normal"/>
        <w:rPr/>
      </w:pPr>
      <w:r>
        <w:rPr/>
      </w:r>
    </w:p>
    <w:p>
      <w:pPr>
        <w:pStyle w:val="Normal"/>
        <w:rPr>
          <w:rFonts w:ascii="Verdana" w:hAnsi="Verdana"/>
          <w:sz w:val="24"/>
          <w:szCs w:val="24"/>
        </w:rPr>
      </w:pPr>
      <w:r>
        <w:rPr>
          <w:rFonts w:ascii="Verdana" w:hAnsi="Verdana"/>
          <w:sz w:val="24"/>
          <w:szCs w:val="24"/>
          <w:u w:val="single"/>
        </w:rPr>
        <w:t>Mesure de variation du sous-jacent</w:t>
      </w:r>
      <w:r>
        <w:rPr>
          <w:rFonts w:ascii="Verdana" w:hAnsi="Verdana"/>
          <w:sz w:val="24"/>
          <w:szCs w:val="24"/>
        </w:rPr>
        <w:t> : écart-type du rendement de l’actif sur x jours – par exemple x=30 jours. Le rendement est exprimé par le log naturel.</w:t>
      </w:r>
    </w:p>
    <w:p>
      <w:pPr>
        <w:pStyle w:val="Normal"/>
        <w:rPr>
          <w:rFonts w:ascii="Verdana" w:hAnsi="Verdana"/>
          <w:sz w:val="24"/>
          <w:szCs w:val="24"/>
        </w:rPr>
      </w:pPr>
      <w:r>
        <w:rPr>
          <w:rFonts w:ascii="Verdana" w:hAnsi="Verdana"/>
          <w:sz w:val="24"/>
          <w:szCs w:val="24"/>
        </w:rPr>
        <w:t>Il est difficile de calculer exactement la volatilité, même la volatilité historique. On ne dispose que d’estimateurs.</w:t>
      </w:r>
    </w:p>
    <w:p>
      <w:pPr>
        <w:pStyle w:val="Normal"/>
        <w:rPr>
          <w:rFonts w:ascii="Verdana" w:hAnsi="Verdana"/>
          <w:sz w:val="24"/>
          <w:szCs w:val="24"/>
        </w:rPr>
      </w:pPr>
      <w:r>
        <w:rPr>
          <w:rFonts w:ascii="Verdana" w:hAnsi="Verdana"/>
          <w:sz w:val="24"/>
          <w:szCs w:val="24"/>
        </w:rPr>
        <w:t>2 types of volatility :</w:t>
      </w:r>
    </w:p>
    <w:p>
      <w:pPr>
        <w:pStyle w:val="ListParagraph"/>
        <w:numPr>
          <w:ilvl w:val="0"/>
          <w:numId w:val="2"/>
        </w:numPr>
        <w:rPr>
          <w:rFonts w:ascii="Verdana" w:hAnsi="Verdana"/>
          <w:sz w:val="24"/>
          <w:szCs w:val="24"/>
        </w:rPr>
      </w:pPr>
      <w:r>
        <w:rPr>
          <w:rFonts w:ascii="Verdana" w:hAnsi="Verdana"/>
          <w:sz w:val="24"/>
          <w:szCs w:val="24"/>
        </w:rPr>
        <w:t>Realized volatility/Volatilité réalisée =&gt; volatilité historique sur 20,30…100 jours</w:t>
      </w:r>
    </w:p>
    <w:p>
      <w:pPr>
        <w:pStyle w:val="ListParagraph"/>
        <w:numPr>
          <w:ilvl w:val="0"/>
          <w:numId w:val="2"/>
        </w:numPr>
        <w:rPr>
          <w:rFonts w:ascii="Verdana" w:hAnsi="Verdana"/>
          <w:sz w:val="24"/>
          <w:szCs w:val="24"/>
        </w:rPr>
      </w:pPr>
      <w:r>
        <w:rPr>
          <w:rFonts w:ascii="Verdana" w:hAnsi="Verdana"/>
          <w:sz w:val="24"/>
          <w:szCs w:val="24"/>
        </w:rPr>
        <w:t>Implied volatility/Volatilité implicite =&gt; volatilité du sous-jacent défini par le prix de l’option (call ou put avec mêmes strikes et dates d’expiration)</w:t>
      </w:r>
    </w:p>
    <w:p>
      <w:pPr>
        <w:pStyle w:val="Normal"/>
        <w:rPr>
          <w:rFonts w:ascii="Verdana" w:hAnsi="Verdana"/>
          <w:sz w:val="24"/>
          <w:szCs w:val="24"/>
        </w:rPr>
      </w:pPr>
      <w:r>
        <w:rPr>
          <w:rFonts w:ascii="Verdana" w:hAnsi="Verdana"/>
          <w:sz w:val="24"/>
          <w:szCs w:val="24"/>
        </w:rPr>
        <w:t>Volatility premium/Prime de volatility = RV-IV – par exemple RV(20)-IV(30)</w:t>
      </w:r>
    </w:p>
    <w:p>
      <w:pPr>
        <w:pStyle w:val="ListParagraph"/>
        <w:numPr>
          <w:ilvl w:val="0"/>
          <w:numId w:val="5"/>
        </w:numPr>
        <w:rPr>
          <w:rFonts w:ascii="Verdana" w:hAnsi="Verdana"/>
          <w:sz w:val="24"/>
          <w:szCs w:val="24"/>
        </w:rPr>
      </w:pPr>
      <w:r>
        <w:rPr>
          <w:rFonts w:ascii="Verdana" w:hAnsi="Verdana"/>
          <w:sz w:val="24"/>
          <w:szCs w:val="24"/>
        </w:rPr>
        <w:t>Une option coûte d’autant plus que le prix du sous-jacent est élevé.</w:t>
      </w:r>
    </w:p>
    <w:p>
      <w:pPr>
        <w:pStyle w:val="ListParagraph"/>
        <w:numPr>
          <w:ilvl w:val="0"/>
          <w:numId w:val="5"/>
        </w:numPr>
        <w:rPr>
          <w:rFonts w:ascii="Verdana" w:hAnsi="Verdana"/>
          <w:sz w:val="24"/>
          <w:szCs w:val="24"/>
        </w:rPr>
      </w:pPr>
      <w:r>
        <w:rPr>
          <w:rFonts w:ascii="Verdana" w:hAnsi="Verdana"/>
          <w:sz w:val="24"/>
          <w:szCs w:val="24"/>
        </w:rPr>
        <w:t>Le prix d’une option est une fonction croissante de la volatilité (Vega &gt; 0) -&gt; plus la volatilité est importante et plus l’option coûte cher.</w:t>
      </w:r>
    </w:p>
    <w:p>
      <w:pPr>
        <w:pStyle w:val="ListParagraph"/>
        <w:numPr>
          <w:ilvl w:val="0"/>
          <w:numId w:val="5"/>
        </w:numPr>
        <w:rPr>
          <w:rFonts w:ascii="Verdana" w:hAnsi="Verdana"/>
          <w:sz w:val="24"/>
          <w:szCs w:val="24"/>
        </w:rPr>
      </w:pPr>
      <w:r>
        <w:rPr>
          <w:rFonts w:ascii="Verdana" w:hAnsi="Verdana"/>
          <w:sz w:val="24"/>
          <w:szCs w:val="24"/>
        </w:rPr>
        <w:t>Vega est maximal pour une option ATM</w:t>
      </w:r>
    </w:p>
    <w:p>
      <w:pPr>
        <w:pStyle w:val="ListParagraph"/>
        <w:numPr>
          <w:ilvl w:val="0"/>
          <w:numId w:val="5"/>
        </w:numPr>
        <w:rPr>
          <w:rFonts w:ascii="Verdana" w:hAnsi="Verdana"/>
          <w:sz w:val="24"/>
          <w:szCs w:val="24"/>
        </w:rPr>
      </w:pPr>
      <w:r>
        <w:rPr>
          <w:rFonts w:ascii="Verdana" w:hAnsi="Verdana"/>
          <w:sz w:val="24"/>
          <w:szCs w:val="24"/>
        </w:rPr>
        <w:t>L’impact de Vega est plus important en pourcentage pour une option OTM que pour une option ATM/ITM</w:t>
      </w:r>
    </w:p>
    <w:p>
      <w:pPr>
        <w:pStyle w:val="ListParagraph"/>
        <w:numPr>
          <w:ilvl w:val="0"/>
          <w:numId w:val="5"/>
        </w:numPr>
        <w:rPr>
          <w:rFonts w:ascii="Verdana" w:hAnsi="Verdana"/>
          <w:sz w:val="24"/>
          <w:szCs w:val="24"/>
        </w:rPr>
      </w:pPr>
      <w:r>
        <w:rPr>
          <w:rFonts w:ascii="Verdana" w:hAnsi="Verdana"/>
          <w:sz w:val="24"/>
          <w:szCs w:val="24"/>
        </w:rPr>
        <w:t>Plus on s’approche de l’échéance et plus la volatilité réalisée est importante et moins la volatilité implicite compte. Le gamma/theta prend du poids et le vega a moins d’importance.</w:t>
      </w:r>
    </w:p>
    <w:p>
      <w:pPr>
        <w:pStyle w:val="ListParagraph"/>
        <w:numPr>
          <w:ilvl w:val="0"/>
          <w:numId w:val="5"/>
        </w:numPr>
        <w:rPr>
          <w:rFonts w:ascii="Verdana" w:hAnsi="Verdana"/>
          <w:sz w:val="24"/>
          <w:szCs w:val="24"/>
        </w:rPr>
      </w:pPr>
      <w:r>
        <w:rPr>
          <w:rFonts w:ascii="Verdana" w:hAnsi="Verdana"/>
          <w:sz w:val="24"/>
          <w:szCs w:val="24"/>
        </w:rPr>
        <w:t xml:space="preserve">Lorsque la volatilité baisse, l’effet sur les grecques est identique à « Un raccourcissement du temps » -&gt; gamma augmente, les deltas s’éloignent de 0.5, l’option est plus sensible au changement. </w:t>
      </w:r>
    </w:p>
    <w:p>
      <w:pPr>
        <w:pStyle w:val="Normal"/>
        <w:rPr>
          <w:rFonts w:ascii="Verdana" w:hAnsi="Verdana"/>
          <w:sz w:val="24"/>
          <w:szCs w:val="24"/>
        </w:rPr>
      </w:pPr>
      <w:r>
        <w:rPr>
          <w:rFonts w:ascii="Verdana" w:hAnsi="Verdana"/>
          <w:sz w:val="24"/>
          <w:szCs w:val="24"/>
        </w:rPr>
        <w:t xml:space="preserve">L’intervalle de volatilité implicite est plus faible pour un LEAPS que pour une option court terme – mais le vega est beaucoup plus élevé !! </w:t>
        <w:br/>
        <w:t>En effet le prix du LEAPS est plus élevé, donc la partie « time value » est plus importante par rapport au prix total.</w:t>
      </w:r>
    </w:p>
    <w:p>
      <w:pPr>
        <w:pStyle w:val="Normal"/>
        <w:rPr>
          <w:rFonts w:ascii="Verdana" w:hAnsi="Verdana"/>
          <w:sz w:val="24"/>
          <w:szCs w:val="24"/>
        </w:rPr>
      </w:pPr>
      <w:r>
        <w:rPr>
          <w:rFonts w:ascii="Verdana" w:hAnsi="Verdana"/>
          <w:sz w:val="24"/>
          <w:szCs w:val="24"/>
        </w:rPr>
        <w:t>La volatilité est corrélée avec le volume :</w:t>
      </w:r>
    </w:p>
    <w:p>
      <w:pPr>
        <w:pStyle w:val="ListParagraph"/>
        <w:numPr>
          <w:ilvl w:val="0"/>
          <w:numId w:val="5"/>
        </w:numPr>
        <w:rPr>
          <w:rFonts w:ascii="Verdana" w:hAnsi="Verdana"/>
          <w:sz w:val="24"/>
          <w:szCs w:val="24"/>
        </w:rPr>
      </w:pPr>
      <w:r>
        <w:rPr>
          <w:rFonts w:ascii="Verdana" w:hAnsi="Verdana"/>
          <w:sz w:val="24"/>
          <w:szCs w:val="24"/>
        </w:rPr>
        <w:t>Lorsque le volume de transactions est important, la volatilité augmente</w:t>
      </w:r>
    </w:p>
    <w:p>
      <w:pPr>
        <w:pStyle w:val="ListParagraph"/>
        <w:numPr>
          <w:ilvl w:val="0"/>
          <w:numId w:val="5"/>
        </w:numPr>
        <w:rPr>
          <w:rFonts w:ascii="Verdana" w:hAnsi="Verdana"/>
          <w:sz w:val="24"/>
          <w:szCs w:val="24"/>
        </w:rPr>
      </w:pPr>
      <w:r>
        <w:rPr>
          <w:rFonts w:ascii="Verdana" w:hAnsi="Verdana"/>
          <w:sz w:val="24"/>
          <w:szCs w:val="24"/>
        </w:rPr>
        <w:t>Lorsque le volume de transactions diminue, la volatilité diminue</w:t>
      </w:r>
    </w:p>
    <w:p>
      <w:pPr>
        <w:pStyle w:val="Normal"/>
        <w:rPr>
          <w:rFonts w:ascii="Verdana" w:hAnsi="Verdana"/>
          <w:sz w:val="24"/>
          <w:szCs w:val="24"/>
        </w:rPr>
      </w:pPr>
      <w:r>
        <w:rPr>
          <w:rFonts w:ascii="Verdana" w:hAnsi="Verdana"/>
          <w:sz w:val="24"/>
          <w:szCs w:val="24"/>
        </w:rPr>
        <w:t>La volatilité possède typiquement plusieurs composantes :</w:t>
      </w:r>
    </w:p>
    <w:p>
      <w:pPr>
        <w:pStyle w:val="ListParagraph"/>
        <w:numPr>
          <w:ilvl w:val="0"/>
          <w:numId w:val="5"/>
        </w:numPr>
        <w:rPr>
          <w:rFonts w:ascii="Verdana" w:hAnsi="Verdana"/>
          <w:sz w:val="24"/>
          <w:szCs w:val="24"/>
        </w:rPr>
      </w:pPr>
      <w:r>
        <w:rPr>
          <w:rFonts w:ascii="Verdana" w:hAnsi="Verdana"/>
          <w:sz w:val="24"/>
          <w:szCs w:val="24"/>
        </w:rPr>
        <w:t>Une composante système – par exemple si le VIX est élevé, la volatilité de l’actif a tendance a être élevé (sauf si l’actif est décorrélé du marché) (« </w:t>
      </w:r>
      <w:r>
        <w:rPr>
          <w:rFonts w:ascii="Verdana" w:hAnsi="Verdana"/>
          <w:b/>
          <w:bCs/>
          <w:sz w:val="24"/>
          <w:szCs w:val="24"/>
        </w:rPr>
        <w:t>market volatility</w:t>
      </w:r>
      <w:r>
        <w:rPr>
          <w:rFonts w:ascii="Verdana" w:hAnsi="Verdana"/>
          <w:sz w:val="24"/>
          <w:szCs w:val="24"/>
        </w:rPr>
        <w:t> »)</w:t>
      </w:r>
    </w:p>
    <w:p>
      <w:pPr>
        <w:pStyle w:val="ListParagraph"/>
        <w:numPr>
          <w:ilvl w:val="0"/>
          <w:numId w:val="5"/>
        </w:numPr>
        <w:rPr>
          <w:rFonts w:ascii="Verdana" w:hAnsi="Verdana"/>
          <w:sz w:val="24"/>
          <w:szCs w:val="24"/>
        </w:rPr>
      </w:pPr>
      <w:r>
        <w:rPr>
          <w:rFonts w:ascii="Verdana" w:hAnsi="Verdana"/>
          <w:sz w:val="24"/>
          <w:szCs w:val="24"/>
        </w:rPr>
        <w:t>Une composante saisonnière – par exemple si une annonce type earnings ou autre (« </w:t>
      </w:r>
      <w:r>
        <w:rPr>
          <w:rFonts w:ascii="Verdana" w:hAnsi="Verdana"/>
          <w:b/>
          <w:bCs/>
          <w:sz w:val="24"/>
          <w:szCs w:val="24"/>
        </w:rPr>
        <w:t>event volatility</w:t>
      </w:r>
      <w:r>
        <w:rPr>
          <w:rFonts w:ascii="Verdana" w:hAnsi="Verdana"/>
          <w:sz w:val="24"/>
          <w:szCs w:val="24"/>
        </w:rPr>
        <w:t> »)</w:t>
      </w:r>
    </w:p>
    <w:p>
      <w:pPr>
        <w:pStyle w:val="ListParagraph"/>
        <w:numPr>
          <w:ilvl w:val="0"/>
          <w:numId w:val="5"/>
        </w:numPr>
        <w:rPr>
          <w:rFonts w:ascii="Verdana" w:hAnsi="Verdana"/>
          <w:sz w:val="24"/>
          <w:szCs w:val="24"/>
        </w:rPr>
      </w:pPr>
      <w:r>
        <w:rPr>
          <w:rFonts w:ascii="Verdana" w:hAnsi="Verdana"/>
          <w:sz w:val="24"/>
          <w:szCs w:val="24"/>
        </w:rPr>
        <w:t>Une composante propre à l’actif lui-même (« </w:t>
      </w:r>
      <w:r>
        <w:rPr>
          <w:rFonts w:ascii="Verdana" w:hAnsi="Verdana"/>
          <w:b/>
          <w:bCs/>
          <w:sz w:val="24"/>
          <w:szCs w:val="24"/>
        </w:rPr>
        <w:t>non-event volatility</w:t>
      </w:r>
      <w:r>
        <w:rPr>
          <w:rFonts w:ascii="Verdana" w:hAnsi="Verdana"/>
          <w:sz w:val="24"/>
          <w:szCs w:val="24"/>
        </w:rPr>
        <w:t> »)</w:t>
      </w:r>
    </w:p>
    <w:p>
      <w:pPr>
        <w:pStyle w:val="ListParagraph"/>
        <w:rPr>
          <w:rFonts w:ascii="Verdana" w:hAnsi="Verdana"/>
          <w:sz w:val="24"/>
          <w:szCs w:val="24"/>
        </w:rPr>
      </w:pPr>
      <w:r>
        <w:rPr>
          <w:rFonts w:ascii="Verdana" w:hAnsi="Verdana"/>
          <w:sz w:val="24"/>
          <w:szCs w:val="24"/>
        </w:rPr>
      </w:r>
    </w:p>
    <w:p>
      <w:pPr>
        <w:pStyle w:val="ListParagraph"/>
        <w:rPr>
          <w:rFonts w:ascii="Verdana" w:hAnsi="Verdana"/>
          <w:sz w:val="24"/>
          <w:szCs w:val="24"/>
        </w:rPr>
      </w:pPr>
      <w:r>
        <w:rPr>
          <w:rFonts w:ascii="Verdana" w:hAnsi="Verdana"/>
          <w:sz w:val="24"/>
          <w:szCs w:val="24"/>
        </w:rPr>
      </w:r>
    </w:p>
    <w:p>
      <w:pPr>
        <w:pStyle w:val="Titre1"/>
        <w:rPr/>
      </w:pPr>
      <w:r>
        <w:rPr/>
        <w:t>Faits stylisés sur la volatilité</w:t>
      </w:r>
    </w:p>
    <w:p>
      <w:pPr>
        <w:pStyle w:val="Normal"/>
        <w:rPr/>
      </w:pPr>
      <w:r>
        <w:rPr/>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54115" cy="1666240"/>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4"/>
                    <a:stretch>
                      <a:fillRect/>
                    </a:stretch>
                  </pic:blipFill>
                  <pic:spPr bwMode="auto">
                    <a:xfrm>
                      <a:off x="0" y="0"/>
                      <a:ext cx="6254115" cy="1666240"/>
                    </a:xfrm>
                    <a:prstGeom prst="rect">
                      <a:avLst/>
                    </a:prstGeom>
                  </pic:spPr>
                </pic:pic>
              </a:graphicData>
            </a:graphic>
          </wp:anchor>
        </w:drawing>
      </w:r>
    </w:p>
    <w:p>
      <w:pPr>
        <w:pStyle w:val="Titre1"/>
        <w:rPr/>
      </w:pPr>
      <w:bookmarkStart w:id="4" w:name="_Toc123243893"/>
      <w:r>
        <w:rPr/>
        <w:t>Estimation de la volatilité</w:t>
      </w:r>
      <w:bookmarkEnd w:id="4"/>
    </w:p>
    <w:p>
      <w:pPr>
        <w:pStyle w:val="Normal"/>
        <w:rPr>
          <w:rFonts w:ascii="Verdana" w:hAnsi="Verdana"/>
          <w:sz w:val="24"/>
          <w:szCs w:val="24"/>
        </w:rPr>
      </w:pPr>
      <w:r>
        <w:rPr>
          <w:rFonts w:ascii="Verdana" w:hAnsi="Verdana"/>
          <w:sz w:val="24"/>
          <w:szCs w:val="24"/>
        </w:rPr>
        <w:t xml:space="preserve">Il est possible d’utiliser un modèle (par exemple BSM) pour déterminer la volatilité implicite d’une option en fonction du prix proposé par le market maker : bid (si l’on souhaite vendre) et ask (si l’on souhaite acheter). </w:t>
      </w:r>
    </w:p>
    <w:p>
      <w:pPr>
        <w:pStyle w:val="Normal"/>
        <w:rPr>
          <w:rFonts w:ascii="Verdana" w:hAnsi="Verdana"/>
          <w:sz w:val="24"/>
          <w:szCs w:val="24"/>
        </w:rPr>
      </w:pPr>
      <w:r>
        <w:rPr>
          <w:rFonts w:ascii="Verdana" w:hAnsi="Verdana"/>
          <w:sz w:val="24"/>
          <w:szCs w:val="24"/>
        </w:rPr>
        <w:t>Cette estimation est nécessaire dans le cas d’options peu liquides. On peut alors comparer cette IV avec l’IV cible – par exemple en fonction de la RV.</w:t>
      </w:r>
    </w:p>
    <w:p>
      <w:pPr>
        <w:pStyle w:val="Normal"/>
        <w:rPr>
          <w:rFonts w:ascii="Verdana" w:hAnsi="Verdana"/>
          <w:sz w:val="24"/>
          <w:szCs w:val="24"/>
        </w:rPr>
      </w:pPr>
      <w:r>
        <w:rPr>
          <w:rFonts w:ascii="Verdana" w:hAnsi="Verdana"/>
          <w:sz w:val="24"/>
          <w:szCs w:val="24"/>
        </w:rPr>
        <w:t>La volatilité a une distribution log-normale (approximativement), avec une asymétrie/biais (« skew ») négatif :</w:t>
      </w:r>
    </w:p>
    <w:p>
      <w:pPr>
        <w:pStyle w:val="Normal"/>
        <w:rPr>
          <w:rFonts w:ascii="Verdana" w:hAnsi="Verdana"/>
          <w:sz w:val="24"/>
          <w:szCs w:val="24"/>
        </w:rPr>
      </w:pPr>
      <w:r>
        <w:rPr/>
        <w:drawing>
          <wp:inline distT="0" distB="0" distL="0" distR="0">
            <wp:extent cx="5760720" cy="319722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5"/>
                    <a:stretch>
                      <a:fillRect/>
                    </a:stretch>
                  </pic:blipFill>
                  <pic:spPr bwMode="auto">
                    <a:xfrm>
                      <a:off x="0" y="0"/>
                      <a:ext cx="5760720" cy="3197225"/>
                    </a:xfrm>
                    <a:prstGeom prst="rect">
                      <a:avLst/>
                    </a:prstGeom>
                  </pic:spPr>
                </pic:pic>
              </a:graphicData>
            </a:graphic>
          </wp:inline>
        </w:drawing>
      </w:r>
    </w:p>
    <w:p>
      <w:pPr>
        <w:pStyle w:val="Normal"/>
        <w:spacing w:lineRule="auto" w:line="240" w:before="0" w:after="0"/>
        <w:rPr>
          <w:rFonts w:ascii="Verdana" w:hAnsi="Verdana"/>
          <w:sz w:val="24"/>
          <w:szCs w:val="24"/>
        </w:rPr>
      </w:pPr>
      <w:r>
        <w:rPr>
          <w:rFonts w:cs="SerifaStd-Bold" w:ascii="SerifaStd-Bold" w:hAnsi="SerifaStd-Bold"/>
          <w:b/>
          <w:bCs/>
          <w:color w:val="292526"/>
          <w:sz w:val="18"/>
          <w:szCs w:val="18"/>
        </w:rPr>
        <w:t xml:space="preserve">FIGURE </w:t>
      </w:r>
      <w:r>
        <w:rPr>
          <w:rFonts w:cs="PerpetuaStd" w:ascii="PerpetuaStd" w:hAnsi="PerpetuaStd"/>
          <w:color w:val="292526"/>
          <w:sz w:val="20"/>
          <w:szCs w:val="20"/>
        </w:rPr>
        <w:t>The Distribution of the 30-Day Volatility of the S&amp;P 500 from 1990 to 2011</w:t>
      </w:r>
    </w:p>
    <w:p>
      <w:pPr>
        <w:pStyle w:val="Normal"/>
        <w:rPr>
          <w:rFonts w:ascii="Verdana" w:hAnsi="Verdana"/>
          <w:sz w:val="24"/>
          <w:szCs w:val="24"/>
        </w:rPr>
      </w:pPr>
      <w:r>
        <w:rPr>
          <w:rFonts w:ascii="Verdana" w:hAnsi="Verdana"/>
          <w:sz w:val="24"/>
          <w:szCs w:val="24"/>
        </w:rPr>
        <w:t xml:space="preserve"> </w:t>
      </w:r>
    </w:p>
    <w:p>
      <w:pPr>
        <w:pStyle w:val="Normal"/>
        <w:rPr>
          <w:rFonts w:ascii="Verdana" w:hAnsi="Verdana"/>
          <w:sz w:val="24"/>
          <w:szCs w:val="24"/>
        </w:rPr>
      </w:pPr>
      <w:r>
        <w:rPr>
          <w:rFonts w:ascii="Verdana" w:hAnsi="Verdana"/>
          <w:sz w:val="24"/>
          <w:szCs w:val="24"/>
        </w:rPr>
        <w:t>La volatilité d’un actif a plusieurs propriétés intéressantes :</w:t>
      </w:r>
    </w:p>
    <w:p>
      <w:pPr>
        <w:pStyle w:val="ListParagraph"/>
        <w:numPr>
          <w:ilvl w:val="0"/>
          <w:numId w:val="3"/>
        </w:numPr>
        <w:rPr>
          <w:rFonts w:ascii="Verdana" w:hAnsi="Verdana"/>
          <w:sz w:val="24"/>
          <w:szCs w:val="24"/>
        </w:rPr>
      </w:pPr>
      <w:r>
        <w:rPr>
          <w:rFonts w:ascii="Verdana" w:hAnsi="Verdana"/>
          <w:sz w:val="24"/>
          <w:szCs w:val="24"/>
        </w:rPr>
        <w:t>Elle varie globalement peu dans le temps</w:t>
      </w:r>
    </w:p>
    <w:p>
      <w:pPr>
        <w:pStyle w:val="ListParagraph"/>
        <w:numPr>
          <w:ilvl w:val="0"/>
          <w:numId w:val="3"/>
        </w:numPr>
        <w:rPr>
          <w:rFonts w:ascii="Verdana" w:hAnsi="Verdana"/>
          <w:sz w:val="24"/>
          <w:szCs w:val="24"/>
        </w:rPr>
      </w:pPr>
      <w:r>
        <w:rPr>
          <w:rFonts w:ascii="Verdana" w:hAnsi="Verdana"/>
          <w:sz w:val="24"/>
          <w:szCs w:val="24"/>
        </w:rPr>
        <w:t>Elle a tendance à régresser vers la moyenne</w:t>
      </w:r>
    </w:p>
    <w:p>
      <w:pPr>
        <w:pStyle w:val="Normal"/>
        <w:rPr>
          <w:rFonts w:ascii="Verdana" w:hAnsi="Verdana"/>
          <w:sz w:val="24"/>
          <w:szCs w:val="24"/>
        </w:rPr>
      </w:pPr>
      <w:r>
        <w:rPr>
          <w:rFonts w:ascii="Verdana" w:hAnsi="Verdana"/>
          <w:sz w:val="24"/>
          <w:szCs w:val="24"/>
        </w:rPr>
        <w:t>MAIS il peut y avoir des pics brutaux de volatilité.</w:t>
      </w:r>
    </w:p>
    <w:p>
      <w:pPr>
        <w:pStyle w:val="Normal"/>
        <w:rPr>
          <w:rFonts w:ascii="Verdana" w:hAnsi="Verdana"/>
          <w:sz w:val="24"/>
          <w:szCs w:val="24"/>
        </w:rPr>
      </w:pPr>
      <w:r>
        <w:rPr>
          <w:rFonts w:ascii="Verdana" w:hAnsi="Verdana"/>
          <w:sz w:val="24"/>
          <w:szCs w:val="24"/>
        </w:rPr>
        <w:t xml:space="preserve">La baisse vers la moyenne est plus graduelle </w:t>
      </w:r>
      <w:r>
        <w:rPr>
          <w:rFonts w:ascii="Verdana" w:hAnsi="Verdana"/>
          <w:sz w:val="24"/>
          <w:szCs w:val="24"/>
        </w:rPr>
        <w:t xml:space="preserve">(plus lente) </w:t>
      </w:r>
      <w:r>
        <w:rPr>
          <w:rFonts w:ascii="Verdana" w:hAnsi="Verdana"/>
          <w:sz w:val="24"/>
          <w:szCs w:val="24"/>
        </w:rPr>
        <w:t>que l’écart à la moyenne.</w:t>
      </w:r>
    </w:p>
    <w:p>
      <w:pPr>
        <w:pStyle w:val="Normal"/>
        <w:rPr>
          <w:rFonts w:ascii="Verdana" w:hAnsi="Verdana"/>
          <w:sz w:val="24"/>
          <w:szCs w:val="24"/>
        </w:rPr>
      </w:pPr>
      <w:r>
        <w:rPr>
          <w:rFonts w:ascii="Verdana" w:hAnsi="Verdana"/>
          <w:sz w:val="24"/>
          <w:szCs w:val="24"/>
        </w:rPr>
        <w:t>Il faut prendre en compte :</w:t>
      </w:r>
    </w:p>
    <w:p>
      <w:pPr>
        <w:pStyle w:val="ListParagraph"/>
        <w:numPr>
          <w:ilvl w:val="0"/>
          <w:numId w:val="4"/>
        </w:numPr>
        <w:rPr>
          <w:rFonts w:ascii="Verdana" w:hAnsi="Verdana"/>
          <w:sz w:val="24"/>
          <w:szCs w:val="24"/>
        </w:rPr>
      </w:pPr>
      <w:r>
        <w:rPr>
          <w:rFonts w:ascii="Verdana" w:hAnsi="Verdana"/>
          <w:b/>
          <w:bCs/>
          <w:sz w:val="24"/>
          <w:szCs w:val="24"/>
        </w:rPr>
        <w:t>52 Wks-IVP </w:t>
      </w:r>
      <w:r>
        <w:rPr>
          <w:rFonts w:ascii="Verdana" w:hAnsi="Verdana"/>
          <w:sz w:val="24"/>
          <w:szCs w:val="24"/>
        </w:rPr>
        <w:t xml:space="preserve">: le pourcentile de l’IV parmi toutes les valeurs d’IV sur l’année écoulée) </w:t>
      </w:r>
    </w:p>
    <w:p>
      <w:pPr>
        <w:pStyle w:val="ListParagraph"/>
        <w:numPr>
          <w:ilvl w:val="0"/>
          <w:numId w:val="4"/>
        </w:numPr>
        <w:rPr>
          <w:rFonts w:ascii="Verdana" w:hAnsi="Verdana"/>
          <w:sz w:val="24"/>
          <w:szCs w:val="24"/>
        </w:rPr>
      </w:pPr>
      <w:r>
        <w:rPr>
          <w:rFonts w:ascii="Verdana" w:hAnsi="Verdana"/>
          <w:b/>
          <w:bCs/>
          <w:sz w:val="24"/>
          <w:szCs w:val="24"/>
        </w:rPr>
        <w:t>52 Wks-IV Rank</w:t>
      </w:r>
      <w:r>
        <w:rPr>
          <w:rFonts w:ascii="Verdana" w:hAnsi="Verdana"/>
          <w:sz w:val="24"/>
          <w:szCs w:val="24"/>
        </w:rPr>
        <w:t xml:space="preserve"> : là où la valeur actuelle de la volatilité se place par rapport au min et max sur l’année écoulée. </w:t>
      </w:r>
      <w:r>
        <w:rPr>
          <w:rFonts w:ascii="Verdana" w:hAnsi="Verdana"/>
          <w:sz w:val="24"/>
          <w:szCs w:val="24"/>
        </w:rPr>
        <w:t>Statistique préférée de Tastytrade.</w:t>
      </w:r>
    </w:p>
    <w:p>
      <w:pPr>
        <w:pStyle w:val="Normal"/>
        <w:rPr>
          <w:rFonts w:ascii="Verdana" w:hAnsi="Verdana"/>
          <w:sz w:val="24"/>
          <w:szCs w:val="24"/>
        </w:rPr>
      </w:pPr>
      <w:r>
        <w:rPr>
          <w:rFonts w:ascii="Verdana" w:hAnsi="Verdana"/>
          <w:sz w:val="24"/>
          <w:szCs w:val="24"/>
        </w:rPr>
        <w:t>Egalement il faut regarder la term-structure (cône de volatilité) pour comprendre le contexte de la volatilité.</w:t>
      </w:r>
    </w:p>
    <w:p>
      <w:pPr>
        <w:pStyle w:val="Titre1"/>
        <w:rPr/>
      </w:pPr>
      <w:r>
        <w:rPr/>
        <w:t>Régimes de volatilité</w:t>
      </w:r>
    </w:p>
    <w:p>
      <w:pPr>
        <w:pStyle w:val="Normal"/>
        <w:rPr>
          <w:rFonts w:ascii="Verdana" w:hAnsi="Verdana"/>
          <w:sz w:val="24"/>
          <w:szCs w:val="24"/>
        </w:rPr>
      </w:pPr>
      <w:r>
        <w:rPr>
          <w:rFonts w:ascii="Verdana" w:hAnsi="Verdana"/>
          <w:sz w:val="24"/>
          <w:szCs w:val="24"/>
        </w:rPr>
        <w:t xml:space="preserve">Il y a plusieurs régimes de volatilité – le gamma split est une des causes du passage d’un régime de basse volatilité à un régime de haute volatilité – voir </w:t>
      </w:r>
      <w:hyperlink r:id="rId6">
        <w:r>
          <w:rPr>
            <w:rFonts w:ascii="Verdana" w:hAnsi="Verdana"/>
            <w:sz w:val="24"/>
            <w:szCs w:val="24"/>
          </w:rPr>
          <w:t>Gamma Flip – SpotGamma Support Center</w:t>
        </w:r>
      </w:hyperlink>
    </w:p>
    <w:p>
      <w:pPr>
        <w:pStyle w:val="ListParagraph"/>
        <w:numPr>
          <w:ilvl w:val="0"/>
          <w:numId w:val="4"/>
        </w:numPr>
        <w:rPr>
          <w:rFonts w:ascii="Verdana" w:hAnsi="Verdana"/>
          <w:sz w:val="24"/>
          <w:szCs w:val="24"/>
        </w:rPr>
      </w:pPr>
      <w:r>
        <w:rPr>
          <w:rFonts w:ascii="Verdana" w:hAnsi="Verdana"/>
          <w:sz w:val="24"/>
          <w:szCs w:val="24"/>
        </w:rPr>
        <w:t>Basse volatilité : peu d’attentes sur les mouvements du marché, faibles prix des options. Les dealers sont gamma négatif et régulent donc le marché (le marché est gamma positif). Les intervenants sont long actions, calls et possèdent aussi des puts pour se protéger.</w:t>
      </w:r>
    </w:p>
    <w:p>
      <w:pPr>
        <w:pStyle w:val="ListParagraph"/>
        <w:numPr>
          <w:ilvl w:val="0"/>
          <w:numId w:val="4"/>
        </w:numPr>
        <w:rPr>
          <w:rFonts w:ascii="Verdana" w:hAnsi="Verdana"/>
          <w:sz w:val="24"/>
          <w:szCs w:val="24"/>
        </w:rPr>
      </w:pPr>
      <w:r>
        <w:rPr>
          <w:rFonts w:ascii="Verdana" w:hAnsi="Verdana"/>
          <w:sz w:val="24"/>
          <w:szCs w:val="24"/>
        </w:rPr>
        <w:t>Haute volatilité : Le marché est gamma négatif, les dealers sont gamma positifs et donc amplifient les mouvements du marché. Les intervenants sont short actions ou vendent des calls/puts. En général cela correspond à un marché baissier (short actions, short calls).</w:t>
      </w:r>
    </w:p>
    <w:p>
      <w:pPr>
        <w:pStyle w:val="ListParagraph"/>
        <w:numPr>
          <w:ilvl w:val="0"/>
          <w:numId w:val="4"/>
        </w:numPr>
        <w:rPr>
          <w:rFonts w:ascii="Verdana" w:hAnsi="Verdana"/>
          <w:sz w:val="24"/>
          <w:szCs w:val="24"/>
        </w:rPr>
      </w:pPr>
      <w:r>
        <w:rPr>
          <w:rFonts w:ascii="Verdana" w:hAnsi="Verdana"/>
          <w:sz w:val="24"/>
          <w:szCs w:val="24"/>
        </w:rPr>
        <w:t>Volatilité évènementielle : un crash subit du marché dû à un évènement externe : crash Covid, crash des banques,….</w:t>
      </w:r>
    </w:p>
    <w:p>
      <w:pPr>
        <w:pStyle w:val="Normal"/>
        <w:rPr/>
      </w:pPr>
      <w:r>
        <w:rPr/>
      </w:r>
    </w:p>
    <w:p>
      <w:pPr>
        <w:pStyle w:val="Titre1"/>
        <w:rPr/>
      </w:pPr>
      <w:bookmarkStart w:id="5" w:name="_Toc123243894"/>
      <w:r>
        <w:rPr/>
        <w:t>Spéculer sur la volatilité</w:t>
      </w:r>
      <w:bookmarkEnd w:id="5"/>
    </w:p>
    <w:p>
      <w:pPr>
        <w:pStyle w:val="Normal"/>
        <w:rPr>
          <w:rFonts w:ascii="Verdana" w:hAnsi="Verdana"/>
          <w:sz w:val="24"/>
          <w:szCs w:val="24"/>
        </w:rPr>
      </w:pPr>
      <w:r>
        <w:rPr>
          <w:rFonts w:ascii="Verdana" w:hAnsi="Verdana"/>
          <w:sz w:val="24"/>
          <w:szCs w:val="24"/>
        </w:rPr>
        <w:t>IVR 52wks: rang de la valeur de la volatilité actuelle par rapport aux valeurs de la volatilité sur l’année précédente (voir aussi IVP – percentile, moins utile selon TastyTrade).</w:t>
      </w:r>
    </w:p>
    <w:p>
      <w:pPr>
        <w:pStyle w:val="Normal"/>
        <w:rPr>
          <w:rFonts w:ascii="Verdana" w:hAnsi="Verdana"/>
          <w:sz w:val="24"/>
          <w:szCs w:val="24"/>
        </w:rPr>
      </w:pPr>
      <w:r>
        <w:rPr>
          <w:rFonts w:ascii="Verdana" w:hAnsi="Verdana"/>
          <w:sz w:val="24"/>
          <w:szCs w:val="24"/>
        </w:rPr>
        <w:t>Volatilité absolue : regarder comment est placée la volatilité d’aujourd’hui vs. la volatilité historique du sous-jacent.</w:t>
      </w:r>
    </w:p>
    <w:p>
      <w:pPr>
        <w:pStyle w:val="Normal"/>
        <w:rPr>
          <w:rFonts w:ascii="Verdana" w:hAnsi="Verdana"/>
          <w:sz w:val="24"/>
          <w:szCs w:val="24"/>
        </w:rPr>
      </w:pPr>
      <w:r>
        <w:rPr>
          <w:rFonts w:ascii="Verdana" w:hAnsi="Verdana"/>
          <w:sz w:val="24"/>
          <w:szCs w:val="24"/>
        </w:rPr>
        <w:t>Volatilité relative : comment la volatilité se place par rapport aux autres sous-jacents.</w:t>
      </w:r>
    </w:p>
    <w:p>
      <w:pPr>
        <w:pStyle w:val="Normal"/>
        <w:rPr>
          <w:rFonts w:ascii="Verdana" w:hAnsi="Verdana"/>
          <w:sz w:val="24"/>
          <w:szCs w:val="24"/>
        </w:rPr>
      </w:pPr>
      <w:r>
        <w:rPr>
          <w:rFonts w:ascii="Verdana" w:hAnsi="Verdana"/>
          <w:sz w:val="24"/>
          <w:szCs w:val="24"/>
        </w:rPr>
        <w:t>+ ajouter une évaluation qualitative : qui achète de la volatilité, pourquoi, y a t il une bonne raison pour acheter de la volatilité ?</w:t>
      </w:r>
    </w:p>
    <w:p>
      <w:pPr>
        <w:pStyle w:val="Normal"/>
        <w:rPr>
          <w:rFonts w:ascii="Verdana" w:hAnsi="Verdana"/>
          <w:sz w:val="24"/>
          <w:szCs w:val="24"/>
        </w:rPr>
      </w:pPr>
      <w:r>
        <w:rPr>
          <w:rFonts w:ascii="Verdana" w:hAnsi="Verdana"/>
          <w:sz w:val="24"/>
          <w:szCs w:val="24"/>
        </w:rPr>
      </w:r>
    </w:p>
    <w:p>
      <w:pPr>
        <w:pStyle w:val="Normal"/>
        <w:rPr>
          <w:rFonts w:ascii="Verdana" w:hAnsi="Verdana"/>
          <w:sz w:val="24"/>
          <w:szCs w:val="24"/>
        </w:rPr>
      </w:pPr>
      <w:r>
        <w:rPr>
          <w:rFonts w:ascii="Verdana" w:hAnsi="Verdana"/>
          <w:sz w:val="24"/>
          <w:szCs w:val="24"/>
        </w:rPr>
        <w:t>Le gain potentiel est:</w:t>
      </w:r>
    </w:p>
    <w:p>
      <w:pPr>
        <w:pStyle w:val="Normal"/>
        <w:jc w:val="center"/>
        <w:rPr>
          <w:rFonts w:cs="Calibri" w:cstheme="minorHAnsi"/>
          <w:sz w:val="28"/>
          <w:szCs w:val="28"/>
        </w:rPr>
      </w:pPr>
      <w:r>
        <w:rPr>
          <w:rFonts w:cs="Calibri" w:cstheme="minorHAnsi"/>
          <w:i/>
          <w:iCs/>
          <w:sz w:val="28"/>
          <w:szCs w:val="28"/>
        </w:rPr>
        <w:t>positionVega * (Vol_real – Vol_impl)</w:t>
      </w:r>
    </w:p>
    <w:p>
      <w:pPr>
        <w:pStyle w:val="Normal"/>
        <w:rPr>
          <w:rFonts w:ascii="Verdana" w:hAnsi="Verdana"/>
          <w:sz w:val="24"/>
          <w:szCs w:val="24"/>
        </w:rPr>
      </w:pPr>
      <w:r>
        <w:rPr>
          <w:rFonts w:ascii="Verdana" w:hAnsi="Verdana"/>
          <w:sz w:val="24"/>
          <w:szCs w:val="24"/>
        </w:rPr>
        <w:t>Il s’agit donc de :</w:t>
      </w:r>
    </w:p>
    <w:p>
      <w:pPr>
        <w:pStyle w:val="ListParagraph"/>
        <w:numPr>
          <w:ilvl w:val="0"/>
          <w:numId w:val="4"/>
        </w:numPr>
        <w:rPr>
          <w:rFonts w:ascii="Verdana" w:hAnsi="Verdana"/>
          <w:sz w:val="24"/>
          <w:szCs w:val="24"/>
        </w:rPr>
      </w:pPr>
      <w:r>
        <w:rPr>
          <w:rFonts w:ascii="Verdana" w:hAnsi="Verdana"/>
          <w:sz w:val="24"/>
          <w:szCs w:val="24"/>
        </w:rPr>
        <w:t>Vendre si on estime que la volatilité implicite actuelle est surestimée (ex. AAPL dans ref. [3], IV estimée à 29%, valant 41% au début du trade – IV vaut en effet à 29% à la fin du trade)</w:t>
      </w:r>
    </w:p>
    <w:p>
      <w:pPr>
        <w:pStyle w:val="ListParagraph"/>
        <w:numPr>
          <w:ilvl w:val="0"/>
          <w:numId w:val="4"/>
        </w:numPr>
        <w:rPr>
          <w:rFonts w:ascii="Verdana" w:hAnsi="Verdana"/>
          <w:sz w:val="24"/>
          <w:szCs w:val="24"/>
        </w:rPr>
      </w:pPr>
      <w:r>
        <w:rPr>
          <w:rFonts w:ascii="Verdana" w:hAnsi="Verdana"/>
          <w:sz w:val="24"/>
          <w:szCs w:val="24"/>
        </w:rPr>
        <w:t>Acheter si on estime que la volatilité implicite est sous-estimée (plus rare et plus difficile ?).</w:t>
      </w:r>
    </w:p>
    <w:p>
      <w:pPr>
        <w:pStyle w:val="Normal"/>
        <w:rPr>
          <w:rFonts w:ascii="Verdana" w:hAnsi="Verdana"/>
          <w:sz w:val="24"/>
          <w:szCs w:val="24"/>
        </w:rPr>
      </w:pPr>
      <w:r>
        <w:rPr>
          <w:rFonts w:ascii="Verdana" w:hAnsi="Verdana"/>
          <w:sz w:val="24"/>
          <w:szCs w:val="24"/>
        </w:rPr>
      </w:r>
    </w:p>
    <w:p>
      <w:pPr>
        <w:pStyle w:val="Normal"/>
        <w:rPr>
          <w:rFonts w:ascii="Verdana" w:hAnsi="Verdana"/>
          <w:b/>
          <w:bCs/>
          <w:i/>
          <w:i/>
          <w:iCs/>
          <w:sz w:val="24"/>
          <w:szCs w:val="24"/>
        </w:rPr>
      </w:pPr>
      <w:r>
        <w:rPr>
          <w:rFonts w:ascii="Verdana" w:hAnsi="Verdana"/>
          <w:b/>
          <w:bCs/>
          <w:i/>
          <w:iCs/>
          <w:sz w:val="24"/>
          <w:szCs w:val="24"/>
        </w:rPr>
        <w:t>Hedging</w:t>
      </w:r>
    </w:p>
    <w:p>
      <w:pPr>
        <w:pStyle w:val="Normal"/>
        <w:rPr>
          <w:rFonts w:ascii="Verdana" w:hAnsi="Verdana"/>
          <w:sz w:val="24"/>
          <w:szCs w:val="24"/>
        </w:rPr>
      </w:pPr>
      <w:r>
        <w:rPr>
          <w:rFonts w:ascii="Verdana" w:hAnsi="Verdana"/>
          <w:sz w:val="24"/>
          <w:szCs w:val="24"/>
        </w:rPr>
        <w:t xml:space="preserve">Il faut supprimer les composantes autres que la volatilité elle-même par le hedging : delta neutral, gamma neutral. </w:t>
      </w:r>
    </w:p>
    <w:p>
      <w:pPr>
        <w:pStyle w:val="Normal"/>
        <w:rPr>
          <w:rFonts w:ascii="Verdana" w:hAnsi="Verdana"/>
          <w:sz w:val="24"/>
          <w:szCs w:val="24"/>
        </w:rPr>
      </w:pPr>
      <w:r>
        <w:rPr>
          <w:rFonts w:ascii="Verdana" w:hAnsi="Verdana"/>
          <w:sz w:val="24"/>
          <w:szCs w:val="24"/>
        </w:rPr>
        <w:t>Le hedging doit être monitoré selon l’évolution du titre. Plusieurs techniques possibles : à date fixe, si on excède une position en deltas, technique de bande (cf. ref [3]).</w:t>
      </w:r>
    </w:p>
    <w:p>
      <w:pPr>
        <w:pStyle w:val="Normal"/>
        <w:rPr>
          <w:rFonts w:ascii="Verdana" w:hAnsi="Verdana"/>
          <w:sz w:val="24"/>
          <w:szCs w:val="24"/>
        </w:rPr>
      </w:pPr>
      <w:r>
        <w:rPr>
          <w:rFonts w:ascii="Verdana" w:hAnsi="Verdana"/>
          <w:sz w:val="24"/>
          <w:szCs w:val="24"/>
        </w:rPr>
        <w:t>Theta a peu d’impact pratiquement jusqu’à la fin de l’option.</w:t>
      </w:r>
    </w:p>
    <w:p>
      <w:pPr>
        <w:pStyle w:val="Normal"/>
        <w:rPr>
          <w:rFonts w:ascii="Verdana" w:hAnsi="Verdana"/>
          <w:sz w:val="24"/>
          <w:szCs w:val="24"/>
        </w:rPr>
      </w:pPr>
      <w:r>
        <w:rPr>
          <w:rFonts w:ascii="Verdana" w:hAnsi="Verdana"/>
          <w:sz w:val="24"/>
          <w:szCs w:val="24"/>
        </w:rPr>
        <w:t xml:space="preserve">Même en période de basse volatilité il est possible de vendre de la volatilité, ex : </w:t>
      </w:r>
      <w:r>
        <w:rPr>
          <w:rFonts w:ascii="Verdana" w:hAnsi="Verdana"/>
          <w:b/>
          <w:bCs/>
          <w:sz w:val="24"/>
          <w:szCs w:val="24"/>
        </w:rPr>
        <w:t>SVXY vs. VIX</w:t>
      </w:r>
    </w:p>
    <w:p>
      <w:pPr>
        <w:pStyle w:val="Normal"/>
        <w:rPr>
          <w:rFonts w:ascii="Verdana" w:hAnsi="Verdana"/>
          <w:sz w:val="24"/>
          <w:szCs w:val="24"/>
          <w:lang w:val="de-CH"/>
        </w:rPr>
      </w:pPr>
      <w:r>
        <w:rPr>
          <w:rFonts w:ascii="Verdana" w:hAnsi="Verdana"/>
          <w:sz w:val="24"/>
          <w:szCs w:val="24"/>
          <w:lang w:val="de-CH"/>
        </w:rPr>
        <w:t>«SVXY doing great in 2017 when VIX was doing nothing»</w:t>
      </w:r>
    </w:p>
    <w:p>
      <w:pPr>
        <w:pStyle w:val="Normal"/>
        <w:rPr/>
      </w:pPr>
      <w:r>
        <w:rPr/>
        <w:drawing>
          <wp:inline distT="0" distB="0" distL="0" distR="0">
            <wp:extent cx="5760720" cy="3321050"/>
            <wp:effectExtent l="0" t="0" r="0" b="0"/>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7"/>
                    <a:stretch>
                      <a:fillRect/>
                    </a:stretch>
                  </pic:blipFill>
                  <pic:spPr bwMode="auto">
                    <a:xfrm>
                      <a:off x="0" y="0"/>
                      <a:ext cx="5760720" cy="3321050"/>
                    </a:xfrm>
                    <a:prstGeom prst="rect">
                      <a:avLst/>
                    </a:prstGeom>
                  </pic:spPr>
                </pic:pic>
              </a:graphicData>
            </a:graphic>
          </wp:inline>
        </w:drawing>
      </w:r>
    </w:p>
    <w:p>
      <w:pPr>
        <w:pStyle w:val="Normal"/>
        <w:rPr/>
      </w:pPr>
      <w:r>
        <w:rPr/>
        <w:drawing>
          <wp:inline distT="0" distB="0" distL="0" distR="0">
            <wp:extent cx="5760720" cy="2985770"/>
            <wp:effectExtent l="0" t="0" r="0" b="0"/>
            <wp:docPr id="4"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
                    <pic:cNvPicPr>
                      <a:picLocks noChangeAspect="1" noChangeArrowheads="1"/>
                    </pic:cNvPicPr>
                  </pic:nvPicPr>
                  <pic:blipFill>
                    <a:blip r:embed="rId8"/>
                    <a:stretch>
                      <a:fillRect/>
                    </a:stretch>
                  </pic:blipFill>
                  <pic:spPr bwMode="auto">
                    <a:xfrm>
                      <a:off x="0" y="0"/>
                      <a:ext cx="5760720" cy="2985770"/>
                    </a:xfrm>
                    <a:prstGeom prst="rect">
                      <a:avLst/>
                    </a:prstGeom>
                  </pic:spPr>
                </pic:pic>
              </a:graphicData>
            </a:graphic>
          </wp:inline>
        </w:drawing>
      </w:r>
    </w:p>
    <w:p>
      <w:pPr>
        <w:pStyle w:val="Normal"/>
        <w:rPr/>
      </w:pPr>
      <w:r>
        <w:rPr/>
        <w:t xml:space="preserve">Source : </w:t>
      </w:r>
      <w:hyperlink r:id="rId9">
        <w:r>
          <w:rPr>
            <w:rStyle w:val="LienInternet"/>
          </w:rPr>
          <w:t>(13) Ultimate Guide to Selling Options Profitably PART 10 - Selling High IV Rank (In depth study) : options (reddit.com)</w:t>
        </w:r>
      </w:hyperlink>
    </w:p>
    <w:p>
      <w:pPr>
        <w:pStyle w:val="Normal"/>
        <w:rPr/>
      </w:pPr>
      <w:r>
        <w:rPr/>
      </w:r>
    </w:p>
    <w:p>
      <w:pPr>
        <w:pStyle w:val="Normal"/>
        <w:rPr>
          <w:rFonts w:ascii="Calibri Light" w:hAnsi="Calibri Light" w:eastAsia="" w:cs="" w:asciiTheme="majorHAnsi" w:cstheme="majorBidi" w:eastAsiaTheme="majorEastAsia" w:hAnsiTheme="majorHAnsi"/>
          <w:color w:val="2F5496" w:themeColor="accent1" w:themeShade="bf"/>
          <w:sz w:val="32"/>
          <w:szCs w:val="32"/>
        </w:rPr>
      </w:pPr>
      <w:r>
        <w:rPr>
          <w:rFonts w:eastAsia="" w:cs="" w:cstheme="majorBidi" w:eastAsiaTheme="majorEastAsia" w:ascii="Calibri Light" w:hAnsi="Calibri Light"/>
          <w:color w:val="2F5496" w:themeColor="accent1" w:themeShade="bf"/>
          <w:sz w:val="32"/>
          <w:szCs w:val="32"/>
        </w:rPr>
      </w:r>
      <w:r>
        <w:br w:type="page"/>
      </w:r>
    </w:p>
    <w:p>
      <w:pPr>
        <w:pStyle w:val="Titre1"/>
        <w:rPr/>
      </w:pPr>
      <w:bookmarkStart w:id="6" w:name="_Toc123243895"/>
      <w:r>
        <w:rPr/>
        <w:t>Annexe : Calcul du IV par IBKR dans la TWS (page Option Chain)</w:t>
      </w:r>
      <w:bookmarkEnd w:id="6"/>
    </w:p>
    <w:p>
      <w:pPr>
        <w:pStyle w:val="Normal"/>
        <w:rPr/>
      </w:pPr>
      <w:r>
        <w:rPr/>
      </w:r>
    </w:p>
    <w:p>
      <w:pPr>
        <w:pStyle w:val="NormalWeb"/>
        <w:shd w:val="clear" w:color="auto" w:fill="FFFFFF"/>
        <w:spacing w:beforeAutospacing="0" w:before="0" w:afterAutospacing="0" w:after="150"/>
        <w:rPr>
          <w:rFonts w:ascii="Verdana" w:hAnsi="Verdana"/>
          <w:color w:val="222222"/>
        </w:rPr>
      </w:pPr>
      <w:r>
        <w:rPr>
          <w:rFonts w:ascii="Verdana" w:hAnsi="Verdana"/>
          <w:color w:val="222222"/>
        </w:rPr>
        <w:t>Implied volatility measures the uncertainty of the underlying's price implied from the options prices.</w:t>
      </w:r>
    </w:p>
    <w:p>
      <w:pPr>
        <w:pStyle w:val="NormalWeb"/>
        <w:shd w:val="clear" w:color="auto" w:fill="FFFFFF"/>
        <w:spacing w:beforeAutospacing="0" w:before="150" w:afterAutospacing="0" w:after="150"/>
        <w:rPr>
          <w:rFonts w:ascii="Verdana" w:hAnsi="Verdana"/>
          <w:color w:val="222222"/>
        </w:rPr>
      </w:pPr>
      <w:r>
        <w:rPr>
          <w:rFonts w:ascii="Verdana" w:hAnsi="Verdana"/>
          <w:color w:val="222222"/>
        </w:rPr>
        <w:t>Implied volatility is calculated using a 100-step binary tree for American style options, and a Black-Scholes model for European style options. Interest rates are calculated using the settlement prices from the day’s Eurodollar futures contracts, and dividends are based on historical payouts.</w:t>
      </w:r>
    </w:p>
    <w:p>
      <w:pPr>
        <w:pStyle w:val="NormalWeb"/>
        <w:shd w:val="clear" w:color="auto" w:fill="FFFFFF"/>
        <w:spacing w:beforeAutospacing="0" w:before="150" w:afterAutospacing="0" w:after="150"/>
        <w:rPr>
          <w:rFonts w:ascii="Verdana" w:hAnsi="Verdana"/>
          <w:color w:val="222222"/>
        </w:rPr>
      </w:pPr>
      <w:r>
        <w:rPr>
          <w:rFonts w:ascii="Verdana" w:hAnsi="Verdana"/>
          <w:color w:val="222222"/>
        </w:rPr>
        <w:t xml:space="preserve">The 30-day volatility is the at-market volatility estimated for a maturity thirty calendar days forward of the current trading day. It is based on option prices from two consecutive expiration months. </w:t>
      </w:r>
      <w:r>
        <w:rPr>
          <w:rFonts w:ascii="Verdana" w:hAnsi="Verdana"/>
          <w:color w:val="222222"/>
          <w:lang w:val="de-CH"/>
        </w:rPr>
        <w:t xml:space="preserve">The first expiration month is that which has at least eight calendar days to run. </w:t>
      </w:r>
      <w:r>
        <w:rPr>
          <w:rFonts w:ascii="Verdana" w:hAnsi="Verdana"/>
          <w:color w:val="222222"/>
        </w:rPr>
        <w:t xml:space="preserve">The implied volatility is estimated for the eight options on the four closest to market strikes in each expiry. The implied volatilities are fit to a parabola as a function of the strike price for each expiry. </w:t>
      </w:r>
    </w:p>
    <w:p>
      <w:pPr>
        <w:pStyle w:val="NormalWeb"/>
        <w:shd w:val="clear" w:color="auto" w:fill="FFFFFF"/>
        <w:spacing w:beforeAutospacing="0" w:before="150" w:afterAutospacing="0" w:after="150"/>
        <w:rPr>
          <w:rFonts w:ascii="Verdana" w:hAnsi="Verdana"/>
          <w:color w:val="222222"/>
        </w:rPr>
      </w:pPr>
      <w:r>
        <w:rPr>
          <w:rFonts w:ascii="Verdana" w:hAnsi="Verdana"/>
          <w:color w:val="222222"/>
        </w:rPr>
        <w:t>The at-the-market implied volatility for an expiry is then taken to be the value of the fit parabola at the expected future price for the expiry. A linear interpolation (or extrapolation, as required) of the 30-day variance based on the squares of the at-market volatilities is performed. V30 is then the square root of the estimated variance. If there is no first expiration month with less than sixty calendar days to run, we do not calculate a V30.</w:t>
      </w:r>
    </w:p>
    <w:p>
      <w:pPr>
        <w:pStyle w:val="Normal"/>
        <w:rPr/>
      </w:pPr>
      <w:r>
        <w:rPr/>
      </w:r>
    </w:p>
    <w:p>
      <w:pPr>
        <w:pStyle w:val="Normal"/>
        <w:widowControl/>
        <w:bidi w:val="0"/>
        <w:spacing w:lineRule="auto" w:line="259" w:before="0" w:after="160"/>
        <w:jc w:val="left"/>
        <w:rPr/>
      </w:pPr>
      <w:r>
        <w:rPr/>
      </w:r>
    </w:p>
    <w:sectPr>
      <w:footerReference w:type="default" r:id="rId10"/>
      <w:type w:val="nextPage"/>
      <w:pgSz w:w="11906" w:h="16838"/>
      <w:pgMar w:left="1417" w:right="1417" w:gutter="0" w:header="0"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Verdana">
    <w:charset w:val="00"/>
    <w:family w:val="roman"/>
    <w:pitch w:val="variable"/>
  </w:font>
  <w:font w:name="inherit">
    <w:charset w:val="00"/>
    <w:family w:val="roman"/>
    <w:pitch w:val="variable"/>
  </w:font>
  <w:font w:name="Arial">
    <w:charset w:val="00"/>
    <w:family w:val="roman"/>
    <w:pitch w:val="variable"/>
  </w:font>
  <w:font w:name="SerifaStd-Bold">
    <w:charset w:val="00"/>
    <w:family w:val="roman"/>
    <w:pitch w:val="variable"/>
  </w:font>
  <w:font w:name="PerpetuaStd">
    <w:charset w:val="00"/>
    <w:family w:val="roman"/>
    <w:pitch w:val="variable"/>
  </w:font>
  <w:font w:name="Verdana">
    <w:charset w:val="01"/>
    <w:family w:val="swiss"/>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jc w:val="center"/>
      <w:rPr>
        <w:caps/>
        <w:color w:val="4472C4" w:themeColor="accent1"/>
      </w:rPr>
    </w:pPr>
    <w:r>
      <w:rPr>
        <w:caps/>
        <w:color w:val="4472C4"/>
      </w:rPr>
      <w:fldChar w:fldCharType="begin"/>
    </w:r>
    <w:r>
      <w:rPr>
        <w:caps/>
        <w:color w:val="4472C4"/>
      </w:rPr>
      <w:instrText xml:space="preserve"> PAGE </w:instrText>
    </w:r>
    <w:r>
      <w:rPr>
        <w:caps/>
        <w:color w:val="4472C4"/>
      </w:rPr>
      <w:fldChar w:fldCharType="separate"/>
    </w:r>
    <w:r>
      <w:rPr>
        <w:caps/>
        <w:color w:val="4472C4"/>
      </w:rPr>
      <w:t>7</w:t>
    </w:r>
    <w:r>
      <w:rPr>
        <w:caps/>
        <w:color w:val="4472C4"/>
      </w:rPr>
      <w:fldChar w:fldCharType="end"/>
    </w:r>
    <w:r>
      <w:rPr>
        <w:caps/>
        <w:color w:val="4472C4" w:themeColor="accent1"/>
      </w:rPr>
      <w:t>/</w:t>
    </w:r>
    <w:r>
      <w:rPr>
        <w:caps/>
        <w:color w:val="4472C4"/>
      </w:rPr>
      <w:fldChar w:fldCharType="begin"/>
    </w:r>
    <w:r>
      <w:rPr>
        <w:caps/>
        <w:color w:val="4472C4"/>
      </w:rPr>
      <w:instrText xml:space="preserve"> NUMPAGES </w:instrText>
    </w:r>
    <w:r>
      <w:rPr>
        <w:caps/>
        <w:color w:val="4472C4"/>
      </w:rPr>
      <w:fldChar w:fldCharType="separate"/>
    </w:r>
    <w:r>
      <w:rPr>
        <w:caps/>
        <w:color w:val="4472C4"/>
      </w:rPr>
      <w:t>8</w:t>
    </w:r>
    <w:r>
      <w:rPr>
        <w:caps/>
        <w:color w:val="4472C4"/>
      </w:rPr>
      <w:fldChar w:fldCharType="end"/>
    </w:r>
  </w:p>
  <w:p>
    <w:pPr>
      <w:pStyle w:val="Pieddepag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decimal"/>
      <w:lvlText w:val="%1"/>
      <w:lvlJc w:val="left"/>
      <w:pPr>
        <w:tabs>
          <w:tab w:val="num" w:pos="0"/>
        </w:tabs>
        <w:ind w:left="432" w:hanging="432"/>
      </w:pPr>
      <w:rPr/>
    </w:lvl>
    <w:lvl w:ilvl="1">
      <w:start w:val="1"/>
      <w:pStyle w:val="Titre2"/>
      <w:numFmt w:val="decimal"/>
      <w:lvlText w:val="%1.%2"/>
      <w:lvlJc w:val="left"/>
      <w:pPr>
        <w:tabs>
          <w:tab w:val="num" w:pos="0"/>
        </w:tabs>
        <w:ind w:left="576" w:hanging="576"/>
      </w:pPr>
      <w:rPr/>
    </w:lvl>
    <w:lvl w:ilvl="2">
      <w:start w:val="1"/>
      <w:pStyle w:val="Titre3"/>
      <w:numFmt w:val="decimal"/>
      <w:lvlText w:val="%1.%2.%3"/>
      <w:lvlJc w:val="left"/>
      <w:pPr>
        <w:tabs>
          <w:tab w:val="num" w:pos="0"/>
        </w:tabs>
        <w:ind w:left="720" w:hanging="720"/>
      </w:pPr>
      <w:rPr/>
    </w:lvl>
    <w:lvl w:ilvl="3">
      <w:start w:val="1"/>
      <w:pStyle w:val="Titre4"/>
      <w:numFmt w:val="decimal"/>
      <w:lvlText w:val="%1.%2.%3.%4"/>
      <w:lvlJc w:val="left"/>
      <w:pPr>
        <w:tabs>
          <w:tab w:val="num" w:pos="0"/>
        </w:tabs>
        <w:ind w:left="864" w:hanging="864"/>
      </w:pPr>
      <w:rPr/>
    </w:lvl>
    <w:lvl w:ilvl="4">
      <w:start w:val="1"/>
      <w:pStyle w:val="Titre5"/>
      <w:numFmt w:val="decimal"/>
      <w:lvlText w:val="%1.%2.%3.%4.%5"/>
      <w:lvlJc w:val="left"/>
      <w:pPr>
        <w:tabs>
          <w:tab w:val="num" w:pos="0"/>
        </w:tabs>
        <w:ind w:left="1008" w:hanging="1008"/>
      </w:pPr>
      <w:rPr/>
    </w:lvl>
    <w:lvl w:ilvl="5">
      <w:start w:val="1"/>
      <w:pStyle w:val="Titre6"/>
      <w:numFmt w:val="decimal"/>
      <w:lvlText w:val="%1.%2.%3.%4.%5.%6"/>
      <w:lvlJc w:val="left"/>
      <w:pPr>
        <w:tabs>
          <w:tab w:val="num" w:pos="0"/>
        </w:tabs>
        <w:ind w:left="1152" w:hanging="1152"/>
      </w:pPr>
      <w:rPr/>
    </w:lvl>
    <w:lvl w:ilvl="6">
      <w:start w:val="1"/>
      <w:pStyle w:val="Titre7"/>
      <w:numFmt w:val="decimal"/>
      <w:lvlText w:val="%1.%2.%3.%4.%5.%6.%7"/>
      <w:lvlJc w:val="left"/>
      <w:pPr>
        <w:tabs>
          <w:tab w:val="num" w:pos="0"/>
        </w:tabs>
        <w:ind w:left="1296" w:hanging="1296"/>
      </w:pPr>
      <w:rPr/>
    </w:lvl>
    <w:lvl w:ilvl="7">
      <w:start w:val="1"/>
      <w:pStyle w:val="Titre8"/>
      <w:numFmt w:val="decimal"/>
      <w:lvlText w:val="%1.%2.%3.%4.%5.%6.%7.%8"/>
      <w:lvlJc w:val="left"/>
      <w:pPr>
        <w:tabs>
          <w:tab w:val="num" w:pos="0"/>
        </w:tabs>
        <w:ind w:left="1440" w:hanging="1440"/>
      </w:pPr>
      <w:rPr/>
    </w:lvl>
    <w:lvl w:ilvl="8">
      <w:start w:val="1"/>
      <w:pStyle w:val="Titre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2"/>
      <w:numFmt w:val="bullet"/>
      <w:lvlText w:val="-"/>
      <w:lvlJc w:val="left"/>
      <w:pPr>
        <w:tabs>
          <w:tab w:val="num" w:pos="0"/>
        </w:tabs>
        <w:ind w:left="720" w:hanging="360"/>
      </w:pPr>
      <w:rPr>
        <w:rFonts w:ascii="Verdana" w:hAnsi="Verdana" w:cs="Verdana"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2"/>
      <w:numFmt w:val="bullet"/>
      <w:lvlText w:val="-"/>
      <w:lvlJc w:val="left"/>
      <w:pPr>
        <w:tabs>
          <w:tab w:val="num" w:pos="0"/>
        </w:tabs>
        <w:ind w:left="804" w:hanging="360"/>
      </w:pPr>
      <w:rPr>
        <w:rFonts w:ascii="Verdana" w:hAnsi="Verdana" w:cs="Verdana" w:hint="default"/>
        <w:rFonts w:cstheme="minorBidi" w:eastAsiaTheme="minorHAnsi"/>
      </w:rPr>
    </w:lvl>
    <w:lvl w:ilvl="1">
      <w:start w:val="1"/>
      <w:numFmt w:val="bullet"/>
      <w:lvlText w:val="o"/>
      <w:lvlJc w:val="left"/>
      <w:pPr>
        <w:tabs>
          <w:tab w:val="num" w:pos="0"/>
        </w:tabs>
        <w:ind w:left="1524" w:hanging="360"/>
      </w:pPr>
      <w:rPr>
        <w:rFonts w:ascii="Courier New" w:hAnsi="Courier New" w:cs="Courier New" w:hint="default"/>
      </w:rPr>
    </w:lvl>
    <w:lvl w:ilvl="2">
      <w:start w:val="1"/>
      <w:numFmt w:val="bullet"/>
      <w:lvlText w:val=""/>
      <w:lvlJc w:val="left"/>
      <w:pPr>
        <w:tabs>
          <w:tab w:val="num" w:pos="0"/>
        </w:tabs>
        <w:ind w:left="2244" w:hanging="360"/>
      </w:pPr>
      <w:rPr>
        <w:rFonts w:ascii="Wingdings" w:hAnsi="Wingdings" w:cs="Wingdings" w:hint="default"/>
      </w:rPr>
    </w:lvl>
    <w:lvl w:ilvl="3">
      <w:start w:val="1"/>
      <w:numFmt w:val="bullet"/>
      <w:lvlText w:val=""/>
      <w:lvlJc w:val="left"/>
      <w:pPr>
        <w:tabs>
          <w:tab w:val="num" w:pos="0"/>
        </w:tabs>
        <w:ind w:left="2964" w:hanging="360"/>
      </w:pPr>
      <w:rPr>
        <w:rFonts w:ascii="Symbol" w:hAnsi="Symbol" w:cs="Symbol" w:hint="default"/>
      </w:rPr>
    </w:lvl>
    <w:lvl w:ilvl="4">
      <w:start w:val="1"/>
      <w:numFmt w:val="bullet"/>
      <w:lvlText w:val="o"/>
      <w:lvlJc w:val="left"/>
      <w:pPr>
        <w:tabs>
          <w:tab w:val="num" w:pos="0"/>
        </w:tabs>
        <w:ind w:left="3684" w:hanging="360"/>
      </w:pPr>
      <w:rPr>
        <w:rFonts w:ascii="Courier New" w:hAnsi="Courier New" w:cs="Courier New" w:hint="default"/>
      </w:rPr>
    </w:lvl>
    <w:lvl w:ilvl="5">
      <w:start w:val="1"/>
      <w:numFmt w:val="bullet"/>
      <w:lvlText w:val=""/>
      <w:lvlJc w:val="left"/>
      <w:pPr>
        <w:tabs>
          <w:tab w:val="num" w:pos="0"/>
        </w:tabs>
        <w:ind w:left="4404" w:hanging="360"/>
      </w:pPr>
      <w:rPr>
        <w:rFonts w:ascii="Wingdings" w:hAnsi="Wingdings" w:cs="Wingdings" w:hint="default"/>
      </w:rPr>
    </w:lvl>
    <w:lvl w:ilvl="6">
      <w:start w:val="1"/>
      <w:numFmt w:val="bullet"/>
      <w:lvlText w:val=""/>
      <w:lvlJc w:val="left"/>
      <w:pPr>
        <w:tabs>
          <w:tab w:val="num" w:pos="0"/>
        </w:tabs>
        <w:ind w:left="5124" w:hanging="360"/>
      </w:pPr>
      <w:rPr>
        <w:rFonts w:ascii="Symbol" w:hAnsi="Symbol" w:cs="Symbol" w:hint="default"/>
      </w:rPr>
    </w:lvl>
    <w:lvl w:ilvl="7">
      <w:start w:val="1"/>
      <w:numFmt w:val="bullet"/>
      <w:lvlText w:val="o"/>
      <w:lvlJc w:val="left"/>
      <w:pPr>
        <w:tabs>
          <w:tab w:val="num" w:pos="0"/>
        </w:tabs>
        <w:ind w:left="5844" w:hanging="360"/>
      </w:pPr>
      <w:rPr>
        <w:rFonts w:ascii="Courier New" w:hAnsi="Courier New" w:cs="Courier New" w:hint="default"/>
      </w:rPr>
    </w:lvl>
    <w:lvl w:ilvl="8">
      <w:start w:val="1"/>
      <w:numFmt w:val="bullet"/>
      <w:lvlText w:val=""/>
      <w:lvlJc w:val="left"/>
      <w:pPr>
        <w:tabs>
          <w:tab w:val="num" w:pos="0"/>
        </w:tabs>
        <w:ind w:left="6564" w:hanging="360"/>
      </w:pPr>
      <w:rPr>
        <w:rFonts w:ascii="Wingdings" w:hAnsi="Wingdings" w:cs="Wingdings" w:hint="default"/>
      </w:rPr>
    </w:lvl>
  </w:abstractNum>
  <w:abstractNum w:abstractNumId="5">
    <w:lvl w:ilvl="0">
      <w:start w:val="12"/>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CH" w:eastAsia="en-US" w:bidi="ar-SA"/>
    </w:rPr>
  </w:style>
  <w:style w:type="paragraph" w:styleId="Titre1">
    <w:name w:val="Heading 1"/>
    <w:basedOn w:val="Normal"/>
    <w:next w:val="Normal"/>
    <w:link w:val="Titre1Car"/>
    <w:uiPriority w:val="9"/>
    <w:qFormat/>
    <w:rsid w:val="00820307"/>
    <w:pPr>
      <w:keepNext w:val="true"/>
      <w:keepLines/>
      <w:numPr>
        <w:ilvl w:val="0"/>
        <w:numId w:val="1"/>
      </w:numPr>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Titre2">
    <w:name w:val="Heading 2"/>
    <w:basedOn w:val="Normal"/>
    <w:next w:val="Normal"/>
    <w:link w:val="Titre2Car"/>
    <w:uiPriority w:val="9"/>
    <w:semiHidden/>
    <w:unhideWhenUsed/>
    <w:qFormat/>
    <w:rsid w:val="00820307"/>
    <w:pPr>
      <w:keepNext w:val="true"/>
      <w:keepLines/>
      <w:numPr>
        <w:ilvl w:val="1"/>
        <w:numId w:val="1"/>
      </w:numPr>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Titre3">
    <w:name w:val="Heading 3"/>
    <w:basedOn w:val="Normal"/>
    <w:next w:val="Normal"/>
    <w:link w:val="Titre3Car"/>
    <w:uiPriority w:val="9"/>
    <w:semiHidden/>
    <w:unhideWhenUsed/>
    <w:qFormat/>
    <w:rsid w:val="00820307"/>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paragraph" w:styleId="Titre4">
    <w:name w:val="Heading 4"/>
    <w:basedOn w:val="Normal"/>
    <w:next w:val="Normal"/>
    <w:link w:val="Titre4Car"/>
    <w:uiPriority w:val="9"/>
    <w:semiHidden/>
    <w:unhideWhenUsed/>
    <w:qFormat/>
    <w:rsid w:val="0082030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Titre5">
    <w:name w:val="Heading 5"/>
    <w:basedOn w:val="Normal"/>
    <w:next w:val="Normal"/>
    <w:link w:val="Titre5Car"/>
    <w:uiPriority w:val="9"/>
    <w:semiHidden/>
    <w:unhideWhenUsed/>
    <w:qFormat/>
    <w:rsid w:val="00820307"/>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paragraph" w:styleId="Titre6">
    <w:name w:val="Heading 6"/>
    <w:basedOn w:val="Normal"/>
    <w:next w:val="Normal"/>
    <w:link w:val="Titre6Car"/>
    <w:uiPriority w:val="9"/>
    <w:semiHidden/>
    <w:unhideWhenUsed/>
    <w:qFormat/>
    <w:rsid w:val="00820307"/>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val="1F3763" w:themeColor="accent1" w:themeShade="7f"/>
    </w:rPr>
  </w:style>
  <w:style w:type="paragraph" w:styleId="Titre7">
    <w:name w:val="Heading 7"/>
    <w:basedOn w:val="Normal"/>
    <w:next w:val="Normal"/>
    <w:link w:val="Titre7Car"/>
    <w:uiPriority w:val="9"/>
    <w:semiHidden/>
    <w:unhideWhenUsed/>
    <w:qFormat/>
    <w:rsid w:val="00820307"/>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val="1F3763" w:themeColor="accent1" w:themeShade="7f"/>
    </w:rPr>
  </w:style>
  <w:style w:type="paragraph" w:styleId="Titre8">
    <w:name w:val="Heading 8"/>
    <w:basedOn w:val="Normal"/>
    <w:next w:val="Normal"/>
    <w:link w:val="Titre8Car"/>
    <w:uiPriority w:val="9"/>
    <w:semiHidden/>
    <w:unhideWhenUsed/>
    <w:qFormat/>
    <w:rsid w:val="00820307"/>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Titre9">
    <w:name w:val="Heading 9"/>
    <w:basedOn w:val="Normal"/>
    <w:next w:val="Normal"/>
    <w:link w:val="Titre9Car"/>
    <w:uiPriority w:val="9"/>
    <w:semiHidden/>
    <w:unhideWhenUsed/>
    <w:qFormat/>
    <w:rsid w:val="00820307"/>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820307"/>
    <w:rPr>
      <w:rFonts w:ascii="Calibri Light" w:hAnsi="Calibri Light" w:eastAsia="" w:cs="" w:asciiTheme="majorHAnsi" w:cstheme="majorBidi" w:eastAsiaTheme="majorEastAsia" w:hAnsiTheme="majorHAnsi"/>
      <w:color w:val="2F5496" w:themeColor="accent1" w:themeShade="bf"/>
      <w:sz w:val="32"/>
      <w:szCs w:val="32"/>
    </w:rPr>
  </w:style>
  <w:style w:type="character" w:styleId="Titre2Car" w:customStyle="1">
    <w:name w:val="Titre 2 Car"/>
    <w:basedOn w:val="DefaultParagraphFont"/>
    <w:uiPriority w:val="9"/>
    <w:semiHidden/>
    <w:qFormat/>
    <w:rsid w:val="00820307"/>
    <w:rPr>
      <w:rFonts w:ascii="Calibri Light" w:hAnsi="Calibri Light" w:eastAsia="" w:cs="" w:asciiTheme="majorHAnsi" w:cstheme="majorBidi" w:eastAsiaTheme="majorEastAsia" w:hAnsiTheme="majorHAnsi"/>
      <w:color w:val="2F5496" w:themeColor="accent1" w:themeShade="bf"/>
      <w:sz w:val="26"/>
      <w:szCs w:val="26"/>
    </w:rPr>
  </w:style>
  <w:style w:type="character" w:styleId="Titre3Car" w:customStyle="1">
    <w:name w:val="Titre 3 Car"/>
    <w:basedOn w:val="DefaultParagraphFont"/>
    <w:uiPriority w:val="9"/>
    <w:semiHidden/>
    <w:qFormat/>
    <w:rsid w:val="00820307"/>
    <w:rPr>
      <w:rFonts w:ascii="Calibri Light" w:hAnsi="Calibri Light" w:eastAsia="" w:cs="" w:asciiTheme="majorHAnsi" w:cstheme="majorBidi" w:eastAsiaTheme="majorEastAsia" w:hAnsiTheme="majorHAnsi"/>
      <w:color w:val="1F3763" w:themeColor="accent1" w:themeShade="7f"/>
      <w:sz w:val="24"/>
      <w:szCs w:val="24"/>
    </w:rPr>
  </w:style>
  <w:style w:type="character" w:styleId="Titre4Car" w:customStyle="1">
    <w:name w:val="Titre 4 Car"/>
    <w:basedOn w:val="DefaultParagraphFont"/>
    <w:uiPriority w:val="9"/>
    <w:semiHidden/>
    <w:qFormat/>
    <w:rsid w:val="00820307"/>
    <w:rPr>
      <w:rFonts w:ascii="Calibri Light" w:hAnsi="Calibri Light" w:eastAsia="" w:cs="" w:asciiTheme="majorHAnsi" w:cstheme="majorBidi" w:eastAsiaTheme="majorEastAsia" w:hAnsiTheme="majorHAnsi"/>
      <w:i/>
      <w:iCs/>
      <w:color w:val="2F5496" w:themeColor="accent1" w:themeShade="bf"/>
    </w:rPr>
  </w:style>
  <w:style w:type="character" w:styleId="Titre5Car" w:customStyle="1">
    <w:name w:val="Titre 5 Car"/>
    <w:basedOn w:val="DefaultParagraphFont"/>
    <w:uiPriority w:val="9"/>
    <w:semiHidden/>
    <w:qFormat/>
    <w:rsid w:val="00820307"/>
    <w:rPr>
      <w:rFonts w:ascii="Calibri Light" w:hAnsi="Calibri Light" w:eastAsia="" w:cs="" w:asciiTheme="majorHAnsi" w:cstheme="majorBidi" w:eastAsiaTheme="majorEastAsia" w:hAnsiTheme="majorHAnsi"/>
      <w:color w:val="2F5496" w:themeColor="accent1" w:themeShade="bf"/>
    </w:rPr>
  </w:style>
  <w:style w:type="character" w:styleId="Titre6Car" w:customStyle="1">
    <w:name w:val="Titre 6 Car"/>
    <w:basedOn w:val="DefaultParagraphFont"/>
    <w:uiPriority w:val="9"/>
    <w:semiHidden/>
    <w:qFormat/>
    <w:rsid w:val="00820307"/>
    <w:rPr>
      <w:rFonts w:ascii="Calibri Light" w:hAnsi="Calibri Light" w:eastAsia="" w:cs="" w:asciiTheme="majorHAnsi" w:cstheme="majorBidi" w:eastAsiaTheme="majorEastAsia" w:hAnsiTheme="majorHAnsi"/>
      <w:color w:val="1F3763" w:themeColor="accent1" w:themeShade="7f"/>
    </w:rPr>
  </w:style>
  <w:style w:type="character" w:styleId="Titre7Car" w:customStyle="1">
    <w:name w:val="Titre 7 Car"/>
    <w:basedOn w:val="DefaultParagraphFont"/>
    <w:uiPriority w:val="9"/>
    <w:semiHidden/>
    <w:qFormat/>
    <w:rsid w:val="00820307"/>
    <w:rPr>
      <w:rFonts w:ascii="Calibri Light" w:hAnsi="Calibri Light" w:eastAsia="" w:cs="" w:asciiTheme="majorHAnsi" w:cstheme="majorBidi" w:eastAsiaTheme="majorEastAsia" w:hAnsiTheme="majorHAnsi"/>
      <w:i/>
      <w:iCs/>
      <w:color w:val="1F3763" w:themeColor="accent1" w:themeShade="7f"/>
    </w:rPr>
  </w:style>
  <w:style w:type="character" w:styleId="Titre8Car" w:customStyle="1">
    <w:name w:val="Titre 8 Car"/>
    <w:basedOn w:val="DefaultParagraphFont"/>
    <w:uiPriority w:val="9"/>
    <w:semiHidden/>
    <w:qFormat/>
    <w:rsid w:val="00820307"/>
    <w:rPr>
      <w:rFonts w:ascii="Calibri Light" w:hAnsi="Calibri Light" w:eastAsia="" w:cs="" w:asciiTheme="majorHAnsi" w:cstheme="majorBidi" w:eastAsiaTheme="majorEastAsia" w:hAnsiTheme="majorHAnsi"/>
      <w:color w:val="272727" w:themeColor="text1" w:themeTint="d8"/>
      <w:sz w:val="21"/>
      <w:szCs w:val="21"/>
    </w:rPr>
  </w:style>
  <w:style w:type="character" w:styleId="Titre9Car" w:customStyle="1">
    <w:name w:val="Titre 9 Car"/>
    <w:basedOn w:val="DefaultParagraphFont"/>
    <w:uiPriority w:val="9"/>
    <w:semiHidden/>
    <w:qFormat/>
    <w:rsid w:val="00820307"/>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En-tteCar" w:customStyle="1">
    <w:name w:val="En-tête Car"/>
    <w:basedOn w:val="DefaultParagraphFont"/>
    <w:uiPriority w:val="99"/>
    <w:qFormat/>
    <w:rsid w:val="00f825a4"/>
    <w:rPr/>
  </w:style>
  <w:style w:type="character" w:styleId="PieddepageCar" w:customStyle="1">
    <w:name w:val="Pied de page Car"/>
    <w:basedOn w:val="DefaultParagraphFont"/>
    <w:uiPriority w:val="99"/>
    <w:qFormat/>
    <w:rsid w:val="00f825a4"/>
    <w:rPr/>
  </w:style>
  <w:style w:type="character" w:styleId="TitreCar" w:customStyle="1">
    <w:name w:val="Titre Car"/>
    <w:basedOn w:val="DefaultParagraphFont"/>
    <w:uiPriority w:val="10"/>
    <w:qFormat/>
    <w:rsid w:val="002f5239"/>
    <w:rPr>
      <w:rFonts w:ascii="Calibri Light" w:hAnsi="Calibri Light" w:eastAsia="" w:cs="" w:asciiTheme="majorHAnsi" w:cstheme="majorBidi" w:eastAsiaTheme="majorEastAsia" w:hAnsiTheme="majorHAnsi"/>
      <w:spacing w:val="-10"/>
      <w:kern w:val="2"/>
      <w:sz w:val="56"/>
      <w:szCs w:val="56"/>
    </w:rPr>
  </w:style>
  <w:style w:type="character" w:styleId="LienInternet">
    <w:name w:val="Hyperlink"/>
    <w:basedOn w:val="DefaultParagraphFont"/>
    <w:uiPriority w:val="99"/>
    <w:unhideWhenUsed/>
    <w:rsid w:val="006431ab"/>
    <w:rPr>
      <w:color w:val="0563C1" w:themeColor="hyperlink"/>
      <w:u w:val="single"/>
    </w:rPr>
  </w:style>
  <w:style w:type="character" w:styleId="2vf2j19puimsljfky-7pei" w:customStyle="1">
    <w:name w:val="_2vf2j19puimsljfky-7pei"/>
    <w:basedOn w:val="DefaultParagraphFont"/>
    <w:qFormat/>
    <w:rsid w:val="00677aac"/>
    <w:rPr/>
  </w:style>
  <w:style w:type="character" w:styleId="Sautdindex">
    <w:name w:val="Saut d'index"/>
    <w:qFormat/>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5e0bf3"/>
    <w:pPr>
      <w:spacing w:lineRule="auto" w:line="240" w:beforeAutospacing="1" w:afterAutospacing="1"/>
    </w:pPr>
    <w:rPr>
      <w:rFonts w:ascii="Times New Roman" w:hAnsi="Times New Roman" w:eastAsia="Times New Roman" w:cs="Times New Roman"/>
      <w:sz w:val="24"/>
      <w:szCs w:val="24"/>
      <w:lang w:eastAsia="fr-CH"/>
    </w:rPr>
  </w:style>
  <w:style w:type="paragraph" w:styleId="ListParagraph">
    <w:name w:val="List Paragraph"/>
    <w:basedOn w:val="Normal"/>
    <w:uiPriority w:val="34"/>
    <w:qFormat/>
    <w:rsid w:val="00ef2747"/>
    <w:pPr>
      <w:spacing w:before="0" w:after="160"/>
      <w:ind w:left="720" w:hanging="0"/>
      <w:contextualSpacing/>
    </w:pPr>
    <w:rPr/>
  </w:style>
  <w:style w:type="paragraph" w:styleId="En-tteetpieddepage">
    <w:name w:val="En-tête et pied de page"/>
    <w:basedOn w:val="Normal"/>
    <w:qFormat/>
    <w:pPr/>
    <w:rPr/>
  </w:style>
  <w:style w:type="paragraph" w:styleId="En-tte">
    <w:name w:val="Header"/>
    <w:basedOn w:val="Normal"/>
    <w:link w:val="En-tteCar"/>
    <w:uiPriority w:val="99"/>
    <w:unhideWhenUsed/>
    <w:rsid w:val="00f825a4"/>
    <w:pPr>
      <w:tabs>
        <w:tab w:val="clear" w:pos="708"/>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rsid w:val="00f825a4"/>
    <w:pPr>
      <w:tabs>
        <w:tab w:val="clear" w:pos="708"/>
        <w:tab w:val="center" w:pos="4536" w:leader="none"/>
        <w:tab w:val="right" w:pos="9072" w:leader="none"/>
      </w:tabs>
      <w:spacing w:lineRule="auto" w:line="240" w:before="0" w:after="0"/>
    </w:pPr>
    <w:rPr/>
  </w:style>
  <w:style w:type="paragraph" w:styleId="Titreprincipal">
    <w:name w:val="Title"/>
    <w:basedOn w:val="Normal"/>
    <w:next w:val="Normal"/>
    <w:link w:val="TitreCar"/>
    <w:uiPriority w:val="10"/>
    <w:qFormat/>
    <w:rsid w:val="002f5239"/>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Indexlexicaltitre">
    <w:name w:val="Index Heading"/>
    <w:basedOn w:val="Titre"/>
    <w:pPr/>
    <w:rPr/>
  </w:style>
  <w:style w:type="paragraph" w:styleId="Titredetabledesmatires">
    <w:name w:val="TOC Heading"/>
    <w:basedOn w:val="Titre1"/>
    <w:next w:val="Normal"/>
    <w:uiPriority w:val="39"/>
    <w:unhideWhenUsed/>
    <w:qFormat/>
    <w:rsid w:val="006431ab"/>
    <w:pPr>
      <w:numPr>
        <w:ilvl w:val="0"/>
        <w:numId w:val="0"/>
      </w:numPr>
      <w:outlineLvl w:val="9"/>
    </w:pPr>
    <w:rPr>
      <w:lang w:eastAsia="fr-CH"/>
    </w:rPr>
  </w:style>
  <w:style w:type="paragraph" w:styleId="Tabledesmatiresniveau1">
    <w:name w:val="TOC 1"/>
    <w:basedOn w:val="Normal"/>
    <w:next w:val="Normal"/>
    <w:autoRedefine/>
    <w:uiPriority w:val="39"/>
    <w:unhideWhenUsed/>
    <w:rsid w:val="006431ab"/>
    <w:pPr>
      <w:spacing w:before="0" w:after="100"/>
    </w:pPr>
    <w:rPr/>
  </w:style>
  <w:style w:type="paragraph" w:styleId="Tabledesmatiresniveau2">
    <w:name w:val="TOC 2"/>
    <w:basedOn w:val="Index"/>
    <w:pPr/>
    <w:rPr/>
  </w:style>
  <w:style w:type="paragraph" w:styleId="Tabledesmatiresniveau3">
    <w:name w:val="TOC 3"/>
    <w:basedOn w:val="Index"/>
    <w:pPr/>
    <w:rPr/>
  </w:style>
  <w:style w:type="paragraph" w:styleId="Tabledesmatiresniveau4">
    <w:name w:val="TOC 4"/>
    <w:basedOn w:val="Index"/>
    <w:pPr/>
    <w:rPr/>
  </w:style>
  <w:style w:type="paragraph" w:styleId="Tabledesmatiresniveau5">
    <w:name w:val="TOC 5"/>
    <w:basedOn w:val="Index"/>
    <w:pPr/>
    <w:rPr/>
  </w:style>
  <w:style w:type="paragraph" w:styleId="Tabledesmatiresniveau6">
    <w:name w:val="TOC 6"/>
    <w:basedOn w:val="Index"/>
    <w:pPr/>
    <w:rPr/>
  </w:style>
  <w:style w:type="paragraph" w:styleId="Tabledesmatiresniveau7">
    <w:name w:val="TOC 7"/>
    <w:basedOn w:val="Index"/>
    <w:pPr/>
    <w:rPr/>
  </w:style>
  <w:style w:type="paragraph" w:styleId="Tabledesmatiresniveau8">
    <w:name w:val="TOC 8"/>
    <w:basedOn w:val="Index"/>
    <w:pPr/>
    <w:rPr/>
  </w:style>
  <w:style w:type="paragraph" w:styleId="Tabledesmatiresniveau9">
    <w:name w:val="TOC 9"/>
    <w:basedOn w:val="Index"/>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e76a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ddit.com/r/options/comments/q6pq5c/ultimate_guide_to_selling_options_profitably_part/" TargetMode="External"/><Relationship Id="rId3" Type="http://schemas.openxmlformats.org/officeDocument/2006/relationships/hyperlink" Target="https://www.reddit.com/user/AlphaGiveth/"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support.spotgamma.com/hc/en-us/articles/15413261162387-Gamma-Flip" TargetMode="Externa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www.reddit.com/r/options/comments/qcxsmb/ultimate_guide_to_selling_options_profitably_part/" TargetMode="Externa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0D03C-A97A-4F9B-B152-EC8AFB38C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10925</TotalTime>
  <Application>LibreOffice/7.5.7.1$Windows_X86_64 LibreOffice_project/47eb0cf7efbacdee9b19ae25d6752381ede23126</Application>
  <AppVersion>15.0000</AppVersion>
  <Pages>8</Pages>
  <Words>1541</Words>
  <Characters>7824</Characters>
  <CharactersWithSpaces>9198</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2022-11-25T20:12:00Z</dcterms:created>
  <dc:creator>Alexis Martin</dc:creator>
  <dc:description/>
  <dc:language>fr-CH</dc:language>
  <cp:lastModifiedBy/>
  <dcterms:modified xsi:type="dcterms:W3CDTF">2024-12-20T16:01:13Z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