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EABE5" w14:textId="52459855" w:rsidR="00AC3D24" w:rsidRDefault="00AC3D24">
      <w:r>
        <w:rPr>
          <w:b/>
          <w:bCs/>
        </w:rPr>
        <w:t xml:space="preserve">From: </w:t>
      </w:r>
      <w:r>
        <w:t>Huxley Rust</w:t>
      </w:r>
      <w:r>
        <w:br/>
      </w:r>
      <w:r>
        <w:rPr>
          <w:b/>
          <w:bCs/>
        </w:rPr>
        <w:t xml:space="preserve">Date: </w:t>
      </w:r>
      <w:r>
        <w:t xml:space="preserve"> 28/05/2025</w:t>
      </w:r>
      <w:r>
        <w:br/>
      </w:r>
      <w:r>
        <w:rPr>
          <w:b/>
          <w:bCs/>
        </w:rPr>
        <w:t xml:space="preserve">Subject: </w:t>
      </w:r>
      <w:r>
        <w:t>Analysis of the transient response of an RLC circuit</w:t>
      </w:r>
    </w:p>
    <w:p w14:paraId="28E7B846" w14:textId="77777777" w:rsidR="00AC3D24" w:rsidRDefault="00AC3D24"/>
    <w:p w14:paraId="395D7884" w14:textId="51E53E96" w:rsidR="00AC3D24" w:rsidRDefault="00AC3D24">
      <w:pPr>
        <w:rPr>
          <w:b/>
          <w:bCs/>
          <w:sz w:val="28"/>
          <w:szCs w:val="28"/>
        </w:rPr>
      </w:pPr>
      <w:r>
        <w:rPr>
          <w:b/>
          <w:bCs/>
          <w:sz w:val="28"/>
          <w:szCs w:val="28"/>
        </w:rPr>
        <w:t>Introduction</w:t>
      </w:r>
    </w:p>
    <w:p w14:paraId="05894544" w14:textId="77777777" w:rsidR="00AC3D24" w:rsidRDefault="00AC3D24">
      <w:pPr>
        <w:rPr>
          <w:b/>
          <w:bCs/>
          <w:sz w:val="22"/>
          <w:szCs w:val="22"/>
        </w:rPr>
      </w:pPr>
    </w:p>
    <w:p w14:paraId="01273DB3" w14:textId="77777777" w:rsidR="00AC3D24" w:rsidRDefault="00AC3D24">
      <w:pPr>
        <w:rPr>
          <w:b/>
          <w:bCs/>
          <w:sz w:val="22"/>
          <w:szCs w:val="22"/>
        </w:rPr>
      </w:pPr>
    </w:p>
    <w:p w14:paraId="373530B0" w14:textId="77777777" w:rsidR="00AC3D24" w:rsidRDefault="00AC3D24">
      <w:pPr>
        <w:rPr>
          <w:b/>
          <w:bCs/>
          <w:sz w:val="22"/>
          <w:szCs w:val="22"/>
        </w:rPr>
      </w:pPr>
    </w:p>
    <w:p w14:paraId="14F859BB" w14:textId="77777777" w:rsidR="00AC3D24" w:rsidRDefault="00AC3D24" w:rsidP="00AC3D24">
      <w:pPr>
        <w:rPr>
          <w:b/>
          <w:bCs/>
          <w:sz w:val="28"/>
          <w:szCs w:val="28"/>
        </w:rPr>
      </w:pPr>
      <w:r w:rsidRPr="00AC3D24">
        <w:rPr>
          <w:b/>
          <w:bCs/>
          <w:sz w:val="28"/>
          <w:szCs w:val="28"/>
        </w:rPr>
        <w:t>RLC Circuit Analysis</w:t>
      </w:r>
    </w:p>
    <w:p w14:paraId="354A290A" w14:textId="11B62D66" w:rsidR="00AC3D24" w:rsidRDefault="00AC3D24" w:rsidP="00AC3D24">
      <w:pPr>
        <w:pStyle w:val="ListParagraph"/>
        <w:numPr>
          <w:ilvl w:val="0"/>
          <w:numId w:val="5"/>
        </w:numPr>
        <w:rPr>
          <w:b/>
          <w:bCs/>
          <w:sz w:val="22"/>
          <w:szCs w:val="22"/>
        </w:rPr>
      </w:pPr>
      <w:r w:rsidRPr="00AC3D24">
        <w:rPr>
          <w:b/>
          <w:bCs/>
          <w:sz w:val="22"/>
          <w:szCs w:val="22"/>
        </w:rPr>
        <w:t>Measured Component Values:</w:t>
      </w:r>
    </w:p>
    <w:p w14:paraId="1E75E848" w14:textId="4665201F" w:rsidR="00CA06B7" w:rsidRPr="00CA06B7" w:rsidRDefault="00AC3D24" w:rsidP="00CA06B7">
      <w:pPr>
        <w:pStyle w:val="ListParagraph"/>
        <w:numPr>
          <w:ilvl w:val="1"/>
          <w:numId w:val="5"/>
        </w:numPr>
        <w:rPr>
          <w:b/>
          <w:bCs/>
          <w:sz w:val="22"/>
          <w:szCs w:val="22"/>
        </w:rPr>
      </w:pPr>
      <w:r>
        <w:rPr>
          <w:sz w:val="22"/>
          <w:szCs w:val="22"/>
        </w:rPr>
        <w:t xml:space="preserve">As a result of the inductor in our circuit having a resistance of 399Ω we adapted the circuit and instead used a 22Ω resistor. This combined with the 50Ω resistor caused by the function generator was enough to get us to our desired value of 470Ω. </w:t>
      </w:r>
      <w:r w:rsidR="00CA06B7">
        <w:rPr>
          <w:sz w:val="22"/>
          <w:szCs w:val="22"/>
        </w:rPr>
        <w:t>Later</w:t>
      </w:r>
      <w:r>
        <w:rPr>
          <w:sz w:val="22"/>
          <w:szCs w:val="22"/>
        </w:rPr>
        <w:t xml:space="preserve">, instead of using the 2200Ω resistor we opted to add together a 1500Ω resistor and a 330Ω resistor (combined with the 399Ω from the inductor) to get to 2200Ω. And eventually when we were attempting to reach </w:t>
      </w:r>
      <w:proofErr w:type="gramStart"/>
      <w:r w:rsidR="00CD4D98">
        <w:rPr>
          <w:sz w:val="22"/>
          <w:szCs w:val="22"/>
        </w:rPr>
        <w:t>critically</w:t>
      </w:r>
      <w:proofErr w:type="gramEnd"/>
      <w:r>
        <w:rPr>
          <w:sz w:val="22"/>
          <w:szCs w:val="22"/>
        </w:rPr>
        <w:t xml:space="preserve"> </w:t>
      </w:r>
      <w:proofErr w:type="gramStart"/>
      <w:r w:rsidR="00CA06B7">
        <w:rPr>
          <w:sz w:val="22"/>
          <w:szCs w:val="22"/>
        </w:rPr>
        <w:t>damped</w:t>
      </w:r>
      <w:proofErr w:type="gramEnd"/>
      <w:r w:rsidR="00CA06B7">
        <w:rPr>
          <w:sz w:val="22"/>
          <w:szCs w:val="22"/>
        </w:rPr>
        <w:t>,</w:t>
      </w:r>
      <w:r>
        <w:rPr>
          <w:sz w:val="22"/>
          <w:szCs w:val="22"/>
        </w:rPr>
        <w:t xml:space="preserve"> we used a 1500Ω, a 68Ω, and a 22Ω resistor (combined with the 399Ω from the inductor) to attempt to reach a critically damped attitude in our circuit.</w:t>
      </w:r>
    </w:p>
    <w:tbl>
      <w:tblPr>
        <w:tblStyle w:val="TableGrid"/>
        <w:tblW w:w="0" w:type="auto"/>
        <w:tblLook w:val="04A0" w:firstRow="1" w:lastRow="0" w:firstColumn="1" w:lastColumn="0" w:noHBand="0" w:noVBand="1"/>
      </w:tblPr>
      <w:tblGrid>
        <w:gridCol w:w="1271"/>
        <w:gridCol w:w="1559"/>
        <w:gridCol w:w="1560"/>
        <w:gridCol w:w="1559"/>
        <w:gridCol w:w="1559"/>
        <w:gridCol w:w="1740"/>
        <w:gridCol w:w="1542"/>
      </w:tblGrid>
      <w:tr w:rsidR="00AC3D24" w14:paraId="14296E07" w14:textId="77777777" w:rsidTr="00CA06B7">
        <w:tc>
          <w:tcPr>
            <w:tcW w:w="1271" w:type="dxa"/>
          </w:tcPr>
          <w:p w14:paraId="6FE631D0" w14:textId="77777777" w:rsidR="00AC3D24" w:rsidRDefault="00AC3D24" w:rsidP="00CA06B7">
            <w:pPr>
              <w:jc w:val="center"/>
              <w:rPr>
                <w:b/>
                <w:bCs/>
                <w:sz w:val="22"/>
                <w:szCs w:val="22"/>
              </w:rPr>
            </w:pPr>
          </w:p>
        </w:tc>
        <w:tc>
          <w:tcPr>
            <w:tcW w:w="1559" w:type="dxa"/>
          </w:tcPr>
          <w:p w14:paraId="6D11D9E4" w14:textId="520A2F08" w:rsidR="00AC3D24" w:rsidRDefault="00AC3D24" w:rsidP="00CA06B7">
            <w:pPr>
              <w:jc w:val="center"/>
              <w:rPr>
                <w:b/>
                <w:bCs/>
                <w:sz w:val="22"/>
                <w:szCs w:val="22"/>
              </w:rPr>
            </w:pPr>
            <w:r>
              <w:rPr>
                <w:b/>
                <w:bCs/>
                <w:sz w:val="22"/>
                <w:szCs w:val="22"/>
              </w:rPr>
              <w:t>L</w:t>
            </w:r>
          </w:p>
        </w:tc>
        <w:tc>
          <w:tcPr>
            <w:tcW w:w="1560" w:type="dxa"/>
          </w:tcPr>
          <w:p w14:paraId="60E0FE3B" w14:textId="6BBB2F07" w:rsidR="00AC3D24" w:rsidRDefault="00AC3D24" w:rsidP="00CA06B7">
            <w:pPr>
              <w:jc w:val="center"/>
              <w:rPr>
                <w:b/>
                <w:bCs/>
                <w:sz w:val="22"/>
                <w:szCs w:val="22"/>
              </w:rPr>
            </w:pPr>
            <w:r>
              <w:rPr>
                <w:b/>
                <w:bCs/>
                <w:sz w:val="22"/>
                <w:szCs w:val="22"/>
              </w:rPr>
              <w:t>C</w:t>
            </w:r>
          </w:p>
        </w:tc>
        <w:tc>
          <w:tcPr>
            <w:tcW w:w="1559" w:type="dxa"/>
          </w:tcPr>
          <w:p w14:paraId="328607C2" w14:textId="169CE16C" w:rsidR="00AC3D24" w:rsidRPr="00AC3D24" w:rsidRDefault="00AC3D24" w:rsidP="00CA06B7">
            <w:pPr>
              <w:jc w:val="center"/>
              <w:rPr>
                <w:b/>
                <w:bCs/>
                <w:sz w:val="22"/>
                <w:szCs w:val="22"/>
                <w:vertAlign w:val="subscript"/>
              </w:rPr>
            </w:pPr>
            <w:r>
              <w:rPr>
                <w:b/>
                <w:bCs/>
                <w:sz w:val="22"/>
                <w:szCs w:val="22"/>
              </w:rPr>
              <w:t>R</w:t>
            </w:r>
            <w:r>
              <w:rPr>
                <w:b/>
                <w:bCs/>
                <w:sz w:val="22"/>
                <w:szCs w:val="22"/>
                <w:vertAlign w:val="subscript"/>
              </w:rPr>
              <w:t>L</w:t>
            </w:r>
          </w:p>
        </w:tc>
        <w:tc>
          <w:tcPr>
            <w:tcW w:w="1559" w:type="dxa"/>
          </w:tcPr>
          <w:p w14:paraId="5AE46DA6" w14:textId="259795FC" w:rsidR="00AC3D24" w:rsidRPr="00CA06B7" w:rsidRDefault="00AC3D24" w:rsidP="00CA06B7">
            <w:pPr>
              <w:jc w:val="center"/>
              <w:rPr>
                <w:b/>
                <w:bCs/>
                <w:sz w:val="22"/>
                <w:szCs w:val="22"/>
              </w:rPr>
            </w:pPr>
            <w:r>
              <w:rPr>
                <w:b/>
                <w:bCs/>
                <w:sz w:val="22"/>
                <w:szCs w:val="22"/>
              </w:rPr>
              <w:t>R</w:t>
            </w:r>
            <w:r>
              <w:rPr>
                <w:b/>
                <w:bCs/>
                <w:sz w:val="22"/>
                <w:szCs w:val="22"/>
                <w:vertAlign w:val="subscript"/>
              </w:rPr>
              <w:t>22Ω</w:t>
            </w:r>
            <w:r w:rsidR="00CA06B7">
              <w:rPr>
                <w:b/>
                <w:bCs/>
                <w:sz w:val="22"/>
                <w:szCs w:val="22"/>
              </w:rPr>
              <w:t xml:space="preserve"> </w:t>
            </w:r>
            <w:r w:rsidR="00CA06B7" w:rsidRPr="00CA06B7">
              <w:rPr>
                <w:sz w:val="22"/>
                <w:szCs w:val="22"/>
              </w:rPr>
              <w:t>(UD)</w:t>
            </w:r>
          </w:p>
        </w:tc>
        <w:tc>
          <w:tcPr>
            <w:tcW w:w="1740" w:type="dxa"/>
          </w:tcPr>
          <w:p w14:paraId="084F60C9" w14:textId="75508A0C" w:rsidR="00AC3D24" w:rsidRPr="00CA06B7" w:rsidRDefault="00AC3D24" w:rsidP="00CA06B7">
            <w:pPr>
              <w:jc w:val="center"/>
              <w:rPr>
                <w:b/>
                <w:bCs/>
                <w:sz w:val="22"/>
                <w:szCs w:val="22"/>
              </w:rPr>
            </w:pPr>
            <w:r>
              <w:rPr>
                <w:b/>
                <w:bCs/>
                <w:sz w:val="22"/>
                <w:szCs w:val="22"/>
              </w:rPr>
              <w:t>R</w:t>
            </w:r>
            <w:r>
              <w:rPr>
                <w:b/>
                <w:bCs/>
                <w:sz w:val="22"/>
                <w:szCs w:val="22"/>
                <w:vertAlign w:val="subscript"/>
              </w:rPr>
              <w:t>1.5kΩ + 330Ω</w:t>
            </w:r>
            <w:r w:rsidR="00CA06B7">
              <w:rPr>
                <w:b/>
                <w:bCs/>
                <w:sz w:val="22"/>
                <w:szCs w:val="22"/>
              </w:rPr>
              <w:t xml:space="preserve"> </w:t>
            </w:r>
            <w:r w:rsidR="00CA06B7" w:rsidRPr="00CA06B7">
              <w:rPr>
                <w:sz w:val="22"/>
                <w:szCs w:val="22"/>
              </w:rPr>
              <w:t>(OD)</w:t>
            </w:r>
          </w:p>
        </w:tc>
        <w:tc>
          <w:tcPr>
            <w:tcW w:w="1542" w:type="dxa"/>
          </w:tcPr>
          <w:p w14:paraId="6840AC93" w14:textId="233DDD85" w:rsidR="00AC3D24" w:rsidRPr="00CA06B7" w:rsidRDefault="00AC3D24" w:rsidP="00CA06B7">
            <w:pPr>
              <w:jc w:val="center"/>
              <w:rPr>
                <w:b/>
                <w:bCs/>
                <w:sz w:val="22"/>
                <w:szCs w:val="22"/>
              </w:rPr>
            </w:pPr>
            <w:r>
              <w:rPr>
                <w:b/>
                <w:bCs/>
                <w:sz w:val="22"/>
                <w:szCs w:val="22"/>
              </w:rPr>
              <w:t>R</w:t>
            </w:r>
            <w:r w:rsidR="00CA06B7">
              <w:rPr>
                <w:b/>
                <w:bCs/>
                <w:sz w:val="22"/>
                <w:szCs w:val="22"/>
                <w:vertAlign w:val="subscript"/>
              </w:rPr>
              <w:t>CD</w:t>
            </w:r>
            <w:r w:rsidR="00CA06B7">
              <w:rPr>
                <w:b/>
                <w:bCs/>
                <w:sz w:val="22"/>
                <w:szCs w:val="22"/>
              </w:rPr>
              <w:t xml:space="preserve"> </w:t>
            </w:r>
            <w:r w:rsidR="00CA06B7" w:rsidRPr="00CA06B7">
              <w:rPr>
                <w:sz w:val="22"/>
                <w:szCs w:val="22"/>
              </w:rPr>
              <w:t>(CD)</w:t>
            </w:r>
          </w:p>
        </w:tc>
      </w:tr>
      <w:tr w:rsidR="00AC3D24" w14:paraId="4091CB21" w14:textId="77777777" w:rsidTr="00CA06B7">
        <w:tc>
          <w:tcPr>
            <w:tcW w:w="1271" w:type="dxa"/>
          </w:tcPr>
          <w:p w14:paraId="146EC83B" w14:textId="1F5F3103" w:rsidR="00AC3D24" w:rsidRDefault="00AC3D24" w:rsidP="00CA06B7">
            <w:pPr>
              <w:jc w:val="center"/>
              <w:rPr>
                <w:b/>
                <w:bCs/>
                <w:sz w:val="22"/>
                <w:szCs w:val="22"/>
              </w:rPr>
            </w:pPr>
            <w:r>
              <w:rPr>
                <w:b/>
                <w:bCs/>
                <w:sz w:val="22"/>
                <w:szCs w:val="22"/>
              </w:rPr>
              <w:t>Expected</w:t>
            </w:r>
          </w:p>
        </w:tc>
        <w:tc>
          <w:tcPr>
            <w:tcW w:w="1559" w:type="dxa"/>
          </w:tcPr>
          <w:p w14:paraId="7904300F" w14:textId="35BE749C" w:rsidR="00AC3D24" w:rsidRPr="00CA06B7" w:rsidRDefault="00CA06B7" w:rsidP="00CA06B7">
            <w:pPr>
              <w:jc w:val="center"/>
              <w:rPr>
                <w:sz w:val="22"/>
                <w:szCs w:val="22"/>
              </w:rPr>
            </w:pPr>
            <w:r w:rsidRPr="00CA06B7">
              <w:rPr>
                <w:sz w:val="22"/>
                <w:szCs w:val="22"/>
              </w:rPr>
              <w:t>100mH</w:t>
            </w:r>
          </w:p>
        </w:tc>
        <w:tc>
          <w:tcPr>
            <w:tcW w:w="1560" w:type="dxa"/>
          </w:tcPr>
          <w:p w14:paraId="30B4AB3B" w14:textId="5FE622BD" w:rsidR="00AC3D24" w:rsidRPr="00CA06B7" w:rsidRDefault="00CA06B7" w:rsidP="00CA06B7">
            <w:pPr>
              <w:jc w:val="center"/>
              <w:rPr>
                <w:sz w:val="22"/>
                <w:szCs w:val="22"/>
              </w:rPr>
            </w:pPr>
            <w:r>
              <w:rPr>
                <w:sz w:val="22"/>
                <w:szCs w:val="22"/>
              </w:rPr>
              <w:t>0.1 µF</w:t>
            </w:r>
          </w:p>
        </w:tc>
        <w:tc>
          <w:tcPr>
            <w:tcW w:w="1559" w:type="dxa"/>
          </w:tcPr>
          <w:p w14:paraId="1E19D2F9" w14:textId="1218F29D" w:rsidR="00AC3D24" w:rsidRPr="00CA06B7" w:rsidRDefault="00CA06B7" w:rsidP="00CA06B7">
            <w:pPr>
              <w:jc w:val="center"/>
              <w:rPr>
                <w:sz w:val="22"/>
                <w:szCs w:val="22"/>
              </w:rPr>
            </w:pPr>
            <w:r>
              <w:rPr>
                <w:sz w:val="22"/>
                <w:szCs w:val="22"/>
              </w:rPr>
              <w:t>-</w:t>
            </w:r>
          </w:p>
        </w:tc>
        <w:tc>
          <w:tcPr>
            <w:tcW w:w="1559" w:type="dxa"/>
          </w:tcPr>
          <w:p w14:paraId="5FBF5A72" w14:textId="6581F6A8" w:rsidR="00AC3D24" w:rsidRPr="00CA06B7" w:rsidRDefault="00CA06B7" w:rsidP="00CA06B7">
            <w:pPr>
              <w:jc w:val="center"/>
              <w:rPr>
                <w:sz w:val="22"/>
                <w:szCs w:val="22"/>
              </w:rPr>
            </w:pPr>
            <w:r>
              <w:rPr>
                <w:sz w:val="22"/>
                <w:szCs w:val="22"/>
              </w:rPr>
              <w:t>22Ω</w:t>
            </w:r>
          </w:p>
        </w:tc>
        <w:tc>
          <w:tcPr>
            <w:tcW w:w="1740" w:type="dxa"/>
          </w:tcPr>
          <w:p w14:paraId="4AFDA5E6" w14:textId="78726C76" w:rsidR="00AC3D24" w:rsidRPr="00CA06B7" w:rsidRDefault="00CA06B7" w:rsidP="00CA06B7">
            <w:pPr>
              <w:jc w:val="center"/>
              <w:rPr>
                <w:sz w:val="22"/>
                <w:szCs w:val="22"/>
              </w:rPr>
            </w:pPr>
            <w:r>
              <w:rPr>
                <w:sz w:val="22"/>
                <w:szCs w:val="22"/>
              </w:rPr>
              <w:t>18</w:t>
            </w:r>
            <w:r w:rsidR="001071A0">
              <w:rPr>
                <w:sz w:val="22"/>
                <w:szCs w:val="22"/>
              </w:rPr>
              <w:t>3</w:t>
            </w:r>
            <w:r>
              <w:rPr>
                <w:sz w:val="22"/>
                <w:szCs w:val="22"/>
              </w:rPr>
              <w:t>0Ω</w:t>
            </w:r>
          </w:p>
        </w:tc>
        <w:tc>
          <w:tcPr>
            <w:tcW w:w="1542" w:type="dxa"/>
          </w:tcPr>
          <w:p w14:paraId="7FD24443" w14:textId="15011C8B" w:rsidR="00AC3D24" w:rsidRPr="00CA06B7" w:rsidRDefault="00CA06B7" w:rsidP="00CA06B7">
            <w:pPr>
              <w:jc w:val="center"/>
              <w:rPr>
                <w:sz w:val="22"/>
                <w:szCs w:val="22"/>
              </w:rPr>
            </w:pPr>
            <w:r>
              <w:rPr>
                <w:sz w:val="22"/>
                <w:szCs w:val="22"/>
              </w:rPr>
              <w:t>1590Ω</w:t>
            </w:r>
          </w:p>
        </w:tc>
      </w:tr>
      <w:tr w:rsidR="00AC3D24" w14:paraId="4C18C6B1" w14:textId="77777777" w:rsidTr="00CA06B7">
        <w:tc>
          <w:tcPr>
            <w:tcW w:w="1271" w:type="dxa"/>
          </w:tcPr>
          <w:p w14:paraId="342A9684" w14:textId="14566916" w:rsidR="00AC3D24" w:rsidRDefault="00AC3D24" w:rsidP="00CA06B7">
            <w:pPr>
              <w:jc w:val="center"/>
              <w:rPr>
                <w:b/>
                <w:bCs/>
                <w:sz w:val="22"/>
                <w:szCs w:val="22"/>
              </w:rPr>
            </w:pPr>
            <w:r>
              <w:rPr>
                <w:b/>
                <w:bCs/>
                <w:sz w:val="22"/>
                <w:szCs w:val="22"/>
              </w:rPr>
              <w:t>Measured</w:t>
            </w:r>
          </w:p>
        </w:tc>
        <w:tc>
          <w:tcPr>
            <w:tcW w:w="1559" w:type="dxa"/>
          </w:tcPr>
          <w:p w14:paraId="60DD2483" w14:textId="03BCBE3B" w:rsidR="00AC3D24" w:rsidRPr="00CA06B7" w:rsidRDefault="00CA06B7" w:rsidP="00CA06B7">
            <w:pPr>
              <w:jc w:val="center"/>
              <w:rPr>
                <w:sz w:val="22"/>
                <w:szCs w:val="22"/>
              </w:rPr>
            </w:pPr>
            <w:r w:rsidRPr="00CA06B7">
              <w:rPr>
                <w:sz w:val="22"/>
                <w:szCs w:val="22"/>
              </w:rPr>
              <w:t>104mH</w:t>
            </w:r>
          </w:p>
        </w:tc>
        <w:tc>
          <w:tcPr>
            <w:tcW w:w="1560" w:type="dxa"/>
          </w:tcPr>
          <w:p w14:paraId="1ECE9846" w14:textId="06D0C4C2" w:rsidR="00AC3D24" w:rsidRPr="00CA06B7" w:rsidRDefault="00CA06B7" w:rsidP="00CA06B7">
            <w:pPr>
              <w:jc w:val="center"/>
              <w:rPr>
                <w:sz w:val="22"/>
                <w:szCs w:val="22"/>
              </w:rPr>
            </w:pPr>
            <w:r>
              <w:rPr>
                <w:sz w:val="22"/>
                <w:szCs w:val="22"/>
              </w:rPr>
              <w:t>0.107 µF</w:t>
            </w:r>
          </w:p>
        </w:tc>
        <w:tc>
          <w:tcPr>
            <w:tcW w:w="1559" w:type="dxa"/>
          </w:tcPr>
          <w:p w14:paraId="76B4715F" w14:textId="692C21F0" w:rsidR="00AC3D24" w:rsidRPr="00CA06B7" w:rsidRDefault="00CA06B7" w:rsidP="00CA06B7">
            <w:pPr>
              <w:jc w:val="center"/>
              <w:rPr>
                <w:sz w:val="22"/>
                <w:szCs w:val="22"/>
              </w:rPr>
            </w:pPr>
            <w:r>
              <w:rPr>
                <w:sz w:val="22"/>
                <w:szCs w:val="22"/>
              </w:rPr>
              <w:t>399.0Ω</w:t>
            </w:r>
          </w:p>
        </w:tc>
        <w:tc>
          <w:tcPr>
            <w:tcW w:w="1559" w:type="dxa"/>
          </w:tcPr>
          <w:p w14:paraId="036E2F58" w14:textId="755B036D" w:rsidR="00AC3D24" w:rsidRPr="00CA06B7" w:rsidRDefault="00CA06B7" w:rsidP="00CA06B7">
            <w:pPr>
              <w:jc w:val="center"/>
              <w:rPr>
                <w:sz w:val="22"/>
                <w:szCs w:val="22"/>
              </w:rPr>
            </w:pPr>
            <w:r>
              <w:rPr>
                <w:sz w:val="22"/>
                <w:szCs w:val="22"/>
              </w:rPr>
              <w:t>21.785Ω</w:t>
            </w:r>
          </w:p>
        </w:tc>
        <w:tc>
          <w:tcPr>
            <w:tcW w:w="1740" w:type="dxa"/>
          </w:tcPr>
          <w:p w14:paraId="351AF0C0" w14:textId="04798ACD" w:rsidR="00AC3D24" w:rsidRPr="00CA06B7" w:rsidRDefault="00CA06B7" w:rsidP="00CA06B7">
            <w:pPr>
              <w:jc w:val="center"/>
              <w:rPr>
                <w:sz w:val="22"/>
                <w:szCs w:val="22"/>
              </w:rPr>
            </w:pPr>
            <w:r>
              <w:rPr>
                <w:sz w:val="22"/>
                <w:szCs w:val="22"/>
              </w:rPr>
              <w:t>1801Ω</w:t>
            </w:r>
          </w:p>
        </w:tc>
        <w:tc>
          <w:tcPr>
            <w:tcW w:w="1542" w:type="dxa"/>
          </w:tcPr>
          <w:p w14:paraId="6592CEEA" w14:textId="5A1385B8" w:rsidR="00AC3D24" w:rsidRPr="00CA06B7" w:rsidRDefault="00CA06B7" w:rsidP="00CA06B7">
            <w:pPr>
              <w:jc w:val="center"/>
              <w:rPr>
                <w:sz w:val="22"/>
                <w:szCs w:val="22"/>
              </w:rPr>
            </w:pPr>
            <w:r>
              <w:rPr>
                <w:sz w:val="22"/>
                <w:szCs w:val="22"/>
              </w:rPr>
              <w:t>1567Ω</w:t>
            </w:r>
          </w:p>
        </w:tc>
      </w:tr>
    </w:tbl>
    <w:p w14:paraId="00B497B2" w14:textId="77777777" w:rsidR="00AC3D24" w:rsidRDefault="00AC3D24" w:rsidP="00AC3D24">
      <w:pPr>
        <w:rPr>
          <w:b/>
          <w:bCs/>
          <w:sz w:val="22"/>
          <w:szCs w:val="22"/>
        </w:rPr>
      </w:pPr>
    </w:p>
    <w:p w14:paraId="049C6B9F" w14:textId="63AA8B24" w:rsidR="00CA06B7" w:rsidRPr="00CA06B7" w:rsidRDefault="00CA06B7" w:rsidP="00CA06B7">
      <w:pPr>
        <w:pStyle w:val="ListParagraph"/>
        <w:numPr>
          <w:ilvl w:val="1"/>
          <w:numId w:val="5"/>
        </w:numPr>
        <w:rPr>
          <w:b/>
          <w:bCs/>
          <w:sz w:val="22"/>
          <w:szCs w:val="22"/>
        </w:rPr>
      </w:pPr>
      <w:r>
        <w:rPr>
          <w:sz w:val="22"/>
          <w:szCs w:val="22"/>
        </w:rPr>
        <w:t xml:space="preserve">As I previously stated, the inductor’s resistance played a pretty major role when constructing this circuit and attempting to reach the Underdamped (UD), Overdamped (OD), and Critically Damped (CD) attitudes in our circuit. Other discrepancies were that when measuring resistances for OD and CD we did not consider the 50Ω resistance of the wave form generator because that resistance was such a small part of the total resistance in the circuit. This won’t have caused us accidentally to create an OD situation when we were trying to measure a UD, but it will have caused our Pre-Lab calculations to be a bit off (even more than they would have already been due to the imperfect component values). </w:t>
      </w:r>
    </w:p>
    <w:p w14:paraId="0DF85579" w14:textId="77777777" w:rsidR="00CA06B7" w:rsidRPr="00CA06B7" w:rsidRDefault="00CA06B7" w:rsidP="00CA06B7">
      <w:pPr>
        <w:rPr>
          <w:b/>
          <w:bCs/>
          <w:sz w:val="22"/>
          <w:szCs w:val="22"/>
        </w:rPr>
      </w:pPr>
    </w:p>
    <w:p w14:paraId="4DE52647" w14:textId="65B68CE4" w:rsidR="00CA06B7" w:rsidRDefault="00CA06B7" w:rsidP="00CA06B7">
      <w:pPr>
        <w:pStyle w:val="ListParagraph"/>
        <w:numPr>
          <w:ilvl w:val="0"/>
          <w:numId w:val="5"/>
        </w:numPr>
        <w:rPr>
          <w:b/>
          <w:bCs/>
          <w:sz w:val="22"/>
          <w:szCs w:val="22"/>
        </w:rPr>
      </w:pPr>
      <w:r>
        <w:rPr>
          <w:b/>
          <w:bCs/>
          <w:sz w:val="22"/>
          <w:szCs w:val="22"/>
        </w:rPr>
        <w:t>Waveform Comparison:</w:t>
      </w:r>
    </w:p>
    <w:p w14:paraId="09111DEE" w14:textId="77777777" w:rsidR="00CA06B7" w:rsidRPr="00CA06B7" w:rsidRDefault="00CA06B7" w:rsidP="00CA06B7">
      <w:pPr>
        <w:pStyle w:val="ListParagraph"/>
        <w:numPr>
          <w:ilvl w:val="1"/>
          <w:numId w:val="5"/>
        </w:numPr>
        <w:rPr>
          <w:b/>
          <w:bCs/>
          <w:sz w:val="22"/>
          <w:szCs w:val="22"/>
        </w:rPr>
      </w:pPr>
    </w:p>
    <w:sectPr w:rsidR="00CA06B7" w:rsidRPr="00CA06B7" w:rsidSect="00AC3D2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4F7422"/>
    <w:multiLevelType w:val="hybridMultilevel"/>
    <w:tmpl w:val="0984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202D4"/>
    <w:multiLevelType w:val="hybridMultilevel"/>
    <w:tmpl w:val="6572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6454F"/>
    <w:multiLevelType w:val="hybridMultilevel"/>
    <w:tmpl w:val="76CC0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A6131"/>
    <w:multiLevelType w:val="hybridMultilevel"/>
    <w:tmpl w:val="A370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AF3AB4"/>
    <w:multiLevelType w:val="hybridMultilevel"/>
    <w:tmpl w:val="B5E4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3990393">
    <w:abstractNumId w:val="3"/>
  </w:num>
  <w:num w:numId="2" w16cid:durableId="293216706">
    <w:abstractNumId w:val="1"/>
  </w:num>
  <w:num w:numId="3" w16cid:durableId="1976566459">
    <w:abstractNumId w:val="4"/>
  </w:num>
  <w:num w:numId="4" w16cid:durableId="781002315">
    <w:abstractNumId w:val="0"/>
  </w:num>
  <w:num w:numId="5" w16cid:durableId="1360282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D24"/>
    <w:rsid w:val="001071A0"/>
    <w:rsid w:val="001F54B9"/>
    <w:rsid w:val="00697B2F"/>
    <w:rsid w:val="006D58AA"/>
    <w:rsid w:val="00AC3D24"/>
    <w:rsid w:val="00CA06B7"/>
    <w:rsid w:val="00CD4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785F"/>
  <w15:chartTrackingRefBased/>
  <w15:docId w15:val="{AA6FDCC8-B006-40F6-A5B0-B32D58D0B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D24"/>
    <w:rPr>
      <w:rFonts w:eastAsiaTheme="majorEastAsia" w:cstheme="majorBidi"/>
      <w:color w:val="272727" w:themeColor="text1" w:themeTint="D8"/>
    </w:rPr>
  </w:style>
  <w:style w:type="paragraph" w:styleId="Title">
    <w:name w:val="Title"/>
    <w:basedOn w:val="Normal"/>
    <w:next w:val="Normal"/>
    <w:link w:val="TitleChar"/>
    <w:uiPriority w:val="10"/>
    <w:qFormat/>
    <w:rsid w:val="00AC3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D24"/>
    <w:pPr>
      <w:spacing w:before="160"/>
      <w:jc w:val="center"/>
    </w:pPr>
    <w:rPr>
      <w:i/>
      <w:iCs/>
      <w:color w:val="404040" w:themeColor="text1" w:themeTint="BF"/>
    </w:rPr>
  </w:style>
  <w:style w:type="character" w:customStyle="1" w:styleId="QuoteChar">
    <w:name w:val="Quote Char"/>
    <w:basedOn w:val="DefaultParagraphFont"/>
    <w:link w:val="Quote"/>
    <w:uiPriority w:val="29"/>
    <w:rsid w:val="00AC3D24"/>
    <w:rPr>
      <w:i/>
      <w:iCs/>
      <w:color w:val="404040" w:themeColor="text1" w:themeTint="BF"/>
    </w:rPr>
  </w:style>
  <w:style w:type="paragraph" w:styleId="ListParagraph">
    <w:name w:val="List Paragraph"/>
    <w:basedOn w:val="Normal"/>
    <w:uiPriority w:val="34"/>
    <w:qFormat/>
    <w:rsid w:val="00AC3D24"/>
    <w:pPr>
      <w:ind w:left="720"/>
      <w:contextualSpacing/>
    </w:pPr>
  </w:style>
  <w:style w:type="character" w:styleId="IntenseEmphasis">
    <w:name w:val="Intense Emphasis"/>
    <w:basedOn w:val="DefaultParagraphFont"/>
    <w:uiPriority w:val="21"/>
    <w:qFormat/>
    <w:rsid w:val="00AC3D24"/>
    <w:rPr>
      <w:i/>
      <w:iCs/>
      <w:color w:val="0F4761" w:themeColor="accent1" w:themeShade="BF"/>
    </w:rPr>
  </w:style>
  <w:style w:type="paragraph" w:styleId="IntenseQuote">
    <w:name w:val="Intense Quote"/>
    <w:basedOn w:val="Normal"/>
    <w:next w:val="Normal"/>
    <w:link w:val="IntenseQuoteChar"/>
    <w:uiPriority w:val="30"/>
    <w:qFormat/>
    <w:rsid w:val="00AC3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D24"/>
    <w:rPr>
      <w:i/>
      <w:iCs/>
      <w:color w:val="0F4761" w:themeColor="accent1" w:themeShade="BF"/>
    </w:rPr>
  </w:style>
  <w:style w:type="character" w:styleId="IntenseReference">
    <w:name w:val="Intense Reference"/>
    <w:basedOn w:val="DefaultParagraphFont"/>
    <w:uiPriority w:val="32"/>
    <w:qFormat/>
    <w:rsid w:val="00AC3D24"/>
    <w:rPr>
      <w:b/>
      <w:bCs/>
      <w:smallCaps/>
      <w:color w:val="0F4761" w:themeColor="accent1" w:themeShade="BF"/>
      <w:spacing w:val="5"/>
    </w:rPr>
  </w:style>
  <w:style w:type="table" w:styleId="TableGrid">
    <w:name w:val="Table Grid"/>
    <w:basedOn w:val="TableNormal"/>
    <w:uiPriority w:val="39"/>
    <w:rsid w:val="00AC3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Huxley Rust</dc:creator>
  <cp:keywords/>
  <dc:description/>
  <cp:lastModifiedBy>Huxley Rust</cp:lastModifiedBy>
  <cp:revision>1</cp:revision>
  <dcterms:created xsi:type="dcterms:W3CDTF">2025-05-28T18:44:00Z</dcterms:created>
  <dcterms:modified xsi:type="dcterms:W3CDTF">2025-05-28T21:54:00Z</dcterms:modified>
</cp:coreProperties>
</file>