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63C7BC" w14:textId="6557C6C7" w:rsidR="00F06B08" w:rsidRPr="00F06B08" w:rsidRDefault="00F06B08" w:rsidP="00F06B08">
      <w:pPr>
        <w:jc w:val="both"/>
        <w:rPr>
          <w:szCs w:val="22"/>
        </w:rPr>
      </w:pPr>
      <w:r>
        <w:rPr>
          <w:szCs w:val="22"/>
        </w:rPr>
        <w:t>Respecto a los servicios intragrupo, t</w:t>
      </w:r>
      <w:r w:rsidRPr="00F06B08">
        <w:rPr>
          <w:szCs w:val="22"/>
        </w:rPr>
        <w:t>al y como se indica en los párrafos 7.54 y siguientes de las Directrices de la OCDE, para el análisis de los servicios intragrupo debe tenerse en cuenta, tanto si el servicio ha sido prestado realmente como si la remuneración se adecúa al principio de libre competencia.</w:t>
      </w:r>
    </w:p>
    <w:p w14:paraId="7AF25D45" w14:textId="77777777" w:rsidR="00F06B08" w:rsidRPr="00F06B08" w:rsidRDefault="00F06B08" w:rsidP="00F06B08">
      <w:pPr>
        <w:jc w:val="both"/>
        <w:rPr>
          <w:szCs w:val="22"/>
        </w:rPr>
      </w:pPr>
      <w:r w:rsidRPr="00F06B08">
        <w:rPr>
          <w:szCs w:val="22"/>
        </w:rPr>
        <w:t>Para concluir acerca del primer aspecto, debe determinarse si la prestación de dichos servicios redunda en un interés económico o comercial que permita mantener la posición de las receptoras en el mercado. En consecuencia, recomendaríamos hacer referencia a la determinación de si los servicios han sido efectivamente prestados y que repercuten un beneficio en las receptoras (“benefit test”), así como la no duplicidad de los mismos.</w:t>
      </w:r>
    </w:p>
    <w:p w14:paraId="3EF12870" w14:textId="77777777" w:rsidR="00F06B08" w:rsidRPr="00F06B08" w:rsidRDefault="00F06B08" w:rsidP="00F06B08">
      <w:pPr>
        <w:jc w:val="both"/>
        <w:rPr>
          <w:szCs w:val="22"/>
        </w:rPr>
      </w:pPr>
      <w:r w:rsidRPr="00F06B08">
        <w:rPr>
          <w:szCs w:val="22"/>
        </w:rPr>
        <w:t>Cabe destacar que la Administración española está tomando una posición estricta en relación con los servicios corporativos dentro de los grupos, solicitando a éstos justificación de los mismos a partir de un benefit test que asegure:</w:t>
      </w:r>
    </w:p>
    <w:p w14:paraId="44A91AA4" w14:textId="61687205" w:rsidR="00F06B08" w:rsidRPr="00F06B08" w:rsidRDefault="00F06B08" w:rsidP="00F06B08">
      <w:pPr>
        <w:pStyle w:val="ListParagraph"/>
        <w:numPr>
          <w:ilvl w:val="0"/>
          <w:numId w:val="1"/>
        </w:numPr>
        <w:jc w:val="both"/>
        <w:rPr>
          <w:szCs w:val="22"/>
        </w:rPr>
      </w:pPr>
      <w:r w:rsidRPr="00F06B08">
        <w:rPr>
          <w:szCs w:val="22"/>
        </w:rPr>
        <w:t>La trazabilidad de la información financiera/administrativa de los servicios (organigramas de personal de la prestadora y receptora, información sobre desglose de costes, etc.) que demuestre la efectiva aplicación de la política de precios establecida.</w:t>
      </w:r>
    </w:p>
    <w:p w14:paraId="266FEA22" w14:textId="7EEB0B5F" w:rsidR="00F06B08" w:rsidRPr="00F06B08" w:rsidRDefault="00F06B08" w:rsidP="00F06B08">
      <w:pPr>
        <w:pStyle w:val="ListParagraph"/>
        <w:numPr>
          <w:ilvl w:val="0"/>
          <w:numId w:val="1"/>
        </w:numPr>
        <w:jc w:val="both"/>
        <w:rPr>
          <w:szCs w:val="22"/>
        </w:rPr>
      </w:pPr>
      <w:r w:rsidRPr="00F06B08">
        <w:rPr>
          <w:szCs w:val="22"/>
        </w:rPr>
        <w:t>Que el alcance y finalidad de estos servicios no son los mismos que las funciones que tiene el personal interno de la compañía que los recibe, de cara a que la Administración Tributaria no pudiera llegar a considerarlos como servicios duplicados, lo que motivaría que pudiera negar la deducibilidad del gasto.</w:t>
      </w:r>
    </w:p>
    <w:p w14:paraId="2E75EB0D" w14:textId="1A202863" w:rsidR="00F06B08" w:rsidRPr="00F06B08" w:rsidRDefault="00F06B08" w:rsidP="00F06B08">
      <w:pPr>
        <w:pStyle w:val="ListParagraph"/>
        <w:numPr>
          <w:ilvl w:val="0"/>
          <w:numId w:val="1"/>
        </w:numPr>
        <w:jc w:val="both"/>
        <w:rPr>
          <w:szCs w:val="22"/>
        </w:rPr>
      </w:pPr>
      <w:r w:rsidRPr="00F06B08">
        <w:rPr>
          <w:szCs w:val="22"/>
        </w:rPr>
        <w:t>Evidencias claras sobre la existencia de los servicios y de los costes incurridos.</w:t>
      </w:r>
    </w:p>
    <w:p w14:paraId="7CC71D3F" w14:textId="77777777" w:rsidR="00F06B08" w:rsidRPr="00F06B08" w:rsidRDefault="00F06B08" w:rsidP="00F06B08">
      <w:pPr>
        <w:jc w:val="both"/>
        <w:rPr>
          <w:szCs w:val="22"/>
        </w:rPr>
      </w:pPr>
      <w:r w:rsidRPr="00F06B08">
        <w:rPr>
          <w:szCs w:val="22"/>
        </w:rPr>
        <w:t>Por lo tanto, se recomienda que la Documentación incluya un benefit test, así como que se mantenga a disposición de la Administración Tributaria documentación soporte de trazabilidad, tanto para los servicios de apoyo a la gestión de bajo valor añadido (recogidos en la documentación) como de los de alto valor añadido.</w:t>
      </w:r>
    </w:p>
    <w:p w14:paraId="59E917AF" w14:textId="7DB9FDAF" w:rsidR="00316A14" w:rsidRPr="00F06B08" w:rsidRDefault="00F06B08" w:rsidP="00F06B08">
      <w:pPr>
        <w:jc w:val="both"/>
      </w:pPr>
      <w:r w:rsidRPr="00F06B08">
        <w:rPr>
          <w:szCs w:val="22"/>
        </w:rPr>
        <w:t>Adicionalmente, el benefit test en este caso tiene una relevancia especial al prestarse y recibirse servicios de desde distintas entidades del Grupo. Por lo tanto, se recomienda incluir en la Documentación un “Benefit test” así como mantener a disposición de la Administración Tributaria información financiera y administrativa mediante la que se pueda trazar la prestación de los servicios, así como la política aplicada</w:t>
      </w:r>
    </w:p>
    <w:sectPr w:rsidR="00316A14" w:rsidRPr="00F06B08" w:rsidSect="001155C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3A4115"/>
    <w:multiLevelType w:val="hybridMultilevel"/>
    <w:tmpl w:val="F14A635C"/>
    <w:lvl w:ilvl="0" w:tplc="6128BBE4">
      <w:start w:val="1"/>
      <w:numFmt w:val="bullet"/>
      <w:lvlText w:val="−"/>
      <w:lvlJc w:val="left"/>
      <w:pPr>
        <w:ind w:left="720" w:hanging="360"/>
      </w:pPr>
      <w:rPr>
        <w:rFonts w:ascii="Calibri" w:hAnsi="Calibri" w:hint="default"/>
        <w:color w:val="808080"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469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7DA"/>
    <w:rsid w:val="00082738"/>
    <w:rsid w:val="001155C2"/>
    <w:rsid w:val="00316A14"/>
    <w:rsid w:val="00633A5A"/>
    <w:rsid w:val="006967DA"/>
    <w:rsid w:val="00F06B08"/>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1F6C2"/>
  <w15:chartTrackingRefBased/>
  <w15:docId w15:val="{D8FDE2F0-32F4-4AA3-9152-551339F00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67DA"/>
    <w:rPr>
      <w:rFonts w:ascii="Arial" w:hAnsi="Arial" w:cs="Arial"/>
      <w:color w:val="787878"/>
      <w:kern w:val="0"/>
      <w:szCs w:val="18"/>
      <w:lang w:val="es-E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6B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353</Words>
  <Characters>2013</Characters>
  <Application>Microsoft Office Word</Application>
  <DocSecurity>0</DocSecurity>
  <Lines>16</Lines>
  <Paragraphs>4</Paragraphs>
  <ScaleCrop>false</ScaleCrop>
  <Company/>
  <LinksUpToDate>false</LinksUpToDate>
  <CharactersWithSpaces>2362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Wifredo Ameztoy</dc:creator>
  <cp:keywords/>
  <dc:description/>
  <cp:lastModifiedBy>Wifredo Ameztoy</cp:lastModifiedBy>
  <cp:revision>2</cp:revision>
  <dcterms:created xsi:type="dcterms:W3CDTF">2024-02-21T10:18:00Z</dcterms:created>
  <dcterms:modified xsi:type="dcterms:W3CDTF">2024-02-21T10:23:00Z</dcterms:modified>
</cp:coreProperties>
</file>