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10600"/>
      </w:tblGrid>
      <w:tr w:rsidR="00356F41" w:rsidRPr="00C658ED" w14:paraId="4A3BA32B" w14:textId="77777777" w:rsidTr="00356F41">
        <w:tc>
          <w:tcPr>
            <w:tcW w:w="10600" w:type="dxa"/>
            <w:tcBorders>
              <w:top w:val="single" w:sz="4" w:space="0" w:color="auto"/>
              <w:left w:val="single" w:sz="4" w:space="0" w:color="auto"/>
              <w:bottom w:val="single" w:sz="4" w:space="0" w:color="auto"/>
              <w:right w:val="single" w:sz="4" w:space="0" w:color="auto"/>
            </w:tcBorders>
          </w:tcPr>
          <w:p w14:paraId="0FD3C510" w14:textId="72E7D4E9" w:rsidR="00356F41" w:rsidRPr="00C658ED" w:rsidRDefault="00356F41" w:rsidP="008A104D">
            <w:pPr>
              <w:jc w:val="center"/>
              <w:rPr>
                <w:rFonts w:ascii="Arial" w:hAnsi="Arial" w:cs="Arial"/>
                <w:b/>
                <w:sz w:val="22"/>
                <w:lang w:val="en-US"/>
              </w:rPr>
            </w:pPr>
            <w:r w:rsidRPr="00C658ED">
              <w:rPr>
                <w:rFonts w:ascii="Arial" w:hAnsi="Arial" w:cs="Arial"/>
                <w:b/>
                <w:lang w:val="en-US"/>
              </w:rPr>
              <w:t>CONFIRMATION OF A BASKET SWAP TRANSACTION</w:t>
            </w:r>
          </w:p>
        </w:tc>
      </w:tr>
      <w:tr w:rsidR="00356F41" w:rsidRPr="00C658ED" w14:paraId="268809ED" w14:textId="77777777" w:rsidTr="00356F41">
        <w:tc>
          <w:tcPr>
            <w:tcW w:w="10600" w:type="dxa"/>
            <w:tcBorders>
              <w:top w:val="single" w:sz="4" w:space="0" w:color="auto"/>
            </w:tcBorders>
          </w:tcPr>
          <w:p w14:paraId="5DD098F0" w14:textId="77777777" w:rsidR="00356F41" w:rsidRPr="00312DC2" w:rsidRDefault="00356F41" w:rsidP="00356F41">
            <w:pPr>
              <w:rPr>
                <w:rFonts w:ascii="Arial" w:hAnsi="Arial" w:cs="Arial"/>
                <w:sz w:val="20"/>
                <w:lang w:val="en-GB"/>
              </w:rPr>
            </w:pPr>
          </w:p>
        </w:tc>
      </w:tr>
      <w:tr w:rsidR="00356F41" w:rsidRPr="00312DC2" w14:paraId="50A58644" w14:textId="77777777" w:rsidTr="00356F41">
        <w:tc>
          <w:tcPr>
            <w:tcW w:w="10600" w:type="dxa"/>
          </w:tcPr>
          <w:p w14:paraId="11464A85" w14:textId="77777777" w:rsidR="00356F41" w:rsidRPr="00312DC2" w:rsidRDefault="00356F41" w:rsidP="00356F41">
            <w:pPr>
              <w:rPr>
                <w:rFonts w:ascii="Arial" w:hAnsi="Arial" w:cs="Arial"/>
                <w:sz w:val="20"/>
                <w:lang w:val="en-GB"/>
              </w:rPr>
            </w:pPr>
            <w:r w:rsidRPr="00312DC2">
              <w:rPr>
                <w:rFonts w:ascii="Arial" w:hAnsi="Arial" w:cs="Arial"/>
                <w:sz w:val="20"/>
                <w:lang w:val="en-GB"/>
              </w:rPr>
              <w:t>Between</w:t>
            </w:r>
          </w:p>
        </w:tc>
      </w:tr>
      <w:tr w:rsidR="00356F41" w:rsidRPr="00312DC2" w14:paraId="5C9E8CA7" w14:textId="77777777" w:rsidTr="00356F41">
        <w:tc>
          <w:tcPr>
            <w:tcW w:w="10600" w:type="dxa"/>
          </w:tcPr>
          <w:p w14:paraId="791CB026" w14:textId="77777777" w:rsidR="00356F41" w:rsidRPr="00312DC2" w:rsidRDefault="00356F41" w:rsidP="00356F41">
            <w:pPr>
              <w:rPr>
                <w:rFonts w:ascii="Arial" w:hAnsi="Arial" w:cs="Arial"/>
                <w:sz w:val="12"/>
                <w:lang w:val="en-GB"/>
              </w:rPr>
            </w:pPr>
          </w:p>
        </w:tc>
      </w:tr>
      <w:tr w:rsidR="00356F41" w:rsidRPr="00312DC2" w14:paraId="511D1759" w14:textId="77777777" w:rsidTr="00356F41">
        <w:tc>
          <w:tcPr>
            <w:tcW w:w="10600" w:type="dxa"/>
          </w:tcPr>
          <w:p w14:paraId="4986BD68" w14:textId="77777777" w:rsidR="00356F41" w:rsidRPr="00312DC2" w:rsidRDefault="00356F41" w:rsidP="00356F41">
            <w:pPr>
              <w:rPr>
                <w:rFonts w:ascii="Arial" w:hAnsi="Arial" w:cs="Arial"/>
                <w:b/>
                <w:sz w:val="20"/>
                <w:lang w:val="en-GB"/>
              </w:rPr>
            </w:pPr>
            <w:r w:rsidRPr="00312DC2">
              <w:rPr>
                <w:rFonts w:ascii="Arial" w:hAnsi="Arial" w:cs="Arial"/>
                <w:b/>
                <w:sz w:val="20"/>
                <w:highlight w:val="yellow"/>
                <w:lang w:val="en-GB"/>
              </w:rPr>
              <w:t>XXX</w:t>
            </w:r>
          </w:p>
        </w:tc>
      </w:tr>
      <w:tr w:rsidR="00356F41" w:rsidRPr="00312DC2" w14:paraId="27CE3C93" w14:textId="77777777" w:rsidTr="00356F41">
        <w:tc>
          <w:tcPr>
            <w:tcW w:w="10600" w:type="dxa"/>
          </w:tcPr>
          <w:p w14:paraId="64157FA1" w14:textId="77777777" w:rsidR="00356F41" w:rsidRPr="00312DC2" w:rsidRDefault="00356F41" w:rsidP="00356F41">
            <w:pPr>
              <w:rPr>
                <w:rFonts w:ascii="Arial" w:hAnsi="Arial" w:cs="Arial"/>
                <w:sz w:val="12"/>
                <w:lang w:val="en-GB"/>
              </w:rPr>
            </w:pPr>
          </w:p>
        </w:tc>
      </w:tr>
      <w:tr w:rsidR="00356F41" w:rsidRPr="00312DC2" w14:paraId="68AF143B" w14:textId="77777777" w:rsidTr="00356F41">
        <w:tc>
          <w:tcPr>
            <w:tcW w:w="10600" w:type="dxa"/>
          </w:tcPr>
          <w:p w14:paraId="2DF69B43" w14:textId="77777777" w:rsidR="00356F41" w:rsidRPr="00312DC2" w:rsidRDefault="00356F41" w:rsidP="00356F41">
            <w:pPr>
              <w:rPr>
                <w:rFonts w:ascii="Arial" w:hAnsi="Arial" w:cs="Arial"/>
                <w:sz w:val="20"/>
                <w:lang w:val="en-GB"/>
              </w:rPr>
            </w:pPr>
            <w:r w:rsidRPr="00312DC2">
              <w:rPr>
                <w:rFonts w:ascii="Arial" w:hAnsi="Arial" w:cs="Arial"/>
                <w:sz w:val="20"/>
                <w:lang w:val="en-GB"/>
              </w:rPr>
              <w:t xml:space="preserve">And </w:t>
            </w:r>
          </w:p>
        </w:tc>
      </w:tr>
      <w:tr w:rsidR="00356F41" w:rsidRPr="00312DC2" w14:paraId="0DE5DD27" w14:textId="77777777" w:rsidTr="00356F41">
        <w:tc>
          <w:tcPr>
            <w:tcW w:w="10600" w:type="dxa"/>
          </w:tcPr>
          <w:p w14:paraId="1FA812CC" w14:textId="77777777" w:rsidR="00356F41" w:rsidRPr="00312DC2" w:rsidRDefault="00356F41" w:rsidP="00356F41">
            <w:pPr>
              <w:rPr>
                <w:rFonts w:ascii="Arial" w:hAnsi="Arial" w:cs="Arial"/>
                <w:sz w:val="12"/>
                <w:lang w:val="en-GB"/>
              </w:rPr>
            </w:pPr>
          </w:p>
        </w:tc>
      </w:tr>
      <w:tr w:rsidR="00356F41" w:rsidRPr="00C658ED" w14:paraId="303925DC" w14:textId="77777777" w:rsidTr="00356F41">
        <w:tc>
          <w:tcPr>
            <w:tcW w:w="10600" w:type="dxa"/>
          </w:tcPr>
          <w:p w14:paraId="1B6E2E3C" w14:textId="77777777" w:rsidR="00356F41" w:rsidRPr="00312DC2" w:rsidRDefault="00356F41" w:rsidP="00356F41">
            <w:pPr>
              <w:rPr>
                <w:rFonts w:ascii="Arial" w:hAnsi="Arial" w:cs="Arial"/>
                <w:b/>
                <w:sz w:val="20"/>
                <w:lang w:val="en-GB"/>
              </w:rPr>
            </w:pPr>
            <w:r w:rsidRPr="00312DC2">
              <w:rPr>
                <w:rFonts w:ascii="Arial" w:hAnsi="Arial" w:cs="Arial"/>
                <w:b/>
                <w:sz w:val="20"/>
                <w:lang w:val="en-GB"/>
              </w:rPr>
              <w:t>AMUNDI INVESTMENT SOLUTIONS, acting for and on behalf of SOLUTION EURO-REPO</w:t>
            </w:r>
          </w:p>
          <w:p w14:paraId="4661C7C2" w14:textId="77777777" w:rsidR="00356F41" w:rsidRPr="00312DC2" w:rsidRDefault="00356F41" w:rsidP="00356F41">
            <w:pPr>
              <w:rPr>
                <w:rFonts w:ascii="Arial" w:hAnsi="Arial" w:cs="Arial"/>
                <w:sz w:val="20"/>
                <w:lang w:val="en-GB"/>
              </w:rPr>
            </w:pPr>
          </w:p>
        </w:tc>
      </w:tr>
    </w:tbl>
    <w:p w14:paraId="1FDCFF84" w14:textId="4F186C43" w:rsidR="00AA224A" w:rsidRPr="00312DC2" w:rsidRDefault="00C3331E" w:rsidP="00173E5A">
      <w:pPr>
        <w:jc w:val="both"/>
        <w:rPr>
          <w:rFonts w:ascii="Arial" w:hAnsi="Arial" w:cs="Arial"/>
          <w:sz w:val="20"/>
          <w:lang w:val="en-GB"/>
        </w:rPr>
      </w:pPr>
      <m:oMathPara>
        <m:oMathParaPr>
          <m:jc m:val="left"/>
        </m:oMathParaPr>
        <m:oMath>
          <m:d>
            <m:dPr>
              <m:begChr m:val="["/>
              <m:endChr m:val="]"/>
              <m:ctrlPr>
                <w:rPr>
                  <w:rFonts w:ascii="Cambria Math" w:hAnsi="Cambria Math" w:cs="Arial"/>
                  <w:i/>
                  <w:sz w:val="20"/>
                  <w:highlight w:val="yellow"/>
                  <w:lang w:val="en-GB"/>
                </w:rPr>
              </m:ctrlPr>
            </m:dPr>
            <m:e>
              <m:r>
                <w:rPr>
                  <w:rFonts w:ascii="Cambria Math" w:hAnsi="Cambria Math" w:cs="Arial"/>
                  <w:sz w:val="20"/>
                  <w:highlight w:val="yellow"/>
                  <w:lang w:val="en-GB"/>
                </w:rPr>
                <m:t>XX Month 202X</m:t>
              </m:r>
            </m:e>
          </m:d>
        </m:oMath>
      </m:oMathPara>
    </w:p>
    <w:p w14:paraId="2DC1D965" w14:textId="77777777" w:rsidR="00356F41" w:rsidRPr="00312DC2" w:rsidRDefault="00356F41" w:rsidP="00173E5A">
      <w:pPr>
        <w:jc w:val="both"/>
        <w:rPr>
          <w:rFonts w:ascii="Arial" w:hAnsi="Arial" w:cs="Arial"/>
          <w:sz w:val="20"/>
          <w:lang w:val="en-GB"/>
        </w:rPr>
      </w:pP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10600"/>
      </w:tblGrid>
      <w:tr w:rsidR="00086C69" w:rsidRPr="00312DC2" w14:paraId="621AD0D1" w14:textId="77777777" w:rsidTr="00086C69">
        <w:tc>
          <w:tcPr>
            <w:tcW w:w="10600" w:type="dxa"/>
          </w:tcPr>
          <w:p w14:paraId="2DD86802" w14:textId="4554E8E7" w:rsidR="00086C69" w:rsidRPr="00312DC2" w:rsidRDefault="00086C69" w:rsidP="00B663F0">
            <w:pPr>
              <w:jc w:val="both"/>
              <w:rPr>
                <w:rFonts w:ascii="Arial" w:hAnsi="Arial" w:cs="Arial"/>
                <w:sz w:val="20"/>
                <w:lang w:val="en-GB"/>
              </w:rPr>
            </w:pPr>
            <w:r w:rsidRPr="00312DC2">
              <w:rPr>
                <w:rFonts w:ascii="Arial" w:hAnsi="Arial" w:cs="Arial"/>
                <w:sz w:val="20"/>
                <w:lang w:val="en-GB"/>
              </w:rPr>
              <w:t xml:space="preserve">Reference: </w:t>
            </w:r>
            <w:r w:rsidR="00B663F0">
              <w:rPr>
                <w:rFonts w:ascii="Arial" w:hAnsi="Arial" w:cs="Arial"/>
                <w:sz w:val="20"/>
                <w:lang w:val="en-GB"/>
              </w:rPr>
              <w:t>FUND1A</w:t>
            </w:r>
          </w:p>
        </w:tc>
      </w:tr>
      <w:tr w:rsidR="00086C69" w:rsidRPr="00312DC2" w14:paraId="0F17B322" w14:textId="77777777" w:rsidTr="00086C69">
        <w:tc>
          <w:tcPr>
            <w:tcW w:w="10600" w:type="dxa"/>
          </w:tcPr>
          <w:p w14:paraId="39C9D5B1" w14:textId="77777777" w:rsidR="00086C69" w:rsidRPr="00976FA6" w:rsidRDefault="00086C69" w:rsidP="00086C69">
            <w:pPr>
              <w:jc w:val="both"/>
              <w:rPr>
                <w:rFonts w:ascii="Arial" w:hAnsi="Arial" w:cs="Arial"/>
                <w:sz w:val="20"/>
                <w:lang w:val="en-GB"/>
              </w:rPr>
            </w:pPr>
          </w:p>
        </w:tc>
      </w:tr>
      <w:tr w:rsidR="00086C69" w:rsidRPr="00C658ED" w14:paraId="797F6C95" w14:textId="77777777" w:rsidTr="00086C69">
        <w:tc>
          <w:tcPr>
            <w:tcW w:w="10600" w:type="dxa"/>
          </w:tcPr>
          <w:p w14:paraId="1B3FCBF0" w14:textId="77777777" w:rsidR="00086C69" w:rsidRPr="00312DC2" w:rsidRDefault="00086C69" w:rsidP="00086C69">
            <w:pPr>
              <w:pStyle w:val="ListParagraph"/>
              <w:numPr>
                <w:ilvl w:val="0"/>
                <w:numId w:val="1"/>
              </w:numPr>
              <w:jc w:val="both"/>
              <w:rPr>
                <w:rFonts w:ascii="Arial" w:hAnsi="Arial" w:cs="Arial"/>
                <w:sz w:val="20"/>
                <w:lang w:val="en-GB"/>
              </w:rPr>
            </w:pPr>
            <w:r w:rsidRPr="00312DC2">
              <w:rPr>
                <w:rFonts w:ascii="Arial" w:hAnsi="Arial" w:cs="Arial"/>
                <w:sz w:val="20"/>
                <w:lang w:val="en-GB"/>
              </w:rPr>
              <w:t xml:space="preserve">This Confirmation supplements, forms part of, and is subject to, the ISDA Master Agreement including its Credit Support Annex (The “CSA”) dated as of </w:t>
            </w:r>
            <w:r w:rsidRPr="00312DC2">
              <w:rPr>
                <w:rFonts w:ascii="Arial" w:hAnsi="Arial" w:cs="Arial"/>
                <w:sz w:val="20"/>
                <w:highlight w:val="yellow"/>
                <w:lang w:val="en-GB"/>
              </w:rPr>
              <w:t>YYY</w:t>
            </w:r>
            <w:r w:rsidRPr="00312DC2">
              <w:rPr>
                <w:rFonts w:ascii="Arial" w:hAnsi="Arial" w:cs="Arial"/>
                <w:sz w:val="20"/>
                <w:lang w:val="en-GB"/>
              </w:rPr>
              <w:t>, as amended and supplemented from time to time (the “</w:t>
            </w:r>
            <w:r w:rsidRPr="00312DC2">
              <w:rPr>
                <w:rFonts w:ascii="Arial" w:hAnsi="Arial" w:cs="Arial"/>
                <w:b/>
                <w:sz w:val="20"/>
                <w:lang w:val="en-GB"/>
              </w:rPr>
              <w:t>Agreement</w:t>
            </w:r>
            <w:r w:rsidRPr="00312DC2">
              <w:rPr>
                <w:rFonts w:ascii="Arial" w:hAnsi="Arial" w:cs="Arial"/>
                <w:sz w:val="20"/>
                <w:lang w:val="en-GB"/>
              </w:rPr>
              <w:t xml:space="preserve">”), between </w:t>
            </w:r>
            <w:r w:rsidRPr="00312DC2">
              <w:rPr>
                <w:rFonts w:ascii="Arial" w:hAnsi="Arial" w:cs="Arial"/>
                <w:sz w:val="20"/>
                <w:highlight w:val="yellow"/>
                <w:lang w:val="en-GB"/>
              </w:rPr>
              <w:t>XXX</w:t>
            </w:r>
            <w:r w:rsidRPr="00312DC2">
              <w:rPr>
                <w:rFonts w:ascii="Arial" w:hAnsi="Arial" w:cs="Arial"/>
                <w:sz w:val="20"/>
                <w:lang w:val="en-GB"/>
              </w:rPr>
              <w:t xml:space="preserve"> (“</w:t>
            </w:r>
            <w:r w:rsidRPr="00312DC2">
              <w:rPr>
                <w:rFonts w:ascii="Arial" w:hAnsi="Arial" w:cs="Arial"/>
                <w:b/>
                <w:sz w:val="20"/>
                <w:lang w:val="en-GB"/>
              </w:rPr>
              <w:t>Party A</w:t>
            </w:r>
            <w:r w:rsidRPr="00312DC2">
              <w:rPr>
                <w:rFonts w:ascii="Arial" w:hAnsi="Arial" w:cs="Arial"/>
                <w:sz w:val="20"/>
                <w:lang w:val="en-GB"/>
              </w:rPr>
              <w:t xml:space="preserve">”) and AMUNDI INVESTMENT SOLUTIONS, </w:t>
            </w:r>
            <w:r w:rsidRPr="00312DC2">
              <w:rPr>
                <w:rFonts w:ascii="Arial" w:hAnsi="Arial" w:cs="Arial"/>
                <w:b/>
                <w:sz w:val="20"/>
                <w:lang w:val="en-GB"/>
              </w:rPr>
              <w:t>acting for and on behalf</w:t>
            </w:r>
            <w:r w:rsidRPr="00312DC2">
              <w:rPr>
                <w:rFonts w:ascii="Arial" w:hAnsi="Arial" w:cs="Arial"/>
                <w:sz w:val="20"/>
                <w:lang w:val="en-GB"/>
              </w:rPr>
              <w:t xml:space="preserve"> of SOLUTION EURO-REPO (The “</w:t>
            </w:r>
            <w:r w:rsidRPr="00312DC2">
              <w:rPr>
                <w:rFonts w:ascii="Arial" w:hAnsi="Arial" w:cs="Arial"/>
                <w:b/>
                <w:sz w:val="20"/>
                <w:lang w:val="en-GB"/>
              </w:rPr>
              <w:t>Fund</w:t>
            </w:r>
            <w:r w:rsidRPr="00312DC2">
              <w:rPr>
                <w:rFonts w:ascii="Arial" w:hAnsi="Arial" w:cs="Arial"/>
                <w:sz w:val="20"/>
                <w:lang w:val="en-GB"/>
              </w:rPr>
              <w:t>”) (“</w:t>
            </w:r>
            <w:r w:rsidRPr="00312DC2">
              <w:rPr>
                <w:rFonts w:ascii="Arial" w:hAnsi="Arial" w:cs="Arial"/>
                <w:b/>
                <w:sz w:val="20"/>
                <w:lang w:val="en-GB"/>
              </w:rPr>
              <w:t>Party B</w:t>
            </w:r>
            <w:r w:rsidRPr="00312DC2">
              <w:rPr>
                <w:rFonts w:ascii="Arial" w:hAnsi="Arial" w:cs="Arial"/>
                <w:sz w:val="20"/>
                <w:lang w:val="en-GB"/>
              </w:rPr>
              <w:t>”); In the event of any inconsistency between the provisions of this confirmation and any other part of this Agreement, this Confirmation will prevail for the purposes  of this Transaction. This confirmation constitutes a “Confirmation” as referred in the Agreement specified above.</w:t>
            </w:r>
          </w:p>
        </w:tc>
      </w:tr>
      <w:tr w:rsidR="00086C69" w:rsidRPr="00C658ED" w14:paraId="40712729" w14:textId="77777777" w:rsidTr="00086C69">
        <w:tc>
          <w:tcPr>
            <w:tcW w:w="10600" w:type="dxa"/>
          </w:tcPr>
          <w:p w14:paraId="28758B63" w14:textId="77777777" w:rsidR="00086C69" w:rsidRPr="00312DC2" w:rsidRDefault="00086C69" w:rsidP="00086C69">
            <w:pPr>
              <w:pStyle w:val="ListParagraph"/>
              <w:ind w:left="0"/>
              <w:jc w:val="both"/>
              <w:rPr>
                <w:rFonts w:ascii="Arial" w:hAnsi="Arial" w:cs="Arial"/>
                <w:sz w:val="20"/>
                <w:lang w:val="en-GB"/>
              </w:rPr>
            </w:pPr>
          </w:p>
        </w:tc>
      </w:tr>
      <w:tr w:rsidR="00086C69" w:rsidRPr="00C658ED" w14:paraId="7FE431C4" w14:textId="77777777" w:rsidTr="00086C69">
        <w:tc>
          <w:tcPr>
            <w:tcW w:w="10600" w:type="dxa"/>
          </w:tcPr>
          <w:p w14:paraId="4FF833B3" w14:textId="77777777" w:rsidR="00086C69" w:rsidRPr="00312DC2" w:rsidRDefault="00086C69" w:rsidP="00086C69">
            <w:pPr>
              <w:pStyle w:val="ListParagraph"/>
              <w:numPr>
                <w:ilvl w:val="0"/>
                <w:numId w:val="1"/>
              </w:numPr>
              <w:jc w:val="both"/>
              <w:rPr>
                <w:rFonts w:ascii="Arial" w:hAnsi="Arial" w:cs="Arial"/>
                <w:sz w:val="20"/>
                <w:lang w:val="en-GB"/>
              </w:rPr>
            </w:pPr>
            <w:r w:rsidRPr="00312DC2">
              <w:rPr>
                <w:rFonts w:ascii="Arial" w:hAnsi="Arial" w:cs="Arial"/>
                <w:sz w:val="20"/>
                <w:lang w:val="en-GB"/>
              </w:rPr>
              <w:t>The definitions and provisions contained in the 2006 ISDA Definitions (the “</w:t>
            </w:r>
            <w:r w:rsidRPr="00312DC2">
              <w:rPr>
                <w:rFonts w:ascii="Arial" w:hAnsi="Arial" w:cs="Arial"/>
                <w:b/>
                <w:sz w:val="20"/>
                <w:lang w:val="en-GB"/>
              </w:rPr>
              <w:t>2006 Definitions</w:t>
            </w:r>
            <w:r w:rsidRPr="00312DC2">
              <w:rPr>
                <w:rFonts w:ascii="Arial" w:hAnsi="Arial" w:cs="Arial"/>
                <w:sz w:val="20"/>
                <w:lang w:val="en-GB"/>
              </w:rPr>
              <w:t>”), as published by the International Swaps And Derivatives Association, Inc. (“ISDA”) are incorporated into this confirmation. In the event of any inconsistency between the 2006 Definitions and this Confirmation, this Confirmation will govern.</w:t>
            </w:r>
          </w:p>
        </w:tc>
      </w:tr>
      <w:tr w:rsidR="00086C69" w:rsidRPr="00C658ED" w14:paraId="333A9764" w14:textId="77777777" w:rsidTr="00086C69">
        <w:tc>
          <w:tcPr>
            <w:tcW w:w="10600" w:type="dxa"/>
          </w:tcPr>
          <w:p w14:paraId="705620F0" w14:textId="77777777" w:rsidR="00086C69" w:rsidRPr="00312DC2" w:rsidRDefault="00086C69" w:rsidP="00086C69">
            <w:pPr>
              <w:jc w:val="both"/>
              <w:rPr>
                <w:rFonts w:ascii="Arial" w:hAnsi="Arial" w:cs="Arial"/>
                <w:sz w:val="20"/>
                <w:lang w:val="en-GB"/>
              </w:rPr>
            </w:pPr>
          </w:p>
        </w:tc>
      </w:tr>
      <w:tr w:rsidR="00086C69" w:rsidRPr="00C658ED" w14:paraId="38391E43" w14:textId="77777777" w:rsidTr="00086C69">
        <w:tc>
          <w:tcPr>
            <w:tcW w:w="10600" w:type="dxa"/>
          </w:tcPr>
          <w:p w14:paraId="69CEA913" w14:textId="77777777" w:rsidR="00086C69" w:rsidRPr="00312DC2" w:rsidRDefault="00086C69" w:rsidP="00086C69">
            <w:pPr>
              <w:pStyle w:val="ListParagraph"/>
              <w:numPr>
                <w:ilvl w:val="0"/>
                <w:numId w:val="1"/>
              </w:numPr>
              <w:jc w:val="both"/>
              <w:rPr>
                <w:rFonts w:ascii="Arial" w:hAnsi="Arial" w:cs="Arial"/>
                <w:sz w:val="20"/>
                <w:lang w:val="en-GB"/>
              </w:rPr>
            </w:pPr>
            <w:r w:rsidRPr="00312DC2">
              <w:rPr>
                <w:rFonts w:ascii="Arial" w:hAnsi="Arial" w:cs="Arial"/>
                <w:sz w:val="20"/>
                <w:lang w:val="en-GB"/>
              </w:rPr>
              <w:t>The terms of the particular Swap Transaction to which this Confirmation relates are as follows:</w:t>
            </w:r>
          </w:p>
        </w:tc>
      </w:tr>
      <w:tr w:rsidR="00086C69" w:rsidRPr="00C658ED" w14:paraId="07DF738C" w14:textId="77777777" w:rsidTr="00086C69">
        <w:tc>
          <w:tcPr>
            <w:tcW w:w="10600" w:type="dxa"/>
          </w:tcPr>
          <w:p w14:paraId="024ABA73" w14:textId="77777777" w:rsidR="00086C69" w:rsidRPr="00312DC2" w:rsidRDefault="00086C69" w:rsidP="00086C69">
            <w:pPr>
              <w:jc w:val="both"/>
              <w:rPr>
                <w:rFonts w:ascii="Arial" w:hAnsi="Arial" w:cs="Arial"/>
                <w:sz w:val="20"/>
                <w:lang w:val="en-GB"/>
              </w:rPr>
            </w:pPr>
          </w:p>
        </w:tc>
      </w:tr>
    </w:tbl>
    <w:p w14:paraId="2404B200" w14:textId="77777777" w:rsidR="00356F41" w:rsidRPr="00312DC2" w:rsidRDefault="00356F41">
      <w:pPr>
        <w:rPr>
          <w:rFonts w:ascii="Arial" w:hAnsi="Arial" w:cs="Arial"/>
          <w:sz w:val="20"/>
          <w:lang w:val="en-GB"/>
        </w:rPr>
      </w:pPr>
    </w:p>
    <w:p w14:paraId="66E76AE9" w14:textId="28235765" w:rsidR="00086C69" w:rsidRPr="00312DC2" w:rsidRDefault="00086C69" w:rsidP="00086C69">
      <w:pPr>
        <w:pStyle w:val="ListParagraph"/>
        <w:numPr>
          <w:ilvl w:val="0"/>
          <w:numId w:val="2"/>
        </w:numPr>
        <w:rPr>
          <w:rFonts w:ascii="Arial" w:hAnsi="Arial" w:cs="Arial"/>
          <w:b/>
          <w:sz w:val="20"/>
          <w:u w:val="single"/>
          <w:lang w:val="en-GB"/>
        </w:rPr>
      </w:pPr>
      <w:r w:rsidRPr="00312DC2">
        <w:rPr>
          <w:rFonts w:ascii="Arial" w:hAnsi="Arial" w:cs="Arial"/>
          <w:b/>
          <w:sz w:val="20"/>
          <w:u w:val="single"/>
          <w:lang w:val="en-GB"/>
        </w:rPr>
        <w:t>General Terms</w:t>
      </w:r>
    </w:p>
    <w:p w14:paraId="226063F5" w14:textId="77777777" w:rsidR="00086C69" w:rsidRPr="00312DC2" w:rsidRDefault="00086C69">
      <w:pPr>
        <w:rPr>
          <w:rFonts w:ascii="Arial" w:hAnsi="Arial" w:cs="Arial"/>
          <w:sz w:val="20"/>
          <w:lang w:val="en-GB"/>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090"/>
      </w:tblGrid>
      <w:tr w:rsidR="00356F41" w:rsidRPr="00312DC2" w14:paraId="170DC3B1" w14:textId="77777777" w:rsidTr="006B3741">
        <w:tc>
          <w:tcPr>
            <w:tcW w:w="3510" w:type="dxa"/>
          </w:tcPr>
          <w:p w14:paraId="203166AE" w14:textId="6EDC804D" w:rsidR="00356F41" w:rsidRPr="00312DC2" w:rsidRDefault="00086C69">
            <w:pPr>
              <w:rPr>
                <w:rFonts w:ascii="Arial" w:hAnsi="Arial" w:cs="Arial"/>
                <w:b/>
                <w:sz w:val="20"/>
                <w:lang w:val="en-GB"/>
              </w:rPr>
            </w:pPr>
            <w:r w:rsidRPr="00312DC2">
              <w:rPr>
                <w:rFonts w:ascii="Arial" w:hAnsi="Arial" w:cs="Arial"/>
                <w:b/>
                <w:sz w:val="20"/>
                <w:lang w:val="en-GB"/>
              </w:rPr>
              <w:t>Trade Date:</w:t>
            </w:r>
          </w:p>
        </w:tc>
        <w:tc>
          <w:tcPr>
            <w:tcW w:w="7090" w:type="dxa"/>
          </w:tcPr>
          <w:p w14:paraId="223CF19C" w14:textId="1C32F62C" w:rsidR="00356F41" w:rsidRPr="00312DC2" w:rsidRDefault="00086C69" w:rsidP="00191D8D">
            <w:pPr>
              <w:jc w:val="both"/>
              <w:rPr>
                <w:rFonts w:ascii="Arial" w:hAnsi="Arial" w:cs="Arial"/>
                <w:sz w:val="20"/>
                <w:lang w:val="en-GB"/>
              </w:rPr>
            </w:pPr>
            <w:r w:rsidRPr="00312DC2">
              <w:rPr>
                <w:rFonts w:ascii="Arial" w:hAnsi="Arial" w:cs="Arial"/>
                <w:sz w:val="20"/>
                <w:highlight w:val="yellow"/>
                <w:lang w:val="en-GB"/>
              </w:rPr>
              <w:t>YYY</w:t>
            </w:r>
          </w:p>
        </w:tc>
      </w:tr>
      <w:tr w:rsidR="00356F41" w:rsidRPr="00312DC2" w14:paraId="7A157ED0" w14:textId="77777777" w:rsidTr="006B3741">
        <w:tc>
          <w:tcPr>
            <w:tcW w:w="3510" w:type="dxa"/>
          </w:tcPr>
          <w:p w14:paraId="061924DC" w14:textId="77777777" w:rsidR="00356F41" w:rsidRPr="00312DC2" w:rsidRDefault="00356F41">
            <w:pPr>
              <w:rPr>
                <w:rFonts w:ascii="Arial" w:hAnsi="Arial" w:cs="Arial"/>
                <w:b/>
                <w:sz w:val="20"/>
                <w:lang w:val="en-GB"/>
              </w:rPr>
            </w:pPr>
          </w:p>
        </w:tc>
        <w:tc>
          <w:tcPr>
            <w:tcW w:w="7090" w:type="dxa"/>
          </w:tcPr>
          <w:p w14:paraId="0DA7D14F" w14:textId="77777777" w:rsidR="00356F41" w:rsidRPr="00312DC2" w:rsidRDefault="00356F41" w:rsidP="00191D8D">
            <w:pPr>
              <w:jc w:val="both"/>
              <w:rPr>
                <w:rFonts w:ascii="Arial" w:hAnsi="Arial" w:cs="Arial"/>
                <w:sz w:val="20"/>
                <w:lang w:val="en-GB"/>
              </w:rPr>
            </w:pPr>
          </w:p>
        </w:tc>
      </w:tr>
      <w:tr w:rsidR="00356F41" w:rsidRPr="00312DC2" w14:paraId="2432AC2A" w14:textId="77777777" w:rsidTr="006B3741">
        <w:tc>
          <w:tcPr>
            <w:tcW w:w="3510" w:type="dxa"/>
          </w:tcPr>
          <w:p w14:paraId="25AEFDD5" w14:textId="519EF057" w:rsidR="00356F41" w:rsidRPr="00312DC2" w:rsidRDefault="00191D8D">
            <w:pPr>
              <w:rPr>
                <w:rFonts w:ascii="Arial" w:hAnsi="Arial" w:cs="Arial"/>
                <w:b/>
                <w:sz w:val="20"/>
                <w:lang w:val="en-GB"/>
              </w:rPr>
            </w:pPr>
            <w:r w:rsidRPr="00312DC2">
              <w:rPr>
                <w:rFonts w:ascii="Arial" w:hAnsi="Arial" w:cs="Arial"/>
                <w:b/>
                <w:sz w:val="20"/>
                <w:lang w:val="en-GB"/>
              </w:rPr>
              <w:t>Effective Date:</w:t>
            </w:r>
          </w:p>
        </w:tc>
        <w:tc>
          <w:tcPr>
            <w:tcW w:w="7090" w:type="dxa"/>
          </w:tcPr>
          <w:p w14:paraId="454C890E" w14:textId="597718EA" w:rsidR="00356F41" w:rsidRPr="00312DC2" w:rsidRDefault="00191D8D" w:rsidP="00191D8D">
            <w:pPr>
              <w:jc w:val="both"/>
              <w:rPr>
                <w:rFonts w:ascii="Arial" w:hAnsi="Arial" w:cs="Arial"/>
                <w:sz w:val="20"/>
                <w:highlight w:val="yellow"/>
                <w:lang w:val="en-GB"/>
              </w:rPr>
            </w:pPr>
            <w:r w:rsidRPr="00312DC2">
              <w:rPr>
                <w:rFonts w:ascii="Arial" w:hAnsi="Arial" w:cs="Arial"/>
                <w:sz w:val="20"/>
                <w:highlight w:val="yellow"/>
                <w:lang w:val="en-GB"/>
              </w:rPr>
              <w:t>YYY</w:t>
            </w:r>
          </w:p>
        </w:tc>
      </w:tr>
      <w:tr w:rsidR="00356F41" w:rsidRPr="00312DC2" w14:paraId="5965CB65" w14:textId="77777777" w:rsidTr="006B3741">
        <w:tc>
          <w:tcPr>
            <w:tcW w:w="3510" w:type="dxa"/>
          </w:tcPr>
          <w:p w14:paraId="47038513" w14:textId="77777777" w:rsidR="00356F41" w:rsidRPr="00312DC2" w:rsidRDefault="00356F41">
            <w:pPr>
              <w:rPr>
                <w:rFonts w:ascii="Arial" w:hAnsi="Arial" w:cs="Arial"/>
                <w:b/>
                <w:sz w:val="20"/>
                <w:lang w:val="en-GB"/>
              </w:rPr>
            </w:pPr>
          </w:p>
        </w:tc>
        <w:tc>
          <w:tcPr>
            <w:tcW w:w="7090" w:type="dxa"/>
          </w:tcPr>
          <w:p w14:paraId="6D14FE1F" w14:textId="77777777" w:rsidR="00356F41" w:rsidRPr="00312DC2" w:rsidRDefault="00356F41" w:rsidP="00191D8D">
            <w:pPr>
              <w:jc w:val="both"/>
              <w:rPr>
                <w:rFonts w:ascii="Arial" w:hAnsi="Arial" w:cs="Arial"/>
                <w:sz w:val="20"/>
                <w:lang w:val="en-GB"/>
              </w:rPr>
            </w:pPr>
          </w:p>
        </w:tc>
      </w:tr>
      <w:tr w:rsidR="00356F41" w:rsidRPr="00C658ED" w14:paraId="46E52008" w14:textId="77777777" w:rsidTr="006B3741">
        <w:tc>
          <w:tcPr>
            <w:tcW w:w="3510" w:type="dxa"/>
          </w:tcPr>
          <w:p w14:paraId="3138BD54" w14:textId="4903A4A5" w:rsidR="00356F41" w:rsidRPr="00312DC2" w:rsidRDefault="00191D8D">
            <w:pPr>
              <w:rPr>
                <w:rFonts w:ascii="Arial" w:hAnsi="Arial" w:cs="Arial"/>
                <w:b/>
                <w:sz w:val="20"/>
                <w:lang w:val="en-GB"/>
              </w:rPr>
            </w:pPr>
            <w:r w:rsidRPr="00312DC2">
              <w:rPr>
                <w:rFonts w:ascii="Arial" w:hAnsi="Arial" w:cs="Arial"/>
                <w:b/>
                <w:sz w:val="20"/>
                <w:lang w:val="en-GB"/>
              </w:rPr>
              <w:t>Termination Date:</w:t>
            </w:r>
          </w:p>
        </w:tc>
        <w:tc>
          <w:tcPr>
            <w:tcW w:w="7090" w:type="dxa"/>
          </w:tcPr>
          <w:p w14:paraId="68C41EF9" w14:textId="54C1DAB9" w:rsidR="00356F41" w:rsidRPr="00312DC2" w:rsidRDefault="001D25A0" w:rsidP="00191D8D">
            <w:pPr>
              <w:jc w:val="both"/>
              <w:rPr>
                <w:rFonts w:ascii="Arial" w:hAnsi="Arial" w:cs="Arial"/>
                <w:sz w:val="20"/>
                <w:lang w:val="en-GB"/>
              </w:rPr>
            </w:pPr>
            <w:r w:rsidRPr="00312DC2">
              <w:rPr>
                <w:rFonts w:ascii="Arial" w:hAnsi="Arial" w:cs="Arial"/>
                <w:sz w:val="20"/>
                <w:highlight w:val="yellow"/>
                <w:lang w:val="en-GB"/>
              </w:rPr>
              <w:t>ZZZ</w:t>
            </w:r>
            <w:r w:rsidR="00191D8D" w:rsidRPr="00312DC2">
              <w:rPr>
                <w:rFonts w:ascii="Arial" w:hAnsi="Arial" w:cs="Arial"/>
                <w:sz w:val="20"/>
                <w:lang w:val="en-GB"/>
              </w:rPr>
              <w:t xml:space="preserve"> subject to Optional Early Termination as described in Section 8 below</w:t>
            </w:r>
          </w:p>
        </w:tc>
      </w:tr>
      <w:tr w:rsidR="00356F41" w:rsidRPr="00C658ED" w14:paraId="609FB7AA" w14:textId="77777777" w:rsidTr="006B3741">
        <w:tc>
          <w:tcPr>
            <w:tcW w:w="3510" w:type="dxa"/>
          </w:tcPr>
          <w:p w14:paraId="5F0AAA1F" w14:textId="77777777" w:rsidR="00356F41" w:rsidRPr="00312DC2" w:rsidRDefault="00356F41">
            <w:pPr>
              <w:rPr>
                <w:rFonts w:ascii="Arial" w:hAnsi="Arial" w:cs="Arial"/>
                <w:b/>
                <w:sz w:val="20"/>
                <w:lang w:val="en-GB"/>
              </w:rPr>
            </w:pPr>
          </w:p>
        </w:tc>
        <w:tc>
          <w:tcPr>
            <w:tcW w:w="7090" w:type="dxa"/>
          </w:tcPr>
          <w:p w14:paraId="372D5196" w14:textId="77777777" w:rsidR="00356F41" w:rsidRPr="00312DC2" w:rsidRDefault="00356F41" w:rsidP="00191D8D">
            <w:pPr>
              <w:jc w:val="both"/>
              <w:rPr>
                <w:rFonts w:ascii="Arial" w:hAnsi="Arial" w:cs="Arial"/>
                <w:sz w:val="20"/>
                <w:lang w:val="en-GB"/>
              </w:rPr>
            </w:pPr>
          </w:p>
        </w:tc>
      </w:tr>
      <w:tr w:rsidR="00356F41" w:rsidRPr="00312DC2" w14:paraId="33F1001B" w14:textId="77777777" w:rsidTr="006B3741">
        <w:tc>
          <w:tcPr>
            <w:tcW w:w="3510" w:type="dxa"/>
          </w:tcPr>
          <w:p w14:paraId="6A55DC3B" w14:textId="136D340B" w:rsidR="00356F41" w:rsidRPr="00312DC2" w:rsidRDefault="00191D8D">
            <w:pPr>
              <w:rPr>
                <w:rFonts w:ascii="Arial" w:hAnsi="Arial" w:cs="Arial"/>
                <w:b/>
                <w:sz w:val="20"/>
                <w:lang w:val="en-GB"/>
              </w:rPr>
            </w:pPr>
            <w:r w:rsidRPr="00312DC2">
              <w:rPr>
                <w:rFonts w:ascii="Arial" w:hAnsi="Arial" w:cs="Arial"/>
                <w:b/>
                <w:sz w:val="20"/>
                <w:lang w:val="en-GB"/>
              </w:rPr>
              <w:t>Notional Amount:</w:t>
            </w:r>
          </w:p>
        </w:tc>
        <w:tc>
          <w:tcPr>
            <w:tcW w:w="7090" w:type="dxa"/>
          </w:tcPr>
          <w:p w14:paraId="7AEEBDB7" w14:textId="1DDDE1EA" w:rsidR="00356F41" w:rsidRPr="00312DC2" w:rsidRDefault="00191D8D" w:rsidP="00191D8D">
            <w:pPr>
              <w:jc w:val="both"/>
              <w:rPr>
                <w:rFonts w:ascii="Arial" w:hAnsi="Arial" w:cs="Arial"/>
                <w:sz w:val="20"/>
                <w:lang w:val="en-GB"/>
              </w:rPr>
            </w:pPr>
            <w:r w:rsidRPr="00312DC2">
              <w:rPr>
                <w:rFonts w:ascii="Arial" w:hAnsi="Arial" w:cs="Arial"/>
                <w:sz w:val="20"/>
                <w:highlight w:val="yellow"/>
                <w:lang w:val="en-GB"/>
              </w:rPr>
              <w:t>XXX,XX EUR</w:t>
            </w:r>
          </w:p>
        </w:tc>
      </w:tr>
      <w:tr w:rsidR="00356F41" w:rsidRPr="00312DC2" w14:paraId="7E7C8F82" w14:textId="77777777" w:rsidTr="006B3741">
        <w:tc>
          <w:tcPr>
            <w:tcW w:w="3510" w:type="dxa"/>
          </w:tcPr>
          <w:p w14:paraId="3F9DD191" w14:textId="77777777" w:rsidR="00356F41" w:rsidRPr="00312DC2" w:rsidRDefault="00356F41">
            <w:pPr>
              <w:rPr>
                <w:rFonts w:ascii="Arial" w:hAnsi="Arial" w:cs="Arial"/>
                <w:sz w:val="20"/>
                <w:lang w:val="en-GB"/>
              </w:rPr>
            </w:pPr>
          </w:p>
        </w:tc>
        <w:tc>
          <w:tcPr>
            <w:tcW w:w="7090" w:type="dxa"/>
          </w:tcPr>
          <w:p w14:paraId="247D85A3" w14:textId="77777777" w:rsidR="00356F41" w:rsidRPr="00312DC2" w:rsidRDefault="00356F41" w:rsidP="00191D8D">
            <w:pPr>
              <w:jc w:val="both"/>
              <w:rPr>
                <w:rFonts w:ascii="Arial" w:hAnsi="Arial" w:cs="Arial"/>
                <w:sz w:val="20"/>
                <w:lang w:val="en-GB"/>
              </w:rPr>
            </w:pPr>
          </w:p>
        </w:tc>
      </w:tr>
      <w:tr w:rsidR="00356F41" w:rsidRPr="00C658ED" w14:paraId="28F56CC3" w14:textId="77777777" w:rsidTr="006B3741">
        <w:tc>
          <w:tcPr>
            <w:tcW w:w="3510" w:type="dxa"/>
          </w:tcPr>
          <w:p w14:paraId="0B9A7181" w14:textId="5259E00A" w:rsidR="00356F41" w:rsidRPr="00312DC2" w:rsidRDefault="00191D8D">
            <w:pPr>
              <w:rPr>
                <w:rFonts w:ascii="Arial" w:hAnsi="Arial" w:cs="Arial"/>
                <w:b/>
                <w:sz w:val="20"/>
                <w:lang w:val="en-GB"/>
              </w:rPr>
            </w:pPr>
            <w:r w:rsidRPr="00312DC2">
              <w:rPr>
                <w:rFonts w:ascii="Arial" w:hAnsi="Arial" w:cs="Arial"/>
                <w:b/>
                <w:sz w:val="20"/>
                <w:lang w:val="en-GB"/>
              </w:rPr>
              <w:t>Business Days:</w:t>
            </w:r>
          </w:p>
        </w:tc>
        <w:tc>
          <w:tcPr>
            <w:tcW w:w="7090" w:type="dxa"/>
          </w:tcPr>
          <w:p w14:paraId="3F011E55" w14:textId="5CF4BD71" w:rsidR="00356F41" w:rsidRPr="00312DC2" w:rsidRDefault="00191D8D" w:rsidP="00191D8D">
            <w:pPr>
              <w:jc w:val="both"/>
              <w:rPr>
                <w:rFonts w:ascii="Arial" w:hAnsi="Arial" w:cs="Arial"/>
                <w:sz w:val="20"/>
                <w:lang w:val="en-GB"/>
              </w:rPr>
            </w:pPr>
            <w:r w:rsidRPr="00312DC2">
              <w:rPr>
                <w:rFonts w:ascii="Arial" w:hAnsi="Arial" w:cs="Arial"/>
                <w:sz w:val="20"/>
                <w:lang w:val="en-GB"/>
              </w:rPr>
              <w:t>Paris and TARGET Settlement Days</w:t>
            </w:r>
          </w:p>
        </w:tc>
      </w:tr>
      <w:tr w:rsidR="00356F41" w:rsidRPr="00C658ED" w14:paraId="1991B002" w14:textId="77777777" w:rsidTr="006B3741">
        <w:tc>
          <w:tcPr>
            <w:tcW w:w="3510" w:type="dxa"/>
          </w:tcPr>
          <w:p w14:paraId="6A5A2C0F" w14:textId="77777777" w:rsidR="00356F41" w:rsidRPr="00312DC2" w:rsidRDefault="00356F41">
            <w:pPr>
              <w:rPr>
                <w:rFonts w:ascii="Arial" w:hAnsi="Arial" w:cs="Arial"/>
                <w:b/>
                <w:sz w:val="20"/>
                <w:lang w:val="en-GB"/>
              </w:rPr>
            </w:pPr>
          </w:p>
        </w:tc>
        <w:tc>
          <w:tcPr>
            <w:tcW w:w="7090" w:type="dxa"/>
          </w:tcPr>
          <w:p w14:paraId="205936A2" w14:textId="77777777" w:rsidR="00356F41" w:rsidRPr="00312DC2" w:rsidRDefault="00356F41" w:rsidP="00191D8D">
            <w:pPr>
              <w:jc w:val="both"/>
              <w:rPr>
                <w:rFonts w:ascii="Arial" w:hAnsi="Arial" w:cs="Arial"/>
                <w:sz w:val="20"/>
                <w:lang w:val="en-GB"/>
              </w:rPr>
            </w:pPr>
          </w:p>
        </w:tc>
      </w:tr>
      <w:tr w:rsidR="00356F41" w:rsidRPr="00C658ED" w14:paraId="2475D551" w14:textId="77777777" w:rsidTr="006B3741">
        <w:tc>
          <w:tcPr>
            <w:tcW w:w="3510" w:type="dxa"/>
          </w:tcPr>
          <w:p w14:paraId="0519F753" w14:textId="341481C7" w:rsidR="00356F41" w:rsidRPr="00312DC2" w:rsidRDefault="00191D8D">
            <w:pPr>
              <w:rPr>
                <w:rFonts w:ascii="Arial" w:hAnsi="Arial" w:cs="Arial"/>
                <w:b/>
                <w:sz w:val="20"/>
                <w:lang w:val="en-GB"/>
              </w:rPr>
            </w:pPr>
            <w:r w:rsidRPr="00312DC2">
              <w:rPr>
                <w:rFonts w:ascii="Arial" w:hAnsi="Arial" w:cs="Arial"/>
                <w:b/>
                <w:sz w:val="20"/>
                <w:lang w:val="en-GB"/>
              </w:rPr>
              <w:t>Basket Assets:</w:t>
            </w:r>
          </w:p>
        </w:tc>
        <w:tc>
          <w:tcPr>
            <w:tcW w:w="7090" w:type="dxa"/>
          </w:tcPr>
          <w:p w14:paraId="5031E047" w14:textId="11C36E16" w:rsidR="00356F41" w:rsidRPr="00312DC2" w:rsidRDefault="00191D8D" w:rsidP="00191D8D">
            <w:pPr>
              <w:jc w:val="both"/>
              <w:rPr>
                <w:rFonts w:ascii="Arial" w:hAnsi="Arial" w:cs="Arial"/>
                <w:sz w:val="20"/>
                <w:lang w:val="en-GB"/>
              </w:rPr>
            </w:pPr>
            <w:r w:rsidRPr="00312DC2">
              <w:rPr>
                <w:rFonts w:ascii="Arial" w:hAnsi="Arial" w:cs="Arial"/>
                <w:sz w:val="20"/>
                <w:lang w:val="en-GB"/>
              </w:rPr>
              <w:t>Means each of the assets set out in the prevailing Annex 1 hereto</w:t>
            </w:r>
          </w:p>
        </w:tc>
      </w:tr>
      <w:tr w:rsidR="00356F41" w:rsidRPr="00C658ED" w14:paraId="78105941" w14:textId="77777777" w:rsidTr="006B3741">
        <w:tc>
          <w:tcPr>
            <w:tcW w:w="3510" w:type="dxa"/>
          </w:tcPr>
          <w:p w14:paraId="57854FE1" w14:textId="77777777" w:rsidR="00356F41" w:rsidRPr="00312DC2" w:rsidRDefault="00356F41">
            <w:pPr>
              <w:rPr>
                <w:rFonts w:ascii="Arial" w:hAnsi="Arial" w:cs="Arial"/>
                <w:b/>
                <w:sz w:val="20"/>
                <w:lang w:val="en-GB"/>
              </w:rPr>
            </w:pPr>
          </w:p>
        </w:tc>
        <w:tc>
          <w:tcPr>
            <w:tcW w:w="7090" w:type="dxa"/>
          </w:tcPr>
          <w:p w14:paraId="30564135" w14:textId="77777777" w:rsidR="00356F41" w:rsidRPr="00312DC2" w:rsidRDefault="00356F41" w:rsidP="00191D8D">
            <w:pPr>
              <w:jc w:val="both"/>
              <w:rPr>
                <w:rFonts w:ascii="Arial" w:hAnsi="Arial" w:cs="Arial"/>
                <w:sz w:val="20"/>
                <w:lang w:val="en-GB"/>
              </w:rPr>
            </w:pPr>
          </w:p>
        </w:tc>
      </w:tr>
      <w:tr w:rsidR="00356F41" w:rsidRPr="00312DC2" w14:paraId="5E93FBEB" w14:textId="77777777" w:rsidTr="006B3741">
        <w:tc>
          <w:tcPr>
            <w:tcW w:w="3510" w:type="dxa"/>
          </w:tcPr>
          <w:p w14:paraId="263D0C00" w14:textId="1162FDB7" w:rsidR="00356F41" w:rsidRPr="00312DC2" w:rsidRDefault="00191D8D">
            <w:pPr>
              <w:rPr>
                <w:rFonts w:ascii="Arial" w:hAnsi="Arial" w:cs="Arial"/>
                <w:b/>
                <w:sz w:val="20"/>
                <w:lang w:val="en-GB"/>
              </w:rPr>
            </w:pPr>
            <w:r w:rsidRPr="00312DC2">
              <w:rPr>
                <w:rFonts w:ascii="Arial" w:hAnsi="Arial" w:cs="Arial"/>
                <w:b/>
                <w:sz w:val="20"/>
                <w:lang w:val="en-GB"/>
              </w:rPr>
              <w:t>Assets:</w:t>
            </w:r>
          </w:p>
        </w:tc>
        <w:tc>
          <w:tcPr>
            <w:tcW w:w="7090" w:type="dxa"/>
          </w:tcPr>
          <w:p w14:paraId="0F02195F" w14:textId="1DAC000B" w:rsidR="00356F41" w:rsidRPr="00312DC2" w:rsidRDefault="00191D8D" w:rsidP="00191D8D">
            <w:pPr>
              <w:jc w:val="both"/>
              <w:rPr>
                <w:rFonts w:ascii="Arial" w:hAnsi="Arial" w:cs="Arial"/>
                <w:sz w:val="20"/>
                <w:lang w:val="en-GB"/>
              </w:rPr>
            </w:pPr>
            <w:r w:rsidRPr="00312DC2">
              <w:rPr>
                <w:rFonts w:ascii="Arial" w:hAnsi="Arial" w:cs="Arial"/>
                <w:sz w:val="20"/>
                <w:lang w:val="en-GB"/>
              </w:rPr>
              <w:t>Means the Basket Assets</w:t>
            </w:r>
          </w:p>
        </w:tc>
      </w:tr>
      <w:tr w:rsidR="00356F41" w:rsidRPr="00312DC2" w14:paraId="3C6C1402" w14:textId="77777777" w:rsidTr="006B3741">
        <w:tc>
          <w:tcPr>
            <w:tcW w:w="3510" w:type="dxa"/>
          </w:tcPr>
          <w:p w14:paraId="6E345F3A" w14:textId="77777777" w:rsidR="00356F41" w:rsidRPr="00312DC2" w:rsidRDefault="00356F41">
            <w:pPr>
              <w:rPr>
                <w:rFonts w:ascii="Arial" w:hAnsi="Arial" w:cs="Arial"/>
                <w:b/>
                <w:sz w:val="20"/>
                <w:lang w:val="en-GB"/>
              </w:rPr>
            </w:pPr>
          </w:p>
        </w:tc>
        <w:tc>
          <w:tcPr>
            <w:tcW w:w="7090" w:type="dxa"/>
          </w:tcPr>
          <w:p w14:paraId="6A3633BF" w14:textId="77777777" w:rsidR="00356F41" w:rsidRPr="00312DC2" w:rsidRDefault="00356F41" w:rsidP="00191D8D">
            <w:pPr>
              <w:jc w:val="both"/>
              <w:rPr>
                <w:rFonts w:ascii="Arial" w:hAnsi="Arial" w:cs="Arial"/>
                <w:sz w:val="20"/>
                <w:lang w:val="en-GB"/>
              </w:rPr>
            </w:pPr>
          </w:p>
        </w:tc>
      </w:tr>
      <w:tr w:rsidR="00356F41" w:rsidRPr="00C658ED" w14:paraId="32F74244" w14:textId="77777777" w:rsidTr="006B3741">
        <w:tc>
          <w:tcPr>
            <w:tcW w:w="3510" w:type="dxa"/>
          </w:tcPr>
          <w:p w14:paraId="1948609A" w14:textId="6A8A6010" w:rsidR="00356F41" w:rsidRPr="00312DC2" w:rsidRDefault="00191D8D">
            <w:pPr>
              <w:rPr>
                <w:rFonts w:ascii="Arial" w:hAnsi="Arial" w:cs="Arial"/>
                <w:b/>
                <w:sz w:val="20"/>
                <w:lang w:val="en-GB"/>
              </w:rPr>
            </w:pPr>
            <w:r w:rsidRPr="00312DC2">
              <w:rPr>
                <w:rFonts w:ascii="Arial" w:hAnsi="Arial" w:cs="Arial"/>
                <w:b/>
                <w:sz w:val="20"/>
                <w:lang w:val="en-GB"/>
              </w:rPr>
              <w:t>Asset Specific Definitions:</w:t>
            </w:r>
          </w:p>
        </w:tc>
        <w:tc>
          <w:tcPr>
            <w:tcW w:w="7090" w:type="dxa"/>
          </w:tcPr>
          <w:p w14:paraId="53D91F26" w14:textId="26EF2FBD" w:rsidR="00356F41" w:rsidRPr="00312DC2" w:rsidRDefault="00191D8D" w:rsidP="00191D8D">
            <w:pPr>
              <w:jc w:val="both"/>
              <w:rPr>
                <w:rFonts w:ascii="Arial" w:hAnsi="Arial" w:cs="Arial"/>
                <w:sz w:val="20"/>
                <w:lang w:val="en-GB"/>
              </w:rPr>
            </w:pPr>
            <w:r w:rsidRPr="00312DC2">
              <w:rPr>
                <w:rFonts w:ascii="Arial" w:hAnsi="Arial" w:cs="Arial"/>
                <w:sz w:val="20"/>
                <w:lang w:val="en-GB"/>
              </w:rPr>
              <w:t>Capitalised terms used in this Confirmation that are specific to a type of Asset are defined (a) in respect of Shares, in Annex hereto, (b)</w:t>
            </w:r>
            <w:r w:rsidR="00DF7EC8" w:rsidRPr="00312DC2">
              <w:rPr>
                <w:rFonts w:ascii="Arial" w:hAnsi="Arial" w:cs="Arial"/>
                <w:sz w:val="20"/>
                <w:lang w:val="en-GB"/>
              </w:rPr>
              <w:t xml:space="preserve"> </w:t>
            </w:r>
            <w:r w:rsidRPr="00312DC2">
              <w:rPr>
                <w:rFonts w:ascii="Arial" w:hAnsi="Arial" w:cs="Arial"/>
                <w:sz w:val="20"/>
                <w:lang w:val="en-GB"/>
              </w:rPr>
              <w:t>in respect of Bonds or Convertible Bonds, in Annex 3 hereto, (c)in respect of Scrips, in Annex 4 hereto</w:t>
            </w:r>
            <w:r w:rsidR="008A104D" w:rsidRPr="00312DC2">
              <w:rPr>
                <w:rFonts w:ascii="Arial" w:hAnsi="Arial" w:cs="Arial"/>
                <w:sz w:val="20"/>
                <w:lang w:val="en-GB"/>
              </w:rPr>
              <w:t>, and (d) in respect of Fund Interests, in Annex 5 hereto.</w:t>
            </w:r>
          </w:p>
          <w:p w14:paraId="08AEBF8D" w14:textId="5CD220C2" w:rsidR="008A104D" w:rsidRPr="00312DC2" w:rsidRDefault="008A104D" w:rsidP="00191D8D">
            <w:pPr>
              <w:jc w:val="both"/>
              <w:rPr>
                <w:rFonts w:ascii="Arial" w:hAnsi="Arial" w:cs="Arial"/>
                <w:sz w:val="20"/>
                <w:lang w:val="en-GB"/>
              </w:rPr>
            </w:pPr>
          </w:p>
        </w:tc>
      </w:tr>
    </w:tbl>
    <w:p w14:paraId="61061D45" w14:textId="77777777" w:rsidR="00312DC2" w:rsidRDefault="00312DC2" w:rsidP="00312DC2">
      <w:pPr>
        <w:pStyle w:val="ListParagraph"/>
        <w:rPr>
          <w:rFonts w:ascii="Arial" w:hAnsi="Arial" w:cs="Arial"/>
          <w:b/>
          <w:sz w:val="20"/>
          <w:u w:val="single"/>
          <w:lang w:val="en-GB"/>
        </w:rPr>
      </w:pPr>
    </w:p>
    <w:p w14:paraId="6BF17BE2" w14:textId="403D8E90" w:rsidR="008A104D" w:rsidRPr="00312DC2" w:rsidRDefault="002A78EB" w:rsidP="008A104D">
      <w:pPr>
        <w:pStyle w:val="ListParagraph"/>
        <w:numPr>
          <w:ilvl w:val="0"/>
          <w:numId w:val="3"/>
        </w:numPr>
        <w:rPr>
          <w:rFonts w:ascii="Arial" w:hAnsi="Arial" w:cs="Arial"/>
          <w:b/>
          <w:sz w:val="20"/>
          <w:u w:val="single"/>
          <w:lang w:val="en-GB"/>
        </w:rPr>
      </w:pPr>
      <w:r w:rsidRPr="00312DC2">
        <w:rPr>
          <w:rFonts w:ascii="Arial" w:hAnsi="Arial" w:cs="Arial"/>
          <w:b/>
          <w:sz w:val="20"/>
          <w:u w:val="single"/>
          <w:lang w:val="en-GB"/>
        </w:rPr>
        <w:t>Fixed Amounts</w:t>
      </w:r>
    </w:p>
    <w:p w14:paraId="2A2A6AFD" w14:textId="77777777" w:rsidR="008A104D" w:rsidRPr="00312DC2" w:rsidRDefault="008A104D" w:rsidP="008A104D">
      <w:pPr>
        <w:rPr>
          <w:rFonts w:ascii="Arial" w:hAnsi="Arial" w:cs="Arial"/>
          <w:sz w:val="20"/>
          <w:lang w:val="en-GB"/>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090"/>
      </w:tblGrid>
      <w:tr w:rsidR="008A104D" w:rsidRPr="00312DC2" w14:paraId="0E6FDB27" w14:textId="77777777" w:rsidTr="006B3741">
        <w:tc>
          <w:tcPr>
            <w:tcW w:w="3510" w:type="dxa"/>
          </w:tcPr>
          <w:p w14:paraId="38573651" w14:textId="682E41A2" w:rsidR="008A104D" w:rsidRPr="00312DC2" w:rsidRDefault="000B1FB9" w:rsidP="001D25A0">
            <w:pPr>
              <w:rPr>
                <w:rFonts w:ascii="Arial" w:hAnsi="Arial" w:cs="Arial"/>
                <w:b/>
                <w:sz w:val="20"/>
                <w:u w:val="single"/>
                <w:lang w:val="en-GB"/>
              </w:rPr>
            </w:pPr>
            <w:r w:rsidRPr="00312DC2">
              <w:rPr>
                <w:rFonts w:ascii="Arial" w:hAnsi="Arial" w:cs="Arial"/>
                <w:b/>
                <w:sz w:val="20"/>
                <w:u w:val="single"/>
                <w:lang w:val="en-GB"/>
              </w:rPr>
              <w:t>Fixed Amount</w:t>
            </w:r>
            <w:r w:rsidR="002A78EB" w:rsidRPr="00312DC2">
              <w:rPr>
                <w:rFonts w:ascii="Arial" w:hAnsi="Arial" w:cs="Arial"/>
                <w:b/>
                <w:sz w:val="20"/>
                <w:u w:val="single"/>
                <w:lang w:val="en-GB"/>
              </w:rPr>
              <w:t xml:space="preserve"> 1</w:t>
            </w:r>
          </w:p>
        </w:tc>
        <w:tc>
          <w:tcPr>
            <w:tcW w:w="7090" w:type="dxa"/>
          </w:tcPr>
          <w:p w14:paraId="04CB8311" w14:textId="60A81246" w:rsidR="008A104D" w:rsidRPr="00312DC2" w:rsidRDefault="008A104D" w:rsidP="001D25A0">
            <w:pPr>
              <w:jc w:val="both"/>
              <w:rPr>
                <w:rFonts w:ascii="Arial" w:hAnsi="Arial" w:cs="Arial"/>
                <w:sz w:val="20"/>
                <w:lang w:val="en-GB"/>
              </w:rPr>
            </w:pPr>
          </w:p>
        </w:tc>
      </w:tr>
      <w:tr w:rsidR="008A104D" w:rsidRPr="00312DC2" w14:paraId="0396B11B" w14:textId="77777777" w:rsidTr="006B3741">
        <w:tc>
          <w:tcPr>
            <w:tcW w:w="3510" w:type="dxa"/>
          </w:tcPr>
          <w:p w14:paraId="74370E94" w14:textId="77777777" w:rsidR="008A104D" w:rsidRPr="00312DC2" w:rsidRDefault="008A104D" w:rsidP="001D25A0">
            <w:pPr>
              <w:rPr>
                <w:rFonts w:ascii="Arial" w:hAnsi="Arial" w:cs="Arial"/>
                <w:b/>
                <w:sz w:val="20"/>
                <w:lang w:val="en-GB"/>
              </w:rPr>
            </w:pPr>
          </w:p>
        </w:tc>
        <w:tc>
          <w:tcPr>
            <w:tcW w:w="7090" w:type="dxa"/>
          </w:tcPr>
          <w:p w14:paraId="7F37326E" w14:textId="77777777" w:rsidR="008A104D" w:rsidRPr="00312DC2" w:rsidRDefault="008A104D" w:rsidP="001D25A0">
            <w:pPr>
              <w:jc w:val="both"/>
              <w:rPr>
                <w:rFonts w:ascii="Arial" w:hAnsi="Arial" w:cs="Arial"/>
                <w:sz w:val="20"/>
                <w:lang w:val="en-GB"/>
              </w:rPr>
            </w:pPr>
          </w:p>
        </w:tc>
      </w:tr>
      <w:tr w:rsidR="008A104D" w:rsidRPr="00312DC2" w14:paraId="565971EA" w14:textId="77777777" w:rsidTr="006B3741">
        <w:tc>
          <w:tcPr>
            <w:tcW w:w="3510" w:type="dxa"/>
          </w:tcPr>
          <w:p w14:paraId="4715181F" w14:textId="2FEAECFA" w:rsidR="008A104D" w:rsidRPr="00312DC2" w:rsidRDefault="002A78EB" w:rsidP="001D25A0">
            <w:pPr>
              <w:rPr>
                <w:rFonts w:ascii="Arial" w:hAnsi="Arial" w:cs="Arial"/>
                <w:b/>
                <w:sz w:val="20"/>
                <w:lang w:val="en-GB"/>
              </w:rPr>
            </w:pPr>
            <w:r w:rsidRPr="00312DC2">
              <w:rPr>
                <w:rFonts w:ascii="Arial" w:hAnsi="Arial" w:cs="Arial"/>
                <w:b/>
                <w:sz w:val="20"/>
                <w:lang w:val="en-GB"/>
              </w:rPr>
              <w:t>Fixed Amount 1 Payer:</w:t>
            </w:r>
          </w:p>
        </w:tc>
        <w:tc>
          <w:tcPr>
            <w:tcW w:w="7090" w:type="dxa"/>
          </w:tcPr>
          <w:p w14:paraId="0F4B49C3" w14:textId="006FB5D9" w:rsidR="008A104D" w:rsidRPr="00312DC2" w:rsidRDefault="002A78EB" w:rsidP="001D25A0">
            <w:pPr>
              <w:jc w:val="both"/>
              <w:rPr>
                <w:rFonts w:ascii="Arial" w:hAnsi="Arial" w:cs="Arial"/>
                <w:sz w:val="20"/>
                <w:highlight w:val="yellow"/>
                <w:lang w:val="en-GB"/>
              </w:rPr>
            </w:pPr>
            <w:r w:rsidRPr="00312DC2">
              <w:rPr>
                <w:rFonts w:ascii="Arial" w:hAnsi="Arial" w:cs="Arial"/>
                <w:sz w:val="20"/>
                <w:lang w:val="en-GB"/>
              </w:rPr>
              <w:t>Party B</w:t>
            </w:r>
          </w:p>
        </w:tc>
      </w:tr>
      <w:tr w:rsidR="008A104D" w:rsidRPr="00312DC2" w14:paraId="32993BCE" w14:textId="77777777" w:rsidTr="006B3741">
        <w:tc>
          <w:tcPr>
            <w:tcW w:w="3510" w:type="dxa"/>
          </w:tcPr>
          <w:p w14:paraId="40740110" w14:textId="77777777" w:rsidR="008A104D" w:rsidRPr="00312DC2" w:rsidRDefault="008A104D" w:rsidP="001D25A0">
            <w:pPr>
              <w:rPr>
                <w:rFonts w:ascii="Arial" w:hAnsi="Arial" w:cs="Arial"/>
                <w:b/>
                <w:sz w:val="20"/>
                <w:lang w:val="en-GB"/>
              </w:rPr>
            </w:pPr>
          </w:p>
        </w:tc>
        <w:tc>
          <w:tcPr>
            <w:tcW w:w="7090" w:type="dxa"/>
          </w:tcPr>
          <w:p w14:paraId="3D59A199" w14:textId="77777777" w:rsidR="008A104D" w:rsidRPr="00312DC2" w:rsidRDefault="008A104D" w:rsidP="001D25A0">
            <w:pPr>
              <w:jc w:val="both"/>
              <w:rPr>
                <w:rFonts w:ascii="Arial" w:hAnsi="Arial" w:cs="Arial"/>
                <w:sz w:val="20"/>
                <w:lang w:val="en-GB"/>
              </w:rPr>
            </w:pPr>
          </w:p>
        </w:tc>
      </w:tr>
      <w:tr w:rsidR="008A104D" w:rsidRPr="00312DC2" w14:paraId="0A5BEA65" w14:textId="77777777" w:rsidTr="006B3741">
        <w:tc>
          <w:tcPr>
            <w:tcW w:w="3510" w:type="dxa"/>
          </w:tcPr>
          <w:p w14:paraId="3B9823C7" w14:textId="142B2D0A" w:rsidR="008A104D" w:rsidRPr="00312DC2" w:rsidRDefault="002A78EB" w:rsidP="002A78EB">
            <w:pPr>
              <w:rPr>
                <w:rFonts w:ascii="Arial" w:hAnsi="Arial" w:cs="Arial"/>
                <w:b/>
                <w:sz w:val="20"/>
                <w:lang w:val="en-GB"/>
              </w:rPr>
            </w:pPr>
            <w:r w:rsidRPr="00312DC2">
              <w:rPr>
                <w:rFonts w:ascii="Arial" w:hAnsi="Arial" w:cs="Arial"/>
                <w:b/>
                <w:sz w:val="20"/>
                <w:lang w:val="en-GB"/>
              </w:rPr>
              <w:t>Fixed Amount 1 Receiver:</w:t>
            </w:r>
          </w:p>
        </w:tc>
        <w:tc>
          <w:tcPr>
            <w:tcW w:w="7090" w:type="dxa"/>
          </w:tcPr>
          <w:p w14:paraId="56A1703E" w14:textId="56DBFDF6" w:rsidR="008A104D" w:rsidRPr="00312DC2" w:rsidRDefault="002A78EB" w:rsidP="001D25A0">
            <w:pPr>
              <w:jc w:val="both"/>
              <w:rPr>
                <w:rFonts w:ascii="Arial" w:hAnsi="Arial" w:cs="Arial"/>
                <w:sz w:val="20"/>
                <w:lang w:val="en-GB"/>
              </w:rPr>
            </w:pPr>
            <w:r w:rsidRPr="00312DC2">
              <w:rPr>
                <w:rFonts w:ascii="Arial" w:hAnsi="Arial" w:cs="Arial"/>
                <w:sz w:val="20"/>
                <w:lang w:val="en-GB"/>
              </w:rPr>
              <w:t>Party A</w:t>
            </w:r>
          </w:p>
        </w:tc>
      </w:tr>
      <w:tr w:rsidR="008A104D" w:rsidRPr="00312DC2" w14:paraId="762C2507" w14:textId="77777777" w:rsidTr="006B3741">
        <w:tc>
          <w:tcPr>
            <w:tcW w:w="3510" w:type="dxa"/>
          </w:tcPr>
          <w:p w14:paraId="033BDF70" w14:textId="77777777" w:rsidR="008A104D" w:rsidRPr="00312DC2" w:rsidRDefault="008A104D" w:rsidP="001D25A0">
            <w:pPr>
              <w:rPr>
                <w:rFonts w:ascii="Arial" w:hAnsi="Arial" w:cs="Arial"/>
                <w:b/>
                <w:sz w:val="20"/>
                <w:lang w:val="en-GB"/>
              </w:rPr>
            </w:pPr>
          </w:p>
        </w:tc>
        <w:tc>
          <w:tcPr>
            <w:tcW w:w="7090" w:type="dxa"/>
          </w:tcPr>
          <w:p w14:paraId="2AF78EC0" w14:textId="77777777" w:rsidR="008A104D" w:rsidRPr="00312DC2" w:rsidRDefault="008A104D" w:rsidP="001D25A0">
            <w:pPr>
              <w:jc w:val="both"/>
              <w:rPr>
                <w:rFonts w:ascii="Arial" w:hAnsi="Arial" w:cs="Arial"/>
                <w:sz w:val="20"/>
                <w:lang w:val="en-GB"/>
              </w:rPr>
            </w:pPr>
          </w:p>
        </w:tc>
      </w:tr>
      <w:tr w:rsidR="008A104D" w:rsidRPr="00312DC2" w14:paraId="53ECFF2C" w14:textId="77777777" w:rsidTr="006B3741">
        <w:tc>
          <w:tcPr>
            <w:tcW w:w="3510" w:type="dxa"/>
          </w:tcPr>
          <w:p w14:paraId="1695871D" w14:textId="64307F62" w:rsidR="008A104D" w:rsidRPr="00312DC2" w:rsidRDefault="002A78EB" w:rsidP="00CA7DDC">
            <w:pPr>
              <w:rPr>
                <w:rFonts w:ascii="Arial" w:hAnsi="Arial" w:cs="Arial"/>
                <w:b/>
                <w:sz w:val="20"/>
                <w:lang w:val="en-GB"/>
              </w:rPr>
            </w:pPr>
            <w:r w:rsidRPr="00312DC2">
              <w:rPr>
                <w:rFonts w:ascii="Arial" w:hAnsi="Arial" w:cs="Arial"/>
                <w:b/>
                <w:sz w:val="20"/>
                <w:lang w:val="en-GB"/>
              </w:rPr>
              <w:t>Fixed Amount 1:</w:t>
            </w:r>
          </w:p>
        </w:tc>
        <w:tc>
          <w:tcPr>
            <w:tcW w:w="7090" w:type="dxa"/>
          </w:tcPr>
          <w:p w14:paraId="016D29E6" w14:textId="4BE57F20" w:rsidR="008A104D" w:rsidRPr="00312DC2" w:rsidRDefault="00CA7DDC" w:rsidP="001D25A0">
            <w:pPr>
              <w:jc w:val="both"/>
              <w:rPr>
                <w:rFonts w:ascii="Arial" w:hAnsi="Arial" w:cs="Arial"/>
                <w:sz w:val="20"/>
                <w:lang w:val="en-GB"/>
              </w:rPr>
            </w:pPr>
            <w:r w:rsidRPr="00312DC2">
              <w:rPr>
                <w:rFonts w:ascii="Arial" w:hAnsi="Arial" w:cs="Arial"/>
                <w:sz w:val="20"/>
                <w:highlight w:val="yellow"/>
                <w:lang w:val="en-GB"/>
              </w:rPr>
              <w:t>NNN EUR</w:t>
            </w:r>
          </w:p>
        </w:tc>
      </w:tr>
      <w:tr w:rsidR="008A104D" w:rsidRPr="00312DC2" w14:paraId="60921A58" w14:textId="77777777" w:rsidTr="006B3741">
        <w:tc>
          <w:tcPr>
            <w:tcW w:w="3510" w:type="dxa"/>
          </w:tcPr>
          <w:p w14:paraId="460611AD" w14:textId="77777777" w:rsidR="008A104D" w:rsidRPr="00312DC2" w:rsidRDefault="008A104D" w:rsidP="001D25A0">
            <w:pPr>
              <w:rPr>
                <w:rFonts w:ascii="Arial" w:hAnsi="Arial" w:cs="Arial"/>
                <w:sz w:val="20"/>
                <w:lang w:val="en-GB"/>
              </w:rPr>
            </w:pPr>
          </w:p>
        </w:tc>
        <w:tc>
          <w:tcPr>
            <w:tcW w:w="7090" w:type="dxa"/>
          </w:tcPr>
          <w:p w14:paraId="71E10538" w14:textId="77777777" w:rsidR="008A104D" w:rsidRPr="00312DC2" w:rsidRDefault="008A104D" w:rsidP="001D25A0">
            <w:pPr>
              <w:jc w:val="both"/>
              <w:rPr>
                <w:rFonts w:ascii="Arial" w:hAnsi="Arial" w:cs="Arial"/>
                <w:sz w:val="20"/>
                <w:lang w:val="en-GB"/>
              </w:rPr>
            </w:pPr>
          </w:p>
        </w:tc>
      </w:tr>
      <w:tr w:rsidR="00CA7DDC" w:rsidRPr="00312DC2" w14:paraId="780BEDBA" w14:textId="77777777" w:rsidTr="006B3741">
        <w:tc>
          <w:tcPr>
            <w:tcW w:w="3510" w:type="dxa"/>
          </w:tcPr>
          <w:p w14:paraId="60099C7A" w14:textId="2E916173" w:rsidR="00CA7DDC" w:rsidRPr="00312DC2" w:rsidRDefault="00CA7DDC" w:rsidP="001D25A0">
            <w:pPr>
              <w:rPr>
                <w:rFonts w:ascii="Arial" w:hAnsi="Arial" w:cs="Arial"/>
                <w:b/>
                <w:sz w:val="20"/>
                <w:lang w:val="en-GB"/>
              </w:rPr>
            </w:pPr>
            <w:r w:rsidRPr="00312DC2">
              <w:rPr>
                <w:rFonts w:ascii="Arial" w:hAnsi="Arial" w:cs="Arial"/>
                <w:b/>
                <w:sz w:val="20"/>
                <w:lang w:val="en-GB"/>
              </w:rPr>
              <w:t>Fixed Amount 1 Payment Date:</w:t>
            </w:r>
          </w:p>
        </w:tc>
        <w:tc>
          <w:tcPr>
            <w:tcW w:w="7090" w:type="dxa"/>
          </w:tcPr>
          <w:p w14:paraId="6BC4CD7C" w14:textId="3059C46A" w:rsidR="00CA7DDC" w:rsidRPr="00312DC2" w:rsidRDefault="00CA7DDC" w:rsidP="001D25A0">
            <w:pPr>
              <w:jc w:val="both"/>
              <w:rPr>
                <w:rFonts w:ascii="Arial" w:hAnsi="Arial" w:cs="Arial"/>
                <w:sz w:val="20"/>
                <w:lang w:val="en-GB"/>
              </w:rPr>
            </w:pPr>
            <w:r w:rsidRPr="00312DC2">
              <w:rPr>
                <w:rFonts w:ascii="Arial" w:hAnsi="Arial" w:cs="Arial"/>
                <w:sz w:val="20"/>
                <w:highlight w:val="yellow"/>
                <w:lang w:val="en-GB"/>
              </w:rPr>
              <w:t>AAA</w:t>
            </w:r>
          </w:p>
        </w:tc>
      </w:tr>
      <w:tr w:rsidR="008A104D" w:rsidRPr="00312DC2" w14:paraId="2F34D4B0" w14:textId="77777777" w:rsidTr="006B3741">
        <w:tc>
          <w:tcPr>
            <w:tcW w:w="3510" w:type="dxa"/>
          </w:tcPr>
          <w:p w14:paraId="7CABF71F" w14:textId="77777777" w:rsidR="008A104D" w:rsidRPr="00312DC2" w:rsidRDefault="008A104D" w:rsidP="001D25A0">
            <w:pPr>
              <w:rPr>
                <w:rFonts w:ascii="Arial" w:hAnsi="Arial" w:cs="Arial"/>
                <w:b/>
                <w:sz w:val="20"/>
                <w:lang w:val="en-GB"/>
              </w:rPr>
            </w:pPr>
          </w:p>
        </w:tc>
        <w:tc>
          <w:tcPr>
            <w:tcW w:w="7090" w:type="dxa"/>
          </w:tcPr>
          <w:p w14:paraId="6C345885" w14:textId="77777777" w:rsidR="008A104D" w:rsidRPr="00312DC2" w:rsidRDefault="008A104D" w:rsidP="001D25A0">
            <w:pPr>
              <w:jc w:val="both"/>
              <w:rPr>
                <w:rFonts w:ascii="Arial" w:hAnsi="Arial" w:cs="Arial"/>
                <w:sz w:val="20"/>
                <w:lang w:val="en-GB"/>
              </w:rPr>
            </w:pPr>
          </w:p>
        </w:tc>
      </w:tr>
      <w:tr w:rsidR="00CA7DDC" w:rsidRPr="00312DC2" w14:paraId="2F407DD5" w14:textId="77777777" w:rsidTr="006B3741">
        <w:tc>
          <w:tcPr>
            <w:tcW w:w="3510" w:type="dxa"/>
          </w:tcPr>
          <w:p w14:paraId="18D02CD8" w14:textId="2A588D22" w:rsidR="00CA7DDC" w:rsidRPr="00312DC2" w:rsidRDefault="000B1FB9" w:rsidP="001D25A0">
            <w:pPr>
              <w:rPr>
                <w:rFonts w:ascii="Arial" w:hAnsi="Arial" w:cs="Arial"/>
                <w:b/>
                <w:sz w:val="20"/>
                <w:lang w:val="en-GB"/>
              </w:rPr>
            </w:pPr>
            <w:r w:rsidRPr="00312DC2">
              <w:rPr>
                <w:rFonts w:ascii="Arial" w:hAnsi="Arial" w:cs="Arial"/>
                <w:b/>
                <w:sz w:val="20"/>
                <w:u w:val="single"/>
                <w:lang w:val="en-GB"/>
              </w:rPr>
              <w:t>Fixed Amount</w:t>
            </w:r>
            <w:r w:rsidR="00CA7DDC" w:rsidRPr="00312DC2">
              <w:rPr>
                <w:rFonts w:ascii="Arial" w:hAnsi="Arial" w:cs="Arial"/>
                <w:b/>
                <w:sz w:val="20"/>
                <w:u w:val="single"/>
                <w:lang w:val="en-GB"/>
              </w:rPr>
              <w:t xml:space="preserve"> 2</w:t>
            </w:r>
          </w:p>
        </w:tc>
        <w:tc>
          <w:tcPr>
            <w:tcW w:w="7090" w:type="dxa"/>
          </w:tcPr>
          <w:p w14:paraId="05552A32" w14:textId="4E329207" w:rsidR="00CA7DDC" w:rsidRPr="00312DC2" w:rsidRDefault="00CA7DDC" w:rsidP="001D25A0">
            <w:pPr>
              <w:jc w:val="both"/>
              <w:rPr>
                <w:rFonts w:ascii="Arial" w:hAnsi="Arial" w:cs="Arial"/>
                <w:sz w:val="20"/>
                <w:lang w:val="en-GB"/>
              </w:rPr>
            </w:pPr>
          </w:p>
        </w:tc>
      </w:tr>
      <w:tr w:rsidR="00CA7DDC" w:rsidRPr="00312DC2" w14:paraId="5D7E3961" w14:textId="77777777" w:rsidTr="006B3741">
        <w:tc>
          <w:tcPr>
            <w:tcW w:w="3510" w:type="dxa"/>
          </w:tcPr>
          <w:p w14:paraId="58281AA9" w14:textId="77777777" w:rsidR="00CA7DDC" w:rsidRPr="00312DC2" w:rsidRDefault="00CA7DDC" w:rsidP="001D25A0">
            <w:pPr>
              <w:rPr>
                <w:rFonts w:ascii="Arial" w:hAnsi="Arial" w:cs="Arial"/>
                <w:b/>
                <w:sz w:val="20"/>
                <w:lang w:val="en-GB"/>
              </w:rPr>
            </w:pPr>
          </w:p>
        </w:tc>
        <w:tc>
          <w:tcPr>
            <w:tcW w:w="7090" w:type="dxa"/>
          </w:tcPr>
          <w:p w14:paraId="1593ADC6" w14:textId="77777777" w:rsidR="00CA7DDC" w:rsidRPr="00312DC2" w:rsidRDefault="00CA7DDC" w:rsidP="001D25A0">
            <w:pPr>
              <w:jc w:val="both"/>
              <w:rPr>
                <w:rFonts w:ascii="Arial" w:hAnsi="Arial" w:cs="Arial"/>
                <w:sz w:val="20"/>
                <w:lang w:val="en-GB"/>
              </w:rPr>
            </w:pPr>
          </w:p>
        </w:tc>
      </w:tr>
      <w:tr w:rsidR="00CA7DDC" w:rsidRPr="00312DC2" w14:paraId="4E4DA844" w14:textId="77777777" w:rsidTr="006B3741">
        <w:tc>
          <w:tcPr>
            <w:tcW w:w="3510" w:type="dxa"/>
          </w:tcPr>
          <w:p w14:paraId="4E6C1DC5" w14:textId="06967C97" w:rsidR="00CA7DDC" w:rsidRPr="00312DC2" w:rsidRDefault="00CA7DDC" w:rsidP="001D25A0">
            <w:pPr>
              <w:rPr>
                <w:rFonts w:ascii="Arial" w:hAnsi="Arial" w:cs="Arial"/>
                <w:b/>
                <w:sz w:val="20"/>
                <w:lang w:val="en-GB"/>
              </w:rPr>
            </w:pPr>
            <w:r w:rsidRPr="00312DC2">
              <w:rPr>
                <w:rFonts w:ascii="Arial" w:hAnsi="Arial" w:cs="Arial"/>
                <w:b/>
                <w:sz w:val="20"/>
                <w:lang w:val="en-GB"/>
              </w:rPr>
              <w:t>Fixed Amount 2 Payer:</w:t>
            </w:r>
          </w:p>
        </w:tc>
        <w:tc>
          <w:tcPr>
            <w:tcW w:w="7090" w:type="dxa"/>
          </w:tcPr>
          <w:p w14:paraId="24BEFF1C" w14:textId="7F230E29" w:rsidR="00CA7DDC" w:rsidRPr="00312DC2" w:rsidRDefault="00CA7DDC" w:rsidP="001D25A0">
            <w:pPr>
              <w:jc w:val="both"/>
              <w:rPr>
                <w:rFonts w:ascii="Arial" w:hAnsi="Arial" w:cs="Arial"/>
                <w:sz w:val="20"/>
                <w:lang w:val="en-GB"/>
              </w:rPr>
            </w:pPr>
            <w:r w:rsidRPr="00312DC2">
              <w:rPr>
                <w:rFonts w:ascii="Arial" w:hAnsi="Arial" w:cs="Arial"/>
                <w:sz w:val="20"/>
                <w:lang w:val="en-GB"/>
              </w:rPr>
              <w:t>Party A</w:t>
            </w:r>
          </w:p>
        </w:tc>
      </w:tr>
      <w:tr w:rsidR="00CA7DDC" w:rsidRPr="00312DC2" w14:paraId="4910CC69" w14:textId="77777777" w:rsidTr="006B3741">
        <w:tc>
          <w:tcPr>
            <w:tcW w:w="3510" w:type="dxa"/>
          </w:tcPr>
          <w:p w14:paraId="143D2367" w14:textId="77777777" w:rsidR="00CA7DDC" w:rsidRPr="00312DC2" w:rsidRDefault="00CA7DDC" w:rsidP="001D25A0">
            <w:pPr>
              <w:rPr>
                <w:rFonts w:ascii="Arial" w:hAnsi="Arial" w:cs="Arial"/>
                <w:b/>
                <w:sz w:val="20"/>
                <w:lang w:val="en-GB"/>
              </w:rPr>
            </w:pPr>
          </w:p>
        </w:tc>
        <w:tc>
          <w:tcPr>
            <w:tcW w:w="7090" w:type="dxa"/>
          </w:tcPr>
          <w:p w14:paraId="0883F313" w14:textId="77777777" w:rsidR="00CA7DDC" w:rsidRPr="00312DC2" w:rsidRDefault="00CA7DDC" w:rsidP="001D25A0">
            <w:pPr>
              <w:jc w:val="both"/>
              <w:rPr>
                <w:rFonts w:ascii="Arial" w:hAnsi="Arial" w:cs="Arial"/>
                <w:sz w:val="20"/>
                <w:lang w:val="en-GB"/>
              </w:rPr>
            </w:pPr>
          </w:p>
        </w:tc>
      </w:tr>
      <w:tr w:rsidR="00CA7DDC" w:rsidRPr="00312DC2" w14:paraId="584EAA92" w14:textId="77777777" w:rsidTr="006B3741">
        <w:tc>
          <w:tcPr>
            <w:tcW w:w="3510" w:type="dxa"/>
          </w:tcPr>
          <w:p w14:paraId="247EADF0" w14:textId="4E62103E" w:rsidR="00CA7DDC" w:rsidRPr="00312DC2" w:rsidRDefault="00CA7DDC" w:rsidP="001D25A0">
            <w:pPr>
              <w:rPr>
                <w:rFonts w:ascii="Arial" w:hAnsi="Arial" w:cs="Arial"/>
                <w:b/>
                <w:sz w:val="20"/>
                <w:lang w:val="en-GB"/>
              </w:rPr>
            </w:pPr>
            <w:r w:rsidRPr="00312DC2">
              <w:rPr>
                <w:rFonts w:ascii="Arial" w:hAnsi="Arial" w:cs="Arial"/>
                <w:b/>
                <w:sz w:val="20"/>
                <w:lang w:val="en-GB"/>
              </w:rPr>
              <w:lastRenderedPageBreak/>
              <w:t>Fixed Amount 2 Receiver:</w:t>
            </w:r>
          </w:p>
        </w:tc>
        <w:tc>
          <w:tcPr>
            <w:tcW w:w="7090" w:type="dxa"/>
          </w:tcPr>
          <w:p w14:paraId="7ADF01A2" w14:textId="1AE235C1" w:rsidR="00CA7DDC" w:rsidRPr="00312DC2" w:rsidRDefault="00CA7DDC" w:rsidP="001D25A0">
            <w:pPr>
              <w:jc w:val="both"/>
              <w:rPr>
                <w:rFonts w:ascii="Arial" w:hAnsi="Arial" w:cs="Arial"/>
                <w:sz w:val="20"/>
                <w:lang w:val="en-GB"/>
              </w:rPr>
            </w:pPr>
            <w:r w:rsidRPr="00312DC2">
              <w:rPr>
                <w:rFonts w:ascii="Arial" w:hAnsi="Arial" w:cs="Arial"/>
                <w:sz w:val="20"/>
                <w:lang w:val="en-GB"/>
              </w:rPr>
              <w:t>Party B</w:t>
            </w:r>
          </w:p>
        </w:tc>
      </w:tr>
      <w:tr w:rsidR="00CA7DDC" w:rsidRPr="00312DC2" w14:paraId="5CAA0E7B" w14:textId="77777777" w:rsidTr="006B3741">
        <w:tc>
          <w:tcPr>
            <w:tcW w:w="3510" w:type="dxa"/>
          </w:tcPr>
          <w:p w14:paraId="4B76F7CF" w14:textId="77777777" w:rsidR="00CA7DDC" w:rsidRPr="00312DC2" w:rsidRDefault="00CA7DDC" w:rsidP="001D25A0">
            <w:pPr>
              <w:rPr>
                <w:rFonts w:ascii="Arial" w:hAnsi="Arial" w:cs="Arial"/>
                <w:b/>
                <w:sz w:val="20"/>
                <w:lang w:val="en-GB"/>
              </w:rPr>
            </w:pPr>
          </w:p>
        </w:tc>
        <w:tc>
          <w:tcPr>
            <w:tcW w:w="7090" w:type="dxa"/>
          </w:tcPr>
          <w:p w14:paraId="2E0DA61A" w14:textId="77777777" w:rsidR="00CA7DDC" w:rsidRPr="00312DC2" w:rsidRDefault="00CA7DDC" w:rsidP="001D25A0">
            <w:pPr>
              <w:jc w:val="both"/>
              <w:rPr>
                <w:rFonts w:ascii="Arial" w:hAnsi="Arial" w:cs="Arial"/>
                <w:sz w:val="20"/>
                <w:lang w:val="en-GB"/>
              </w:rPr>
            </w:pPr>
          </w:p>
        </w:tc>
      </w:tr>
      <w:tr w:rsidR="00CA7DDC" w:rsidRPr="00312DC2" w14:paraId="13D08947" w14:textId="77777777" w:rsidTr="006B3741">
        <w:tc>
          <w:tcPr>
            <w:tcW w:w="3510" w:type="dxa"/>
          </w:tcPr>
          <w:p w14:paraId="02FA7920" w14:textId="0A0A4CA3" w:rsidR="00CA7DDC" w:rsidRPr="00312DC2" w:rsidRDefault="00CA7DDC" w:rsidP="001D25A0">
            <w:pPr>
              <w:rPr>
                <w:rFonts w:ascii="Arial" w:hAnsi="Arial" w:cs="Arial"/>
                <w:b/>
                <w:sz w:val="20"/>
                <w:lang w:val="en-GB"/>
              </w:rPr>
            </w:pPr>
            <w:r w:rsidRPr="00312DC2">
              <w:rPr>
                <w:rFonts w:ascii="Arial" w:hAnsi="Arial" w:cs="Arial"/>
                <w:b/>
                <w:sz w:val="20"/>
                <w:lang w:val="en-GB"/>
              </w:rPr>
              <w:t>Fixed Amount 2:</w:t>
            </w:r>
          </w:p>
        </w:tc>
        <w:tc>
          <w:tcPr>
            <w:tcW w:w="7090" w:type="dxa"/>
          </w:tcPr>
          <w:p w14:paraId="5E057E70" w14:textId="54B47D84" w:rsidR="00CA7DDC" w:rsidRPr="00312DC2" w:rsidRDefault="00CA7DDC" w:rsidP="001D25A0">
            <w:pPr>
              <w:jc w:val="both"/>
              <w:rPr>
                <w:rFonts w:ascii="Arial" w:hAnsi="Arial" w:cs="Arial"/>
                <w:sz w:val="20"/>
                <w:lang w:val="en-GB"/>
              </w:rPr>
            </w:pPr>
            <w:r w:rsidRPr="00312DC2">
              <w:rPr>
                <w:rFonts w:ascii="Arial" w:hAnsi="Arial" w:cs="Arial"/>
                <w:sz w:val="20"/>
                <w:highlight w:val="yellow"/>
                <w:lang w:val="en-GB"/>
              </w:rPr>
              <w:t>NNN EUR</w:t>
            </w:r>
          </w:p>
        </w:tc>
      </w:tr>
      <w:tr w:rsidR="00CA7DDC" w:rsidRPr="00312DC2" w14:paraId="65E3A347" w14:textId="77777777" w:rsidTr="006B3741">
        <w:tc>
          <w:tcPr>
            <w:tcW w:w="3510" w:type="dxa"/>
          </w:tcPr>
          <w:p w14:paraId="422F1334" w14:textId="77777777" w:rsidR="00CA7DDC" w:rsidRPr="00312DC2" w:rsidRDefault="00CA7DDC" w:rsidP="001D25A0">
            <w:pPr>
              <w:rPr>
                <w:rFonts w:ascii="Arial" w:hAnsi="Arial" w:cs="Arial"/>
                <w:b/>
                <w:sz w:val="20"/>
                <w:lang w:val="en-GB"/>
              </w:rPr>
            </w:pPr>
          </w:p>
        </w:tc>
        <w:tc>
          <w:tcPr>
            <w:tcW w:w="7090" w:type="dxa"/>
          </w:tcPr>
          <w:p w14:paraId="23008464" w14:textId="77777777" w:rsidR="00CA7DDC" w:rsidRPr="00312DC2" w:rsidRDefault="00CA7DDC" w:rsidP="001D25A0">
            <w:pPr>
              <w:jc w:val="both"/>
              <w:rPr>
                <w:rFonts w:ascii="Arial" w:hAnsi="Arial" w:cs="Arial"/>
                <w:sz w:val="20"/>
                <w:lang w:val="en-GB"/>
              </w:rPr>
            </w:pPr>
          </w:p>
        </w:tc>
      </w:tr>
      <w:tr w:rsidR="00CA7DDC" w:rsidRPr="00C658ED" w14:paraId="069E0E60" w14:textId="77777777" w:rsidTr="006B3741">
        <w:tc>
          <w:tcPr>
            <w:tcW w:w="3510" w:type="dxa"/>
          </w:tcPr>
          <w:p w14:paraId="3F4C2D34" w14:textId="519B2FDE" w:rsidR="00CA7DDC" w:rsidRPr="00312DC2" w:rsidRDefault="00CA7DDC" w:rsidP="001D25A0">
            <w:pPr>
              <w:rPr>
                <w:rFonts w:ascii="Arial" w:hAnsi="Arial" w:cs="Arial"/>
                <w:b/>
                <w:sz w:val="20"/>
                <w:lang w:val="en-GB"/>
              </w:rPr>
            </w:pPr>
            <w:r w:rsidRPr="00312DC2">
              <w:rPr>
                <w:rFonts w:ascii="Arial" w:hAnsi="Arial" w:cs="Arial"/>
                <w:b/>
                <w:sz w:val="20"/>
                <w:lang w:val="en-GB"/>
              </w:rPr>
              <w:t>Fixed Amount 2 Payment Date:</w:t>
            </w:r>
          </w:p>
        </w:tc>
        <w:tc>
          <w:tcPr>
            <w:tcW w:w="7090" w:type="dxa"/>
          </w:tcPr>
          <w:p w14:paraId="686F084B" w14:textId="68BD12E8" w:rsidR="00CA7DDC" w:rsidRPr="00312DC2" w:rsidRDefault="00CA7DDC" w:rsidP="001D25A0">
            <w:pPr>
              <w:jc w:val="both"/>
              <w:rPr>
                <w:rFonts w:ascii="Arial" w:hAnsi="Arial" w:cs="Arial"/>
                <w:sz w:val="20"/>
                <w:lang w:val="en-GB"/>
              </w:rPr>
            </w:pPr>
            <w:r w:rsidRPr="00312DC2">
              <w:rPr>
                <w:rFonts w:ascii="Arial" w:hAnsi="Arial" w:cs="Arial"/>
                <w:sz w:val="20"/>
                <w:lang w:val="en-GB"/>
              </w:rPr>
              <w:t>Termination Date, subject to Optional Early Termination (as described in section 8 below) in which case the Fixed Amount 2 wil</w:t>
            </w:r>
            <w:r w:rsidR="00B663F0">
              <w:rPr>
                <w:rFonts w:ascii="Arial" w:hAnsi="Arial" w:cs="Arial"/>
                <w:sz w:val="20"/>
                <w:lang w:val="en-GB"/>
              </w:rPr>
              <w:t>l</w:t>
            </w:r>
            <w:r w:rsidRPr="00312DC2">
              <w:rPr>
                <w:rFonts w:ascii="Arial" w:hAnsi="Arial" w:cs="Arial"/>
                <w:sz w:val="20"/>
                <w:lang w:val="en-GB"/>
              </w:rPr>
              <w:t xml:space="preserve"> not be paid at the Fixed Amount 2 payment Date</w:t>
            </w:r>
          </w:p>
        </w:tc>
      </w:tr>
      <w:tr w:rsidR="00CA7DDC" w:rsidRPr="00C658ED" w14:paraId="56C6411B" w14:textId="77777777" w:rsidTr="006B3741">
        <w:tc>
          <w:tcPr>
            <w:tcW w:w="3510" w:type="dxa"/>
          </w:tcPr>
          <w:p w14:paraId="5EE1E8CE" w14:textId="77777777" w:rsidR="00CA7DDC" w:rsidRPr="00312DC2" w:rsidRDefault="00CA7DDC" w:rsidP="001D25A0">
            <w:pPr>
              <w:rPr>
                <w:rFonts w:ascii="Arial" w:hAnsi="Arial" w:cs="Arial"/>
                <w:b/>
                <w:sz w:val="20"/>
                <w:lang w:val="en-GB"/>
              </w:rPr>
            </w:pPr>
          </w:p>
        </w:tc>
        <w:tc>
          <w:tcPr>
            <w:tcW w:w="7090" w:type="dxa"/>
          </w:tcPr>
          <w:p w14:paraId="1BACFF2E" w14:textId="77777777" w:rsidR="00CA7DDC" w:rsidRPr="00312DC2" w:rsidRDefault="00CA7DDC" w:rsidP="001D25A0">
            <w:pPr>
              <w:jc w:val="both"/>
              <w:rPr>
                <w:rFonts w:ascii="Arial" w:hAnsi="Arial" w:cs="Arial"/>
                <w:sz w:val="20"/>
                <w:lang w:val="en-GB"/>
              </w:rPr>
            </w:pPr>
          </w:p>
        </w:tc>
      </w:tr>
    </w:tbl>
    <w:p w14:paraId="7C432B50" w14:textId="77777777" w:rsidR="00AA224A" w:rsidRPr="00312DC2" w:rsidRDefault="00AA224A">
      <w:pPr>
        <w:rPr>
          <w:rFonts w:ascii="Arial" w:hAnsi="Arial" w:cs="Arial"/>
          <w:sz w:val="20"/>
          <w:lang w:val="en-GB"/>
        </w:rPr>
      </w:pPr>
    </w:p>
    <w:p w14:paraId="7D154CAB" w14:textId="58D618D7" w:rsidR="00CA7DDC" w:rsidRPr="00312DC2" w:rsidRDefault="00CA7DDC" w:rsidP="00CA7DDC">
      <w:pPr>
        <w:pStyle w:val="ListParagraph"/>
        <w:numPr>
          <w:ilvl w:val="0"/>
          <w:numId w:val="3"/>
        </w:numPr>
        <w:rPr>
          <w:rFonts w:ascii="Arial" w:hAnsi="Arial" w:cs="Arial"/>
          <w:b/>
          <w:sz w:val="20"/>
          <w:u w:val="single"/>
          <w:lang w:val="en-GB"/>
        </w:rPr>
      </w:pPr>
      <w:r w:rsidRPr="00312DC2">
        <w:rPr>
          <w:rFonts w:ascii="Arial" w:hAnsi="Arial" w:cs="Arial"/>
          <w:b/>
          <w:sz w:val="20"/>
          <w:u w:val="single"/>
          <w:lang w:val="en-GB"/>
        </w:rPr>
        <w:t>Basket Amounts</w:t>
      </w:r>
    </w:p>
    <w:p w14:paraId="352B459E" w14:textId="77777777" w:rsidR="00CA7DDC" w:rsidRPr="00312DC2" w:rsidRDefault="00CA7DDC" w:rsidP="00CA7DDC">
      <w:pPr>
        <w:rPr>
          <w:rFonts w:ascii="Arial" w:hAnsi="Arial" w:cs="Arial"/>
          <w:sz w:val="20"/>
          <w:lang w:val="en-GB"/>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090"/>
      </w:tblGrid>
      <w:tr w:rsidR="00CA7DDC" w:rsidRPr="00312DC2" w14:paraId="4ACC8441" w14:textId="77777777" w:rsidTr="006B3741">
        <w:tc>
          <w:tcPr>
            <w:tcW w:w="3510" w:type="dxa"/>
          </w:tcPr>
          <w:p w14:paraId="581A7DDD" w14:textId="4F14CD11" w:rsidR="00CA7DDC" w:rsidRPr="00312DC2" w:rsidRDefault="00CA7DDC" w:rsidP="00CA7DDC">
            <w:pPr>
              <w:rPr>
                <w:rFonts w:ascii="Arial" w:hAnsi="Arial" w:cs="Arial"/>
                <w:b/>
                <w:sz w:val="20"/>
                <w:lang w:val="en-GB"/>
              </w:rPr>
            </w:pPr>
            <w:r w:rsidRPr="00312DC2">
              <w:rPr>
                <w:rFonts w:ascii="Arial" w:hAnsi="Arial" w:cs="Arial"/>
                <w:b/>
                <w:sz w:val="20"/>
                <w:lang w:val="en-GB"/>
              </w:rPr>
              <w:t>Basket Amount</w:t>
            </w:r>
          </w:p>
        </w:tc>
        <w:tc>
          <w:tcPr>
            <w:tcW w:w="7090" w:type="dxa"/>
          </w:tcPr>
          <w:p w14:paraId="0B5B5B5C" w14:textId="77777777" w:rsidR="00CA7DDC" w:rsidRPr="00312DC2" w:rsidRDefault="00CA7DDC" w:rsidP="00CA7DDC">
            <w:pPr>
              <w:jc w:val="both"/>
              <w:rPr>
                <w:rFonts w:ascii="Arial" w:hAnsi="Arial" w:cs="Arial"/>
                <w:sz w:val="20"/>
                <w:lang w:val="en-GB"/>
              </w:rPr>
            </w:pPr>
          </w:p>
        </w:tc>
      </w:tr>
      <w:tr w:rsidR="00CA7DDC" w:rsidRPr="00312DC2" w14:paraId="5FA1B269" w14:textId="77777777" w:rsidTr="006B3741">
        <w:tc>
          <w:tcPr>
            <w:tcW w:w="3510" w:type="dxa"/>
          </w:tcPr>
          <w:p w14:paraId="22FA956B" w14:textId="77777777" w:rsidR="00CA7DDC" w:rsidRPr="00312DC2" w:rsidRDefault="00CA7DDC" w:rsidP="00CA7DDC">
            <w:pPr>
              <w:rPr>
                <w:rFonts w:ascii="Arial" w:hAnsi="Arial" w:cs="Arial"/>
                <w:b/>
                <w:sz w:val="20"/>
                <w:lang w:val="en-GB"/>
              </w:rPr>
            </w:pPr>
          </w:p>
        </w:tc>
        <w:tc>
          <w:tcPr>
            <w:tcW w:w="7090" w:type="dxa"/>
          </w:tcPr>
          <w:p w14:paraId="0243019E" w14:textId="77777777" w:rsidR="00CA7DDC" w:rsidRPr="00312DC2" w:rsidRDefault="00CA7DDC" w:rsidP="00CA7DDC">
            <w:pPr>
              <w:jc w:val="both"/>
              <w:rPr>
                <w:rFonts w:ascii="Arial" w:hAnsi="Arial" w:cs="Arial"/>
                <w:sz w:val="20"/>
                <w:lang w:val="en-GB"/>
              </w:rPr>
            </w:pPr>
          </w:p>
        </w:tc>
      </w:tr>
      <w:tr w:rsidR="00CA7DDC" w:rsidRPr="00C658ED" w14:paraId="1B237A40" w14:textId="77777777" w:rsidTr="006B3741">
        <w:tc>
          <w:tcPr>
            <w:tcW w:w="3510" w:type="dxa"/>
          </w:tcPr>
          <w:p w14:paraId="59463FD6" w14:textId="4084B14E" w:rsidR="00CA7DDC" w:rsidRPr="00312DC2" w:rsidRDefault="00DF7EC8" w:rsidP="00CA7DDC">
            <w:pPr>
              <w:rPr>
                <w:rFonts w:ascii="Arial" w:hAnsi="Arial" w:cs="Arial"/>
                <w:b/>
                <w:sz w:val="20"/>
                <w:lang w:val="en-GB"/>
              </w:rPr>
            </w:pPr>
            <w:r w:rsidRPr="00312DC2">
              <w:rPr>
                <w:rFonts w:ascii="Arial" w:hAnsi="Arial" w:cs="Arial"/>
                <w:b/>
                <w:sz w:val="20"/>
                <w:lang w:val="en-GB"/>
              </w:rPr>
              <w:t>Basket</w:t>
            </w:r>
            <w:r w:rsidR="00CA7DDC" w:rsidRPr="00312DC2">
              <w:rPr>
                <w:rFonts w:ascii="Arial" w:hAnsi="Arial" w:cs="Arial"/>
                <w:b/>
                <w:sz w:val="20"/>
                <w:lang w:val="en-GB"/>
              </w:rPr>
              <w:t>:</w:t>
            </w:r>
          </w:p>
        </w:tc>
        <w:tc>
          <w:tcPr>
            <w:tcW w:w="7090" w:type="dxa"/>
          </w:tcPr>
          <w:p w14:paraId="770BCF7A" w14:textId="03A339D6" w:rsidR="00CA7DDC" w:rsidRPr="00312DC2" w:rsidRDefault="00DF7EC8" w:rsidP="00CA7DDC">
            <w:pPr>
              <w:jc w:val="both"/>
              <w:rPr>
                <w:rFonts w:ascii="Arial" w:hAnsi="Arial" w:cs="Arial"/>
                <w:sz w:val="20"/>
                <w:highlight w:val="yellow"/>
                <w:lang w:val="en-GB"/>
              </w:rPr>
            </w:pPr>
            <w:r w:rsidRPr="00312DC2">
              <w:rPr>
                <w:rFonts w:ascii="Arial" w:hAnsi="Arial" w:cs="Arial"/>
                <w:sz w:val="20"/>
                <w:lang w:val="en-GB"/>
              </w:rPr>
              <w:t xml:space="preserve">Means a basket composed of the Basket Assets specified in Annex 1 hereto </w:t>
            </w:r>
          </w:p>
        </w:tc>
      </w:tr>
      <w:tr w:rsidR="00CA7DDC" w:rsidRPr="00C658ED" w14:paraId="524CD58D" w14:textId="77777777" w:rsidTr="006B3741">
        <w:tc>
          <w:tcPr>
            <w:tcW w:w="3510" w:type="dxa"/>
          </w:tcPr>
          <w:p w14:paraId="3B15B7B3" w14:textId="77777777" w:rsidR="00CA7DDC" w:rsidRPr="00312DC2" w:rsidRDefault="00CA7DDC" w:rsidP="00CA7DDC">
            <w:pPr>
              <w:rPr>
                <w:rFonts w:ascii="Arial" w:hAnsi="Arial" w:cs="Arial"/>
                <w:b/>
                <w:sz w:val="20"/>
                <w:lang w:val="en-GB"/>
              </w:rPr>
            </w:pPr>
          </w:p>
        </w:tc>
        <w:tc>
          <w:tcPr>
            <w:tcW w:w="7090" w:type="dxa"/>
          </w:tcPr>
          <w:p w14:paraId="4B352EAF" w14:textId="77777777" w:rsidR="00CA7DDC" w:rsidRPr="00312DC2" w:rsidRDefault="00CA7DDC" w:rsidP="00CA7DDC">
            <w:pPr>
              <w:jc w:val="both"/>
              <w:rPr>
                <w:rFonts w:ascii="Arial" w:hAnsi="Arial" w:cs="Arial"/>
                <w:sz w:val="20"/>
                <w:lang w:val="en-GB"/>
              </w:rPr>
            </w:pPr>
          </w:p>
        </w:tc>
      </w:tr>
      <w:tr w:rsidR="00CA7DDC" w:rsidRPr="00312DC2" w14:paraId="7FB0BB84" w14:textId="77777777" w:rsidTr="006B3741">
        <w:tc>
          <w:tcPr>
            <w:tcW w:w="3510" w:type="dxa"/>
          </w:tcPr>
          <w:p w14:paraId="68A9643A" w14:textId="059144BD" w:rsidR="00CA7DDC" w:rsidRPr="00312DC2" w:rsidRDefault="00312DC2" w:rsidP="00CA7DDC">
            <w:pPr>
              <w:rPr>
                <w:rFonts w:ascii="Arial" w:hAnsi="Arial" w:cs="Arial"/>
                <w:b/>
                <w:sz w:val="20"/>
                <w:lang w:val="en-GB"/>
              </w:rPr>
            </w:pPr>
            <w:r w:rsidRPr="00312DC2">
              <w:rPr>
                <w:rFonts w:ascii="Arial" w:hAnsi="Arial" w:cs="Arial"/>
                <w:b/>
                <w:sz w:val="20"/>
                <w:lang w:val="en-GB"/>
              </w:rPr>
              <w:t>Basket Amount Payer</w:t>
            </w:r>
            <w:r w:rsidR="00CA7DDC" w:rsidRPr="00312DC2">
              <w:rPr>
                <w:rFonts w:ascii="Arial" w:hAnsi="Arial" w:cs="Arial"/>
                <w:b/>
                <w:sz w:val="20"/>
                <w:lang w:val="en-GB"/>
              </w:rPr>
              <w:t>:</w:t>
            </w:r>
          </w:p>
        </w:tc>
        <w:tc>
          <w:tcPr>
            <w:tcW w:w="7090" w:type="dxa"/>
          </w:tcPr>
          <w:p w14:paraId="4576F563" w14:textId="684277DA" w:rsidR="00CA7DDC" w:rsidRPr="00312DC2" w:rsidRDefault="00312DC2" w:rsidP="00CA7DDC">
            <w:pPr>
              <w:jc w:val="both"/>
              <w:rPr>
                <w:rFonts w:ascii="Arial" w:hAnsi="Arial" w:cs="Arial"/>
                <w:sz w:val="20"/>
                <w:lang w:val="en-GB"/>
              </w:rPr>
            </w:pPr>
            <w:r w:rsidRPr="00312DC2">
              <w:rPr>
                <w:rFonts w:ascii="Arial" w:hAnsi="Arial" w:cs="Arial"/>
                <w:sz w:val="20"/>
                <w:lang w:val="en-GB"/>
              </w:rPr>
              <w:t>Party B</w:t>
            </w:r>
          </w:p>
        </w:tc>
      </w:tr>
      <w:tr w:rsidR="00CA7DDC" w:rsidRPr="00312DC2" w14:paraId="182F4C7E" w14:textId="77777777" w:rsidTr="006B3741">
        <w:tc>
          <w:tcPr>
            <w:tcW w:w="3510" w:type="dxa"/>
          </w:tcPr>
          <w:p w14:paraId="3A16AE04" w14:textId="77777777" w:rsidR="00CA7DDC" w:rsidRPr="00312DC2" w:rsidRDefault="00CA7DDC" w:rsidP="00CA7DDC">
            <w:pPr>
              <w:rPr>
                <w:rFonts w:ascii="Arial" w:hAnsi="Arial" w:cs="Arial"/>
                <w:b/>
                <w:sz w:val="20"/>
                <w:lang w:val="en-GB"/>
              </w:rPr>
            </w:pPr>
          </w:p>
        </w:tc>
        <w:tc>
          <w:tcPr>
            <w:tcW w:w="7090" w:type="dxa"/>
          </w:tcPr>
          <w:p w14:paraId="131E9B0F" w14:textId="77777777" w:rsidR="00CA7DDC" w:rsidRPr="00312DC2" w:rsidRDefault="00CA7DDC" w:rsidP="00CA7DDC">
            <w:pPr>
              <w:jc w:val="both"/>
              <w:rPr>
                <w:rFonts w:ascii="Arial" w:hAnsi="Arial" w:cs="Arial"/>
                <w:sz w:val="20"/>
                <w:lang w:val="en-GB"/>
              </w:rPr>
            </w:pPr>
          </w:p>
        </w:tc>
      </w:tr>
      <w:tr w:rsidR="00CA7DDC" w:rsidRPr="00312DC2" w14:paraId="7DF9D9D1" w14:textId="77777777" w:rsidTr="006B3741">
        <w:tc>
          <w:tcPr>
            <w:tcW w:w="3510" w:type="dxa"/>
          </w:tcPr>
          <w:p w14:paraId="69964088" w14:textId="25C29904" w:rsidR="00CA7DDC" w:rsidRPr="00312DC2" w:rsidRDefault="00312DC2" w:rsidP="00CA7DDC">
            <w:pPr>
              <w:rPr>
                <w:rFonts w:ascii="Arial" w:hAnsi="Arial" w:cs="Arial"/>
                <w:b/>
                <w:sz w:val="20"/>
                <w:lang w:val="en-GB"/>
              </w:rPr>
            </w:pPr>
            <w:r w:rsidRPr="00312DC2">
              <w:rPr>
                <w:rFonts w:ascii="Arial" w:hAnsi="Arial" w:cs="Arial"/>
                <w:b/>
                <w:sz w:val="20"/>
                <w:lang w:val="en-GB"/>
              </w:rPr>
              <w:t>Basket Amount Receiver</w:t>
            </w:r>
            <w:r w:rsidR="00CA7DDC" w:rsidRPr="00312DC2">
              <w:rPr>
                <w:rFonts w:ascii="Arial" w:hAnsi="Arial" w:cs="Arial"/>
                <w:b/>
                <w:sz w:val="20"/>
                <w:lang w:val="en-GB"/>
              </w:rPr>
              <w:t>:</w:t>
            </w:r>
          </w:p>
        </w:tc>
        <w:tc>
          <w:tcPr>
            <w:tcW w:w="7090" w:type="dxa"/>
          </w:tcPr>
          <w:p w14:paraId="44369B8A" w14:textId="618A87EE" w:rsidR="00CA7DDC" w:rsidRPr="00312DC2" w:rsidRDefault="00312DC2" w:rsidP="00CA7DDC">
            <w:pPr>
              <w:jc w:val="both"/>
              <w:rPr>
                <w:rFonts w:ascii="Arial" w:hAnsi="Arial" w:cs="Arial"/>
                <w:sz w:val="20"/>
                <w:lang w:val="en-GB"/>
              </w:rPr>
            </w:pPr>
            <w:r w:rsidRPr="00312DC2">
              <w:rPr>
                <w:rFonts w:ascii="Arial" w:hAnsi="Arial" w:cs="Arial"/>
                <w:sz w:val="20"/>
                <w:lang w:val="en-GB"/>
              </w:rPr>
              <w:t>Party A</w:t>
            </w:r>
          </w:p>
        </w:tc>
      </w:tr>
      <w:tr w:rsidR="00CA7DDC" w:rsidRPr="00312DC2" w14:paraId="548FDE3E" w14:textId="77777777" w:rsidTr="006B3741">
        <w:tc>
          <w:tcPr>
            <w:tcW w:w="3510" w:type="dxa"/>
          </w:tcPr>
          <w:p w14:paraId="75261B36" w14:textId="77777777" w:rsidR="00CA7DDC" w:rsidRPr="00312DC2" w:rsidRDefault="00CA7DDC" w:rsidP="00CA7DDC">
            <w:pPr>
              <w:rPr>
                <w:rFonts w:ascii="Arial" w:hAnsi="Arial" w:cs="Arial"/>
                <w:sz w:val="20"/>
                <w:lang w:val="en-GB"/>
              </w:rPr>
            </w:pPr>
          </w:p>
        </w:tc>
        <w:tc>
          <w:tcPr>
            <w:tcW w:w="7090" w:type="dxa"/>
          </w:tcPr>
          <w:p w14:paraId="51EEE339" w14:textId="77777777" w:rsidR="00CA7DDC" w:rsidRPr="00312DC2" w:rsidRDefault="00CA7DDC" w:rsidP="00CA7DDC">
            <w:pPr>
              <w:jc w:val="both"/>
              <w:rPr>
                <w:rFonts w:ascii="Arial" w:hAnsi="Arial" w:cs="Arial"/>
                <w:sz w:val="20"/>
                <w:lang w:val="en-GB"/>
              </w:rPr>
            </w:pPr>
          </w:p>
        </w:tc>
      </w:tr>
      <w:tr w:rsidR="00CA7DDC" w:rsidRPr="00C658ED" w14:paraId="5BA12CA2" w14:textId="77777777" w:rsidTr="006B3741">
        <w:tc>
          <w:tcPr>
            <w:tcW w:w="3510" w:type="dxa"/>
          </w:tcPr>
          <w:p w14:paraId="2E4DD6E0" w14:textId="47C74037" w:rsidR="00CA7DDC" w:rsidRPr="00485022" w:rsidRDefault="00312DC2" w:rsidP="00CA7DDC">
            <w:pPr>
              <w:rPr>
                <w:rFonts w:ascii="Arial" w:hAnsi="Arial" w:cs="Arial"/>
                <w:b/>
                <w:sz w:val="20"/>
                <w:lang w:val="en-GB"/>
              </w:rPr>
            </w:pPr>
            <w:r w:rsidRPr="00485022">
              <w:rPr>
                <w:rFonts w:ascii="Arial" w:hAnsi="Arial" w:cs="Arial"/>
                <w:b/>
                <w:sz w:val="20"/>
                <w:lang w:val="en-GB"/>
              </w:rPr>
              <w:t>Cash Settlement</w:t>
            </w:r>
            <w:r w:rsidR="00CA7DDC" w:rsidRPr="00485022">
              <w:rPr>
                <w:rFonts w:ascii="Arial" w:hAnsi="Arial" w:cs="Arial"/>
                <w:b/>
                <w:sz w:val="20"/>
                <w:lang w:val="en-GB"/>
              </w:rPr>
              <w:t>:</w:t>
            </w:r>
          </w:p>
        </w:tc>
        <w:tc>
          <w:tcPr>
            <w:tcW w:w="7090" w:type="dxa"/>
          </w:tcPr>
          <w:p w14:paraId="01D91C19" w14:textId="77777777" w:rsidR="00CA7DDC" w:rsidRDefault="00312DC2" w:rsidP="00485022">
            <w:pPr>
              <w:jc w:val="both"/>
              <w:rPr>
                <w:rFonts w:ascii="Arial" w:hAnsi="Arial" w:cs="Arial"/>
                <w:sz w:val="20"/>
                <w:lang w:val="en-GB"/>
              </w:rPr>
            </w:pPr>
            <w:r w:rsidRPr="00312DC2">
              <w:rPr>
                <w:rFonts w:ascii="Arial" w:hAnsi="Arial" w:cs="Arial"/>
                <w:sz w:val="20"/>
                <w:lang w:val="en-GB"/>
              </w:rPr>
              <w:t>In respect of the Cash Settlement Payment Date for the Basket Amount</w:t>
            </w:r>
            <w:r w:rsidR="006B3741">
              <w:rPr>
                <w:rFonts w:ascii="Arial" w:hAnsi="Arial" w:cs="Arial"/>
                <w:sz w:val="20"/>
                <w:lang w:val="en-GB"/>
              </w:rPr>
              <w:t xml:space="preserve"> Payer:</w:t>
            </w:r>
          </w:p>
          <w:p w14:paraId="10EA3731" w14:textId="5CCCCF5C" w:rsidR="00485022" w:rsidRPr="00485022" w:rsidRDefault="00485022" w:rsidP="00485022">
            <w:pPr>
              <w:jc w:val="both"/>
              <w:rPr>
                <w:rFonts w:ascii="Arial" w:hAnsi="Arial" w:cs="Arial"/>
                <w:sz w:val="20"/>
                <w:lang w:val="en-GB"/>
              </w:rPr>
            </w:pPr>
            <w:r w:rsidRPr="00485022">
              <w:rPr>
                <w:rFonts w:ascii="Arial" w:hAnsi="Arial" w:cs="Arial"/>
                <w:sz w:val="20"/>
                <w:lang w:val="en-GB"/>
              </w:rPr>
              <w:t>(</w:t>
            </w:r>
            <w:proofErr w:type="spellStart"/>
            <w:r w:rsidRPr="00485022">
              <w:rPr>
                <w:rFonts w:ascii="Arial" w:hAnsi="Arial" w:cs="Arial"/>
                <w:sz w:val="20"/>
                <w:lang w:val="en-GB"/>
              </w:rPr>
              <w:t>i</w:t>
            </w:r>
            <w:proofErr w:type="spellEnd"/>
            <w:r>
              <w:rPr>
                <w:rFonts w:ascii="Arial" w:hAnsi="Arial" w:cs="Arial"/>
                <w:sz w:val="20"/>
                <w:lang w:val="en-GB"/>
              </w:rPr>
              <w:t xml:space="preserve">) </w:t>
            </w:r>
            <w:r w:rsidR="00976FA6" w:rsidRPr="00485022">
              <w:rPr>
                <w:rFonts w:ascii="Arial" w:hAnsi="Arial" w:cs="Arial"/>
                <w:sz w:val="20"/>
                <w:lang w:val="en-GB"/>
              </w:rPr>
              <w:t xml:space="preserve">if the Basket Amount is a positive number, then the Basket Amount Payer will pay to the Basket Amount Receiver the Basket Amount on the Cash </w:t>
            </w:r>
            <w:r w:rsidRPr="00485022">
              <w:rPr>
                <w:rFonts w:ascii="Arial" w:hAnsi="Arial" w:cs="Arial"/>
                <w:sz w:val="20"/>
                <w:lang w:val="en-GB"/>
              </w:rPr>
              <w:t>Settlement Payment Date; and</w:t>
            </w:r>
          </w:p>
          <w:p w14:paraId="7B392DDB" w14:textId="60EC2B56" w:rsidR="00485022" w:rsidRPr="00485022" w:rsidRDefault="00485022" w:rsidP="00485022">
            <w:pPr>
              <w:jc w:val="both"/>
              <w:rPr>
                <w:rFonts w:ascii="Arial" w:hAnsi="Arial" w:cs="Arial"/>
                <w:sz w:val="20"/>
                <w:lang w:val="en-GB"/>
              </w:rPr>
            </w:pPr>
            <w:r w:rsidRPr="00485022">
              <w:rPr>
                <w:rFonts w:ascii="Arial" w:hAnsi="Arial" w:cs="Arial"/>
                <w:sz w:val="20"/>
                <w:lang w:val="en-GB"/>
              </w:rPr>
              <w:t>(ii)</w:t>
            </w:r>
            <w:r>
              <w:rPr>
                <w:rFonts w:ascii="Arial" w:hAnsi="Arial" w:cs="Arial"/>
                <w:sz w:val="20"/>
                <w:lang w:val="en-GB"/>
              </w:rPr>
              <w:t xml:space="preserve"> if the Basket Amount is a negative number, then the Basket Amount Receiver will pay to the Amount Payer the absolute value of the Basket Amount on the Cash Settlement payment Date. </w:t>
            </w:r>
          </w:p>
        </w:tc>
      </w:tr>
      <w:tr w:rsidR="00CA7DDC" w:rsidRPr="00C658ED" w14:paraId="3EE83E7A" w14:textId="77777777" w:rsidTr="006B3741">
        <w:tc>
          <w:tcPr>
            <w:tcW w:w="3510" w:type="dxa"/>
          </w:tcPr>
          <w:p w14:paraId="513A2947" w14:textId="7E7F01CE" w:rsidR="00CA7DDC" w:rsidRPr="00312DC2" w:rsidRDefault="00CA7DDC" w:rsidP="00CA7DDC">
            <w:pPr>
              <w:rPr>
                <w:rFonts w:ascii="Arial" w:hAnsi="Arial" w:cs="Arial"/>
                <w:b/>
                <w:sz w:val="20"/>
                <w:lang w:val="en-GB"/>
              </w:rPr>
            </w:pPr>
          </w:p>
        </w:tc>
        <w:tc>
          <w:tcPr>
            <w:tcW w:w="7090" w:type="dxa"/>
          </w:tcPr>
          <w:p w14:paraId="3F4E6E3F" w14:textId="77777777" w:rsidR="00CA7DDC" w:rsidRPr="00312DC2" w:rsidRDefault="00CA7DDC" w:rsidP="00485022">
            <w:pPr>
              <w:jc w:val="both"/>
              <w:rPr>
                <w:rFonts w:ascii="Arial" w:hAnsi="Arial" w:cs="Arial"/>
                <w:sz w:val="20"/>
                <w:lang w:val="en-GB"/>
              </w:rPr>
            </w:pPr>
          </w:p>
        </w:tc>
      </w:tr>
      <w:tr w:rsidR="00CA7DDC" w:rsidRPr="00312DC2" w14:paraId="31A4693A" w14:textId="77777777" w:rsidTr="006B3741">
        <w:tc>
          <w:tcPr>
            <w:tcW w:w="3510" w:type="dxa"/>
          </w:tcPr>
          <w:p w14:paraId="6EB1B51F" w14:textId="51704E9C" w:rsidR="00CA7DDC" w:rsidRPr="00485022" w:rsidRDefault="00485022" w:rsidP="00CA7DDC">
            <w:pPr>
              <w:rPr>
                <w:rFonts w:ascii="Arial" w:hAnsi="Arial" w:cs="Arial"/>
                <w:b/>
                <w:sz w:val="20"/>
                <w:lang w:val="en-GB"/>
              </w:rPr>
            </w:pPr>
            <w:r w:rsidRPr="00485022">
              <w:rPr>
                <w:rFonts w:ascii="Arial" w:hAnsi="Arial" w:cs="Arial"/>
                <w:b/>
                <w:sz w:val="20"/>
                <w:lang w:val="en-GB"/>
              </w:rPr>
              <w:t>Cash Settlement payment Date:</w:t>
            </w:r>
          </w:p>
        </w:tc>
        <w:tc>
          <w:tcPr>
            <w:tcW w:w="7090" w:type="dxa"/>
          </w:tcPr>
          <w:p w14:paraId="327E4832" w14:textId="5C8488DE" w:rsidR="00CA7DDC" w:rsidRPr="00312DC2" w:rsidRDefault="00485022" w:rsidP="00CA7DDC">
            <w:pPr>
              <w:jc w:val="both"/>
              <w:rPr>
                <w:rFonts w:ascii="Arial" w:hAnsi="Arial" w:cs="Arial"/>
                <w:sz w:val="20"/>
                <w:lang w:val="en-GB"/>
              </w:rPr>
            </w:pPr>
            <w:r>
              <w:rPr>
                <w:rFonts w:ascii="Arial" w:hAnsi="Arial" w:cs="Arial"/>
                <w:sz w:val="20"/>
                <w:lang w:val="en-GB"/>
              </w:rPr>
              <w:t>Termination Date</w:t>
            </w:r>
          </w:p>
        </w:tc>
      </w:tr>
      <w:tr w:rsidR="00CA7DDC" w:rsidRPr="00312DC2" w14:paraId="749845FA" w14:textId="77777777" w:rsidTr="006B3741">
        <w:tc>
          <w:tcPr>
            <w:tcW w:w="3510" w:type="dxa"/>
          </w:tcPr>
          <w:p w14:paraId="0B659F5B" w14:textId="77777777" w:rsidR="00CA7DDC" w:rsidRPr="00485022" w:rsidRDefault="00CA7DDC" w:rsidP="00CA7DDC">
            <w:pPr>
              <w:rPr>
                <w:rFonts w:ascii="Arial" w:hAnsi="Arial" w:cs="Arial"/>
                <w:b/>
                <w:sz w:val="20"/>
                <w:lang w:val="en-GB"/>
              </w:rPr>
            </w:pPr>
          </w:p>
        </w:tc>
        <w:tc>
          <w:tcPr>
            <w:tcW w:w="7090" w:type="dxa"/>
          </w:tcPr>
          <w:p w14:paraId="549F0BE5" w14:textId="77777777" w:rsidR="00CA7DDC" w:rsidRPr="00312DC2" w:rsidRDefault="00CA7DDC" w:rsidP="00CA7DDC">
            <w:pPr>
              <w:jc w:val="both"/>
              <w:rPr>
                <w:rFonts w:ascii="Arial" w:hAnsi="Arial" w:cs="Arial"/>
                <w:sz w:val="20"/>
                <w:lang w:val="en-GB"/>
              </w:rPr>
            </w:pPr>
          </w:p>
        </w:tc>
      </w:tr>
      <w:tr w:rsidR="00CA7DDC" w:rsidRPr="00312DC2" w14:paraId="50C80942" w14:textId="77777777" w:rsidTr="006B3741">
        <w:tc>
          <w:tcPr>
            <w:tcW w:w="3510" w:type="dxa"/>
          </w:tcPr>
          <w:p w14:paraId="10C17658" w14:textId="494989E2" w:rsidR="00CA7DDC" w:rsidRPr="00312DC2" w:rsidRDefault="00485022" w:rsidP="00CA7DDC">
            <w:pPr>
              <w:rPr>
                <w:rFonts w:ascii="Arial" w:hAnsi="Arial" w:cs="Arial"/>
                <w:b/>
                <w:sz w:val="20"/>
                <w:lang w:val="en-GB"/>
              </w:rPr>
            </w:pPr>
            <w:r>
              <w:rPr>
                <w:rFonts w:ascii="Arial" w:hAnsi="Arial" w:cs="Arial"/>
                <w:b/>
                <w:sz w:val="20"/>
                <w:lang w:val="en-GB"/>
              </w:rPr>
              <w:t>Settlement Currency</w:t>
            </w:r>
            <w:r w:rsidR="00CA7DDC" w:rsidRPr="00312DC2">
              <w:rPr>
                <w:rFonts w:ascii="Arial" w:hAnsi="Arial" w:cs="Arial"/>
                <w:b/>
                <w:sz w:val="20"/>
                <w:lang w:val="en-GB"/>
              </w:rPr>
              <w:t>:</w:t>
            </w:r>
          </w:p>
        </w:tc>
        <w:tc>
          <w:tcPr>
            <w:tcW w:w="7090" w:type="dxa"/>
          </w:tcPr>
          <w:p w14:paraId="68E5BE72" w14:textId="747D2F02" w:rsidR="00CA7DDC" w:rsidRPr="00312DC2" w:rsidRDefault="00485022" w:rsidP="00CA7DDC">
            <w:pPr>
              <w:jc w:val="both"/>
              <w:rPr>
                <w:rFonts w:ascii="Arial" w:hAnsi="Arial" w:cs="Arial"/>
                <w:sz w:val="20"/>
                <w:lang w:val="en-GB"/>
              </w:rPr>
            </w:pPr>
            <w:r>
              <w:rPr>
                <w:rFonts w:ascii="Arial" w:hAnsi="Arial" w:cs="Arial"/>
                <w:sz w:val="20"/>
                <w:lang w:val="en-GB"/>
              </w:rPr>
              <w:t>EUR</w:t>
            </w:r>
          </w:p>
        </w:tc>
      </w:tr>
      <w:tr w:rsidR="00CA7DDC" w:rsidRPr="00312DC2" w14:paraId="42DA7402" w14:textId="77777777" w:rsidTr="006B3741">
        <w:tc>
          <w:tcPr>
            <w:tcW w:w="3510" w:type="dxa"/>
          </w:tcPr>
          <w:p w14:paraId="25180DC2" w14:textId="77777777" w:rsidR="00CA7DDC" w:rsidRPr="00312DC2" w:rsidRDefault="00CA7DDC" w:rsidP="00CA7DDC">
            <w:pPr>
              <w:rPr>
                <w:rFonts w:ascii="Arial" w:hAnsi="Arial" w:cs="Arial"/>
                <w:b/>
                <w:sz w:val="20"/>
                <w:lang w:val="en-GB"/>
              </w:rPr>
            </w:pPr>
          </w:p>
        </w:tc>
        <w:tc>
          <w:tcPr>
            <w:tcW w:w="7090" w:type="dxa"/>
          </w:tcPr>
          <w:p w14:paraId="26D48AB8" w14:textId="77777777" w:rsidR="00CA7DDC" w:rsidRPr="00312DC2" w:rsidRDefault="00CA7DDC" w:rsidP="00CA7DDC">
            <w:pPr>
              <w:jc w:val="both"/>
              <w:rPr>
                <w:rFonts w:ascii="Arial" w:hAnsi="Arial" w:cs="Arial"/>
                <w:sz w:val="20"/>
                <w:lang w:val="en-GB"/>
              </w:rPr>
            </w:pPr>
          </w:p>
        </w:tc>
      </w:tr>
      <w:tr w:rsidR="00CA7DDC" w:rsidRPr="00C658ED" w14:paraId="1C0834D6" w14:textId="77777777" w:rsidTr="006B3741">
        <w:tc>
          <w:tcPr>
            <w:tcW w:w="3510" w:type="dxa"/>
          </w:tcPr>
          <w:p w14:paraId="51A14F49" w14:textId="57FA0548" w:rsidR="00CA7DDC" w:rsidRPr="00312DC2" w:rsidRDefault="00485022" w:rsidP="00CA7DDC">
            <w:pPr>
              <w:rPr>
                <w:rFonts w:ascii="Arial" w:hAnsi="Arial" w:cs="Arial"/>
                <w:b/>
                <w:sz w:val="20"/>
                <w:lang w:val="en-GB"/>
              </w:rPr>
            </w:pPr>
            <w:r>
              <w:rPr>
                <w:rFonts w:ascii="Arial" w:hAnsi="Arial" w:cs="Arial"/>
                <w:b/>
                <w:sz w:val="20"/>
                <w:lang w:val="en-GB"/>
              </w:rPr>
              <w:t>Currency Business Day</w:t>
            </w:r>
            <w:r w:rsidR="00CA7DDC" w:rsidRPr="00312DC2">
              <w:rPr>
                <w:rFonts w:ascii="Arial" w:hAnsi="Arial" w:cs="Arial"/>
                <w:b/>
                <w:sz w:val="20"/>
                <w:lang w:val="en-GB"/>
              </w:rPr>
              <w:t>:</w:t>
            </w:r>
          </w:p>
        </w:tc>
        <w:tc>
          <w:tcPr>
            <w:tcW w:w="7090" w:type="dxa"/>
          </w:tcPr>
          <w:p w14:paraId="346B8633" w14:textId="170C119D" w:rsidR="00AB6095" w:rsidRPr="00312DC2" w:rsidRDefault="00485022" w:rsidP="00CA7DDC">
            <w:pPr>
              <w:jc w:val="both"/>
              <w:rPr>
                <w:rFonts w:ascii="Arial" w:hAnsi="Arial" w:cs="Arial"/>
                <w:sz w:val="20"/>
                <w:lang w:val="en-GB"/>
              </w:rPr>
            </w:pPr>
            <w:r>
              <w:rPr>
                <w:rFonts w:ascii="Arial" w:hAnsi="Arial" w:cs="Arial"/>
                <w:sz w:val="20"/>
                <w:lang w:val="en-GB"/>
              </w:rPr>
              <w:t xml:space="preserve">Means any day on which commercial banks </w:t>
            </w:r>
            <w:r w:rsidR="00AB6095">
              <w:rPr>
                <w:rFonts w:ascii="Arial" w:hAnsi="Arial" w:cs="Arial"/>
                <w:sz w:val="20"/>
                <w:lang w:val="en-GB"/>
              </w:rPr>
              <w:t xml:space="preserve">are open for business (including dealings on foreign exchange and foreign currency deposits) in the principal financial </w:t>
            </w:r>
            <w:proofErr w:type="spellStart"/>
            <w:r w:rsidR="00AB6095">
              <w:rPr>
                <w:rFonts w:ascii="Arial" w:hAnsi="Arial" w:cs="Arial"/>
                <w:sz w:val="20"/>
                <w:lang w:val="en-GB"/>
              </w:rPr>
              <w:t>center</w:t>
            </w:r>
            <w:proofErr w:type="spellEnd"/>
            <w:r w:rsidR="00AB6095">
              <w:rPr>
                <w:rFonts w:ascii="Arial" w:hAnsi="Arial" w:cs="Arial"/>
                <w:sz w:val="20"/>
                <w:lang w:val="en-GB"/>
              </w:rPr>
              <w:t xml:space="preserve"> for the relevant currency. Any day on which the Trans-European Automated Real-Time Gross settlement Express Transfer  (TARGET) system is open shall be a Currency Business Day.</w:t>
            </w:r>
          </w:p>
        </w:tc>
      </w:tr>
      <w:tr w:rsidR="00CA7DDC" w:rsidRPr="00C658ED" w14:paraId="3328F05A" w14:textId="77777777" w:rsidTr="006B3741">
        <w:tc>
          <w:tcPr>
            <w:tcW w:w="3510" w:type="dxa"/>
          </w:tcPr>
          <w:p w14:paraId="01DFB536" w14:textId="5D4ABB9B" w:rsidR="00CA7DDC" w:rsidRPr="00312DC2" w:rsidRDefault="00CA7DDC" w:rsidP="00CA7DDC">
            <w:pPr>
              <w:rPr>
                <w:rFonts w:ascii="Arial" w:hAnsi="Arial" w:cs="Arial"/>
                <w:b/>
                <w:sz w:val="20"/>
                <w:lang w:val="en-GB"/>
              </w:rPr>
            </w:pPr>
          </w:p>
        </w:tc>
        <w:tc>
          <w:tcPr>
            <w:tcW w:w="7090" w:type="dxa"/>
          </w:tcPr>
          <w:p w14:paraId="7E378652" w14:textId="77777777" w:rsidR="00CA7DDC" w:rsidRPr="00312DC2" w:rsidRDefault="00CA7DDC" w:rsidP="00CA7DDC">
            <w:pPr>
              <w:jc w:val="both"/>
              <w:rPr>
                <w:rFonts w:ascii="Arial" w:hAnsi="Arial" w:cs="Arial"/>
                <w:sz w:val="20"/>
                <w:lang w:val="en-GB"/>
              </w:rPr>
            </w:pPr>
          </w:p>
        </w:tc>
      </w:tr>
      <w:tr w:rsidR="00CA7DDC" w:rsidRPr="00C658ED" w14:paraId="141B8B51" w14:textId="77777777" w:rsidTr="006B3741">
        <w:tc>
          <w:tcPr>
            <w:tcW w:w="3510" w:type="dxa"/>
          </w:tcPr>
          <w:p w14:paraId="44998124" w14:textId="0705E89D" w:rsidR="00CA7DDC" w:rsidRPr="00312DC2" w:rsidRDefault="00AB6095" w:rsidP="00CA7DDC">
            <w:pPr>
              <w:rPr>
                <w:rFonts w:ascii="Arial" w:hAnsi="Arial" w:cs="Arial"/>
                <w:b/>
                <w:sz w:val="20"/>
                <w:lang w:val="en-GB"/>
              </w:rPr>
            </w:pPr>
            <w:r>
              <w:rPr>
                <w:rFonts w:ascii="Arial" w:hAnsi="Arial" w:cs="Arial"/>
                <w:b/>
                <w:sz w:val="20"/>
                <w:lang w:val="en-GB"/>
              </w:rPr>
              <w:t>Payment of Income:</w:t>
            </w:r>
          </w:p>
        </w:tc>
        <w:tc>
          <w:tcPr>
            <w:tcW w:w="7090" w:type="dxa"/>
          </w:tcPr>
          <w:p w14:paraId="4FFC10C1" w14:textId="159BBF4A" w:rsidR="00CA7DDC" w:rsidRPr="00312DC2" w:rsidRDefault="00AB6095" w:rsidP="00CA7DDC">
            <w:pPr>
              <w:jc w:val="both"/>
              <w:rPr>
                <w:rFonts w:ascii="Arial" w:hAnsi="Arial" w:cs="Arial"/>
                <w:sz w:val="20"/>
                <w:lang w:val="en-GB"/>
              </w:rPr>
            </w:pPr>
            <w:r>
              <w:rPr>
                <w:rFonts w:ascii="Arial" w:hAnsi="Arial" w:cs="Arial"/>
                <w:sz w:val="20"/>
                <w:lang w:val="en-GB"/>
              </w:rPr>
              <w:t>Party B shall pay to Party A on each Income payment Date an amount (</w:t>
            </w:r>
            <w:proofErr w:type="spellStart"/>
            <w:r>
              <w:rPr>
                <w:rFonts w:ascii="Arial" w:hAnsi="Arial" w:cs="Arial"/>
                <w:sz w:val="20"/>
                <w:lang w:val="en-GB"/>
              </w:rPr>
              <w:t>i</w:t>
            </w:r>
            <w:proofErr w:type="spellEnd"/>
            <w:r>
              <w:rPr>
                <w:rFonts w:ascii="Arial" w:hAnsi="Arial" w:cs="Arial"/>
                <w:sz w:val="20"/>
                <w:lang w:val="en-GB"/>
              </w:rPr>
              <w:t xml:space="preserve">) equal to (and in the same currency as) the type and 100% of </w:t>
            </w:r>
            <w:r w:rsidR="00B663F0">
              <w:rPr>
                <w:rFonts w:ascii="Arial" w:hAnsi="Arial" w:cs="Arial"/>
                <w:sz w:val="20"/>
                <w:lang w:val="en-GB"/>
              </w:rPr>
              <w:t>the amount of the Income (as defined in the Securities Loan Transaction with reference FUND1B concluded between Party A and Party B on or about the Trade Date (the “</w:t>
            </w:r>
            <w:r w:rsidR="00B663F0" w:rsidRPr="00B663F0">
              <w:rPr>
                <w:rFonts w:ascii="Arial" w:hAnsi="Arial" w:cs="Arial"/>
                <w:b/>
                <w:sz w:val="20"/>
                <w:lang w:val="en-GB"/>
              </w:rPr>
              <w:t>Related Loan Transaction</w:t>
            </w:r>
            <w:r w:rsidR="00B663F0">
              <w:rPr>
                <w:rFonts w:ascii="Arial" w:hAnsi="Arial" w:cs="Arial"/>
                <w:sz w:val="20"/>
                <w:lang w:val="en-GB"/>
              </w:rPr>
              <w:t xml:space="preserve">”) </w:t>
            </w:r>
            <w:r w:rsidR="000F052D">
              <w:rPr>
                <w:rFonts w:ascii="Arial" w:hAnsi="Arial" w:cs="Arial"/>
                <w:sz w:val="20"/>
                <w:lang w:val="en-GB"/>
              </w:rPr>
              <w:t xml:space="preserve">and </w:t>
            </w:r>
            <w:r w:rsidR="00B663F0">
              <w:rPr>
                <w:rFonts w:ascii="Arial" w:hAnsi="Arial" w:cs="Arial"/>
                <w:sz w:val="20"/>
                <w:lang w:val="en-GB"/>
              </w:rPr>
              <w:t xml:space="preserve">evidenced by a confirmation </w:t>
            </w:r>
            <w:r w:rsidR="000F052D">
              <w:rPr>
                <w:rFonts w:ascii="Arial" w:hAnsi="Arial" w:cs="Arial"/>
                <w:sz w:val="20"/>
                <w:lang w:val="en-GB"/>
              </w:rPr>
              <w:t>(the “</w:t>
            </w:r>
            <w:r w:rsidR="000F052D" w:rsidRPr="000F052D">
              <w:rPr>
                <w:rFonts w:ascii="Arial" w:hAnsi="Arial" w:cs="Arial"/>
                <w:b/>
                <w:sz w:val="20"/>
                <w:lang w:val="en-GB"/>
              </w:rPr>
              <w:t>Loan Transaction Confirmation</w:t>
            </w:r>
            <w:r w:rsidR="000F052D">
              <w:rPr>
                <w:rFonts w:ascii="Arial" w:hAnsi="Arial" w:cs="Arial"/>
                <w:sz w:val="20"/>
                <w:lang w:val="en-GB"/>
              </w:rPr>
              <w:t xml:space="preserve">”) that supplements, forms a part of, and is subject to the Global Master Securities Lending Agreement between Party A and Party B dated </w:t>
            </w:r>
            <w:r w:rsidR="000F052D" w:rsidRPr="000F052D">
              <w:rPr>
                <w:rFonts w:ascii="Arial" w:hAnsi="Arial" w:cs="Arial"/>
                <w:sz w:val="20"/>
                <w:highlight w:val="yellow"/>
                <w:lang w:val="en-GB"/>
              </w:rPr>
              <w:t>XXX</w:t>
            </w:r>
            <w:r w:rsidR="000F052D">
              <w:rPr>
                <w:rFonts w:ascii="Arial" w:hAnsi="Arial" w:cs="Arial"/>
                <w:sz w:val="20"/>
                <w:lang w:val="en-GB"/>
              </w:rPr>
              <w:t xml:space="preserve"> ) that will be effectively received with respect to each Basket Asset by Party B under the Related Loan Transaction (net of any withholdings that would apply after such receipt by Party B</w:t>
            </w:r>
            <w:r w:rsidR="00BA3F75">
              <w:rPr>
                <w:rFonts w:ascii="Arial" w:hAnsi="Arial" w:cs="Arial"/>
                <w:sz w:val="20"/>
                <w:lang w:val="en-GB"/>
              </w:rPr>
              <w:t xml:space="preserve"> </w:t>
            </w:r>
            <w:r w:rsidR="000F052D">
              <w:rPr>
                <w:rFonts w:ascii="Arial" w:hAnsi="Arial" w:cs="Arial"/>
                <w:sz w:val="20"/>
                <w:lang w:val="en-GB"/>
              </w:rPr>
              <w:t>as the case may be</w:t>
            </w:r>
            <w:r w:rsidR="00AE4E09">
              <w:rPr>
                <w:rFonts w:ascii="Arial" w:hAnsi="Arial" w:cs="Arial"/>
                <w:sz w:val="20"/>
                <w:lang w:val="en-GB"/>
              </w:rPr>
              <w:t xml:space="preserve">), and (ii) in the case where the relevant Asset is not included </w:t>
            </w:r>
            <w:r w:rsidR="00BA3F75">
              <w:rPr>
                <w:rFonts w:ascii="Arial" w:hAnsi="Arial" w:cs="Arial"/>
                <w:sz w:val="20"/>
                <w:lang w:val="en-GB"/>
              </w:rPr>
              <w:t xml:space="preserve">in the portfolio object of a loan transaction, 100% of the dividend or income relating to that Asset effectively received by Party B (net of any withholdings that would apply after such receipt by Party B as the case may be). </w:t>
            </w:r>
          </w:p>
        </w:tc>
      </w:tr>
      <w:tr w:rsidR="00CA7DDC" w:rsidRPr="00C658ED" w14:paraId="7BA54CA5" w14:textId="77777777" w:rsidTr="006B3741">
        <w:tc>
          <w:tcPr>
            <w:tcW w:w="3510" w:type="dxa"/>
          </w:tcPr>
          <w:p w14:paraId="7FBC55AC" w14:textId="77777777" w:rsidR="00CA7DDC" w:rsidRPr="00312DC2" w:rsidRDefault="00CA7DDC" w:rsidP="00CA7DDC">
            <w:pPr>
              <w:rPr>
                <w:rFonts w:ascii="Arial" w:hAnsi="Arial" w:cs="Arial"/>
                <w:b/>
                <w:sz w:val="20"/>
                <w:lang w:val="en-GB"/>
              </w:rPr>
            </w:pPr>
          </w:p>
        </w:tc>
        <w:tc>
          <w:tcPr>
            <w:tcW w:w="7090" w:type="dxa"/>
          </w:tcPr>
          <w:p w14:paraId="772FB0FA" w14:textId="77777777" w:rsidR="00CA7DDC" w:rsidRPr="00312DC2" w:rsidRDefault="00CA7DDC" w:rsidP="00CA7DDC">
            <w:pPr>
              <w:jc w:val="both"/>
              <w:rPr>
                <w:rFonts w:ascii="Arial" w:hAnsi="Arial" w:cs="Arial"/>
                <w:sz w:val="20"/>
                <w:lang w:val="en-GB"/>
              </w:rPr>
            </w:pPr>
          </w:p>
        </w:tc>
      </w:tr>
      <w:tr w:rsidR="00CA7DDC" w:rsidRPr="00C658ED" w14:paraId="1031F11C" w14:textId="77777777" w:rsidTr="006B3741">
        <w:tc>
          <w:tcPr>
            <w:tcW w:w="3510" w:type="dxa"/>
          </w:tcPr>
          <w:p w14:paraId="0F7A5074" w14:textId="7331641C" w:rsidR="00CA7DDC" w:rsidRPr="00312DC2" w:rsidRDefault="00BA3F75" w:rsidP="00CA7DDC">
            <w:pPr>
              <w:rPr>
                <w:rFonts w:ascii="Arial" w:hAnsi="Arial" w:cs="Arial"/>
                <w:b/>
                <w:sz w:val="20"/>
                <w:lang w:val="en-GB"/>
              </w:rPr>
            </w:pPr>
            <w:r>
              <w:rPr>
                <w:rFonts w:ascii="Arial" w:hAnsi="Arial" w:cs="Arial"/>
                <w:b/>
                <w:sz w:val="20"/>
                <w:lang w:val="en-GB"/>
              </w:rPr>
              <w:t>Income</w:t>
            </w:r>
            <w:r w:rsidR="00CA7DDC" w:rsidRPr="00312DC2">
              <w:rPr>
                <w:rFonts w:ascii="Arial" w:hAnsi="Arial" w:cs="Arial"/>
                <w:b/>
                <w:sz w:val="20"/>
                <w:lang w:val="en-GB"/>
              </w:rPr>
              <w:t xml:space="preserve"> Payment Date:</w:t>
            </w:r>
          </w:p>
        </w:tc>
        <w:tc>
          <w:tcPr>
            <w:tcW w:w="7090" w:type="dxa"/>
          </w:tcPr>
          <w:p w14:paraId="626D2504" w14:textId="069B5CBA" w:rsidR="00CA7DDC" w:rsidRPr="00312DC2" w:rsidRDefault="00BA3F75" w:rsidP="00CA7DDC">
            <w:pPr>
              <w:jc w:val="both"/>
              <w:rPr>
                <w:rFonts w:ascii="Arial" w:hAnsi="Arial" w:cs="Arial"/>
                <w:sz w:val="20"/>
                <w:lang w:val="en-GB"/>
              </w:rPr>
            </w:pPr>
            <w:r>
              <w:rPr>
                <w:rFonts w:ascii="Arial" w:hAnsi="Arial" w:cs="Arial"/>
                <w:sz w:val="20"/>
                <w:lang w:val="en-GB"/>
              </w:rPr>
              <w:t xml:space="preserve">Means each day on which the above Income </w:t>
            </w:r>
            <w:r w:rsidR="001E4C26">
              <w:rPr>
                <w:rFonts w:ascii="Arial" w:hAnsi="Arial" w:cs="Arial"/>
                <w:sz w:val="20"/>
                <w:lang w:val="en-GB"/>
              </w:rPr>
              <w:t>is effectively by Party B</w:t>
            </w:r>
          </w:p>
        </w:tc>
      </w:tr>
      <w:tr w:rsidR="001E4C26" w:rsidRPr="00C658ED" w14:paraId="3F8B0C22" w14:textId="77777777" w:rsidTr="006B3741">
        <w:tc>
          <w:tcPr>
            <w:tcW w:w="3510" w:type="dxa"/>
          </w:tcPr>
          <w:p w14:paraId="7C267D21" w14:textId="77777777" w:rsidR="001E4C26" w:rsidRDefault="001E4C26" w:rsidP="00CA7DDC">
            <w:pPr>
              <w:rPr>
                <w:rFonts w:ascii="Arial" w:hAnsi="Arial" w:cs="Arial"/>
                <w:b/>
                <w:sz w:val="20"/>
                <w:lang w:val="en-GB"/>
              </w:rPr>
            </w:pPr>
          </w:p>
        </w:tc>
        <w:tc>
          <w:tcPr>
            <w:tcW w:w="7090" w:type="dxa"/>
          </w:tcPr>
          <w:p w14:paraId="6B9B4AA2" w14:textId="77777777" w:rsidR="001E4C26" w:rsidRDefault="001E4C26" w:rsidP="00CA7DDC">
            <w:pPr>
              <w:jc w:val="both"/>
              <w:rPr>
                <w:rFonts w:ascii="Arial" w:hAnsi="Arial" w:cs="Arial"/>
                <w:sz w:val="20"/>
                <w:lang w:val="en-GB"/>
              </w:rPr>
            </w:pPr>
          </w:p>
        </w:tc>
      </w:tr>
      <w:tr w:rsidR="001E4C26" w:rsidRPr="00312DC2" w14:paraId="354B3473" w14:textId="77777777" w:rsidTr="009F2683">
        <w:tc>
          <w:tcPr>
            <w:tcW w:w="3510" w:type="dxa"/>
            <w:tcBorders>
              <w:bottom w:val="nil"/>
            </w:tcBorders>
          </w:tcPr>
          <w:p w14:paraId="3FB7747F" w14:textId="54AEA479" w:rsidR="001E4C26" w:rsidRDefault="001E4C26" w:rsidP="00CA7DDC">
            <w:pPr>
              <w:rPr>
                <w:rFonts w:ascii="Arial" w:hAnsi="Arial" w:cs="Arial"/>
                <w:b/>
                <w:sz w:val="20"/>
                <w:lang w:val="en-GB"/>
              </w:rPr>
            </w:pPr>
            <w:r>
              <w:rPr>
                <w:rFonts w:ascii="Arial" w:hAnsi="Arial" w:cs="Arial"/>
                <w:b/>
                <w:sz w:val="20"/>
                <w:lang w:val="en-GB"/>
              </w:rPr>
              <w:t>Basket Amount:</w:t>
            </w:r>
          </w:p>
        </w:tc>
        <w:tc>
          <w:tcPr>
            <w:tcW w:w="7090" w:type="dxa"/>
          </w:tcPr>
          <w:p w14:paraId="314907E7" w14:textId="77777777" w:rsidR="001E4C26" w:rsidRDefault="00BE0E35" w:rsidP="00CA7DDC">
            <w:pPr>
              <w:jc w:val="both"/>
              <w:rPr>
                <w:rFonts w:ascii="Arial" w:hAnsi="Arial" w:cs="Arial"/>
                <w:sz w:val="20"/>
                <w:lang w:val="en-GB"/>
              </w:rPr>
            </w:pPr>
            <w:r>
              <w:rPr>
                <w:rFonts w:ascii="Arial" w:hAnsi="Arial" w:cs="Arial"/>
                <w:sz w:val="20"/>
                <w:lang w:val="en-GB"/>
              </w:rPr>
              <w:t xml:space="preserve">In respect of the Cash Settlement Payment Date, an amount in EUR calculated </w:t>
            </w:r>
            <w:r w:rsidR="009F2683">
              <w:rPr>
                <w:rFonts w:ascii="Arial" w:hAnsi="Arial" w:cs="Arial"/>
                <w:sz w:val="20"/>
                <w:lang w:val="en-GB"/>
              </w:rPr>
              <w:t>by Calculation Agent equal to:</w:t>
            </w:r>
          </w:p>
          <w:p w14:paraId="13C94D01" w14:textId="11B03F06" w:rsidR="009F2683" w:rsidRPr="009F2683" w:rsidRDefault="009F2683" w:rsidP="009F2683">
            <w:pPr>
              <w:jc w:val="center"/>
              <w:rPr>
                <w:rFonts w:ascii="Arial" w:hAnsi="Arial" w:cs="Arial"/>
                <w:b/>
                <w:sz w:val="20"/>
                <w:lang w:val="en-GB"/>
              </w:rPr>
            </w:pPr>
            <w:r w:rsidRPr="009F2683">
              <w:rPr>
                <w:rFonts w:ascii="Arial" w:hAnsi="Arial" w:cs="Arial"/>
                <w:b/>
                <w:sz w:val="20"/>
                <w:lang w:val="en-GB"/>
              </w:rPr>
              <w:t>Final Price – Initial Price</w:t>
            </w:r>
          </w:p>
          <w:p w14:paraId="7BFD08E5" w14:textId="0AC232D1" w:rsidR="009F2683" w:rsidRPr="009F2683" w:rsidRDefault="009F2683" w:rsidP="00CA7DDC">
            <w:pPr>
              <w:jc w:val="both"/>
              <w:rPr>
                <w:rFonts w:ascii="Arial" w:hAnsi="Arial" w:cs="Arial"/>
                <w:b/>
                <w:sz w:val="20"/>
                <w:lang w:val="en-GB"/>
              </w:rPr>
            </w:pPr>
          </w:p>
        </w:tc>
      </w:tr>
      <w:tr w:rsidR="00CA7DDC" w:rsidRPr="00312DC2" w14:paraId="034BDBBE" w14:textId="77777777" w:rsidTr="009F2683">
        <w:tc>
          <w:tcPr>
            <w:tcW w:w="3510" w:type="dxa"/>
            <w:tcBorders>
              <w:bottom w:val="nil"/>
            </w:tcBorders>
          </w:tcPr>
          <w:p w14:paraId="66FB6CCD" w14:textId="54CB9330" w:rsidR="00CA7DDC" w:rsidRPr="00312DC2" w:rsidRDefault="0097014E" w:rsidP="00CA7DDC">
            <w:pPr>
              <w:rPr>
                <w:rFonts w:ascii="Arial" w:hAnsi="Arial" w:cs="Arial"/>
                <w:b/>
                <w:sz w:val="20"/>
                <w:lang w:val="en-GB"/>
              </w:rPr>
            </w:pPr>
            <w:r>
              <w:rPr>
                <w:rFonts w:ascii="Arial" w:hAnsi="Arial" w:cs="Arial"/>
                <w:b/>
                <w:sz w:val="20"/>
                <w:lang w:val="en-GB"/>
              </w:rPr>
              <w:t>Initial Price:</w:t>
            </w:r>
          </w:p>
        </w:tc>
        <w:tc>
          <w:tcPr>
            <w:tcW w:w="7090" w:type="dxa"/>
            <w:tcBorders>
              <w:bottom w:val="nil"/>
            </w:tcBorders>
          </w:tcPr>
          <w:p w14:paraId="57243D7D" w14:textId="7D15B580" w:rsidR="0097014E" w:rsidRDefault="00172E6B" w:rsidP="0097014E">
            <w:pPr>
              <w:jc w:val="both"/>
              <w:rPr>
                <w:rFonts w:ascii="Arial" w:hAnsi="Arial" w:cs="Arial"/>
                <w:sz w:val="20"/>
                <w:lang w:val="en-GB"/>
              </w:rPr>
            </w:pPr>
            <w:r>
              <w:rPr>
                <w:rFonts w:ascii="Arial" w:hAnsi="Arial" w:cs="Arial"/>
                <w:sz w:val="20"/>
                <w:lang w:val="en-GB"/>
              </w:rPr>
              <w:t>An amount equal to</w:t>
            </w:r>
            <w:r w:rsidR="0097014E">
              <w:rPr>
                <w:rFonts w:ascii="Arial" w:hAnsi="Arial" w:cs="Arial"/>
                <w:sz w:val="20"/>
                <w:lang w:val="en-GB"/>
              </w:rPr>
              <w:t xml:space="preserve">: </w:t>
            </w:r>
            <w:r w:rsidR="0097014E" w:rsidRPr="009F2683">
              <w:rPr>
                <w:rFonts w:ascii="Arial" w:hAnsi="Arial" w:cs="Arial"/>
                <w:sz w:val="20"/>
                <w:highlight w:val="yellow"/>
                <w:lang w:val="en-GB"/>
              </w:rPr>
              <w:t>(Notional)</w:t>
            </w:r>
            <w:r w:rsidR="0097014E">
              <w:rPr>
                <w:rFonts w:ascii="Arial" w:hAnsi="Arial" w:cs="Arial"/>
                <w:sz w:val="20"/>
                <w:lang w:val="en-GB"/>
              </w:rPr>
              <w:t xml:space="preserve"> EUR, calculated as per the following formula in respect of the Basket Assets specified in the prevailing Annex 1:</w:t>
            </w:r>
          </w:p>
          <w:p w14:paraId="5689E610" w14:textId="716DB83E" w:rsidR="00CA7DDC" w:rsidRPr="00312DC2" w:rsidRDefault="00C3331E" w:rsidP="0097014E">
            <w:pPr>
              <w:jc w:val="both"/>
              <w:rPr>
                <w:rFonts w:ascii="Arial" w:hAnsi="Arial" w:cs="Arial"/>
                <w:sz w:val="20"/>
                <w:lang w:val="en-GB"/>
              </w:rPr>
            </w:pPr>
            <m:oMathPara>
              <m:oMath>
                <m:nary>
                  <m:naryPr>
                    <m:chr m:val="∑"/>
                    <m:limLoc m:val="undOvr"/>
                    <m:subHide m:val="1"/>
                    <m:supHide m:val="1"/>
                    <m:ctrlPr>
                      <w:rPr>
                        <w:rFonts w:ascii="Cambria Math" w:hAnsi="Cambria Math" w:cs="Arial"/>
                        <w:b/>
                        <w:sz w:val="20"/>
                        <w:lang w:val="en-GB"/>
                      </w:rPr>
                    </m:ctrlPr>
                  </m:naryPr>
                  <m:sub/>
                  <m:sup/>
                  <m:e>
                    <m:r>
                      <m:rPr>
                        <m:sty m:val="b"/>
                      </m:rPr>
                      <w:rPr>
                        <w:rFonts w:ascii="Cambria Math" w:hAnsi="Cambria Math" w:cs="Arial"/>
                        <w:sz w:val="20"/>
                        <w:lang w:val="en-GB"/>
                      </w:rPr>
                      <m:t>Ni(</m:t>
                    </m:r>
                    <m:d>
                      <m:dPr>
                        <m:ctrlPr>
                          <w:rPr>
                            <w:rFonts w:ascii="Cambria Math" w:hAnsi="Cambria Math" w:cs="Arial"/>
                            <w:b/>
                            <w:sz w:val="20"/>
                            <w:lang w:val="en-GB"/>
                          </w:rPr>
                        </m:ctrlPr>
                      </m:dPr>
                      <m:e>
                        <m:r>
                          <m:rPr>
                            <m:sty m:val="b"/>
                          </m:rPr>
                          <w:rPr>
                            <w:rFonts w:ascii="Cambria Math" w:hAnsi="Cambria Math" w:cs="Arial"/>
                            <w:sz w:val="20"/>
                            <w:lang w:val="en-GB"/>
                          </w:rPr>
                          <m:t>IVD</m:t>
                        </m:r>
                      </m:e>
                    </m:d>
                    <m:r>
                      <m:rPr>
                        <m:sty m:val="b"/>
                      </m:rPr>
                      <w:rPr>
                        <w:rFonts w:ascii="Cambria Math" w:hAnsi="Cambria Math" w:cs="Arial"/>
                        <w:sz w:val="20"/>
                        <w:lang w:val="en-GB"/>
                      </w:rPr>
                      <m:t xml:space="preserve"> </m:t>
                    </m:r>
                    <m:r>
                      <m:rPr>
                        <m:sty m:val="b"/>
                      </m:rPr>
                      <w:rPr>
                        <w:rFonts w:ascii="Cambria Math" w:hAnsi="Cambria Math" w:cs="Arial"/>
                        <w:sz w:val="20"/>
                        <w:lang w:val="en-GB"/>
                      </w:rPr>
                      <m:t>x</m:t>
                    </m:r>
                    <m:r>
                      <m:rPr>
                        <m:sty m:val="b"/>
                      </m:rPr>
                      <w:rPr>
                        <w:rFonts w:ascii="Cambria Math" w:hAnsi="Cambria Math" w:cs="Arial"/>
                        <w:sz w:val="20"/>
                        <w:lang w:val="en-GB"/>
                      </w:rPr>
                      <m:t xml:space="preserve"> </m:t>
                    </m:r>
                    <m:r>
                      <m:rPr>
                        <m:sty m:val="b"/>
                      </m:rPr>
                      <w:rPr>
                        <w:rFonts w:ascii="Cambria Math" w:hAnsi="Cambria Math" w:cs="Arial"/>
                        <w:sz w:val="20"/>
                        <w:lang w:val="en-GB"/>
                      </w:rPr>
                      <m:t>Pi</m:t>
                    </m:r>
                    <m:d>
                      <m:dPr>
                        <m:ctrlPr>
                          <w:rPr>
                            <w:rFonts w:ascii="Cambria Math" w:hAnsi="Cambria Math" w:cs="Arial"/>
                            <w:b/>
                            <w:sz w:val="20"/>
                            <w:lang w:val="en-GB"/>
                          </w:rPr>
                        </m:ctrlPr>
                      </m:dPr>
                      <m:e>
                        <m:r>
                          <m:rPr>
                            <m:sty m:val="b"/>
                          </m:rPr>
                          <w:rPr>
                            <w:rFonts w:ascii="Cambria Math" w:hAnsi="Cambria Math" w:cs="Arial"/>
                            <w:sz w:val="20"/>
                            <w:lang w:val="en-GB"/>
                          </w:rPr>
                          <m:t>IVD</m:t>
                        </m:r>
                      </m:e>
                    </m:d>
                    <m:r>
                      <m:rPr>
                        <m:sty m:val="b"/>
                      </m:rPr>
                      <w:rPr>
                        <w:rFonts w:ascii="Cambria Math" w:hAnsi="Cambria Math" w:cs="Arial"/>
                        <w:sz w:val="20"/>
                        <w:lang w:val="en-GB"/>
                      </w:rPr>
                      <m:t xml:space="preserve"> </m:t>
                    </m:r>
                    <m:r>
                      <m:rPr>
                        <m:sty m:val="b"/>
                      </m:rPr>
                      <w:rPr>
                        <w:rFonts w:ascii="Cambria Math" w:hAnsi="Cambria Math" w:cs="Arial"/>
                        <w:sz w:val="20"/>
                        <w:lang w:val="en-GB"/>
                      </w:rPr>
                      <m:t>x</m:t>
                    </m:r>
                    <m:r>
                      <m:rPr>
                        <m:sty m:val="b"/>
                      </m:rPr>
                      <w:rPr>
                        <w:rFonts w:ascii="Cambria Math" w:hAnsi="Cambria Math" w:cs="Arial"/>
                        <w:sz w:val="20"/>
                        <w:lang w:val="en-GB"/>
                      </w:rPr>
                      <m:t xml:space="preserve"> </m:t>
                    </m:r>
                    <m:r>
                      <m:rPr>
                        <m:sty m:val="b"/>
                      </m:rPr>
                      <w:rPr>
                        <w:rFonts w:ascii="Cambria Math" w:hAnsi="Cambria Math" w:cs="Arial"/>
                        <w:sz w:val="20"/>
                        <w:lang w:val="en-GB"/>
                      </w:rPr>
                      <m:t>FXi(IVD)</m:t>
                    </m:r>
                  </m:e>
                </m:nary>
              </m:oMath>
            </m:oMathPara>
          </w:p>
        </w:tc>
      </w:tr>
      <w:tr w:rsidR="001E4C26" w:rsidRPr="00C658ED" w14:paraId="760FDB0D" w14:textId="77777777" w:rsidTr="009F2683">
        <w:tc>
          <w:tcPr>
            <w:tcW w:w="3510" w:type="dxa"/>
            <w:tcBorders>
              <w:bottom w:val="nil"/>
            </w:tcBorders>
          </w:tcPr>
          <w:p w14:paraId="4454FF15" w14:textId="77777777" w:rsidR="001E4C26" w:rsidRPr="00312DC2" w:rsidRDefault="001E4C26" w:rsidP="00CA7DDC">
            <w:pPr>
              <w:rPr>
                <w:rFonts w:ascii="Arial" w:hAnsi="Arial" w:cs="Arial"/>
                <w:b/>
                <w:sz w:val="20"/>
                <w:lang w:val="en-GB"/>
              </w:rPr>
            </w:pPr>
          </w:p>
        </w:tc>
        <w:tc>
          <w:tcPr>
            <w:tcW w:w="7090" w:type="dxa"/>
            <w:tcBorders>
              <w:bottom w:val="nil"/>
            </w:tcBorders>
          </w:tcPr>
          <w:p w14:paraId="20DA86BC" w14:textId="2C9F767E" w:rsidR="001E4C26" w:rsidRDefault="0097014E" w:rsidP="00CA7DDC">
            <w:pPr>
              <w:jc w:val="both"/>
              <w:rPr>
                <w:rFonts w:ascii="Arial" w:hAnsi="Arial" w:cs="Arial"/>
                <w:sz w:val="20"/>
                <w:lang w:val="en-GB"/>
              </w:rPr>
            </w:pPr>
            <w:r>
              <w:rPr>
                <w:rFonts w:ascii="Arial" w:hAnsi="Arial" w:cs="Arial"/>
                <w:sz w:val="20"/>
                <w:lang w:val="en-GB"/>
              </w:rPr>
              <w:t>Where:</w:t>
            </w:r>
          </w:p>
          <w:p w14:paraId="06AA009D" w14:textId="234C90EC" w:rsidR="00A402F5" w:rsidRDefault="0097014E" w:rsidP="00CA7DDC">
            <w:pPr>
              <w:jc w:val="both"/>
              <w:rPr>
                <w:rFonts w:ascii="Arial" w:hAnsi="Arial" w:cs="Arial"/>
                <w:sz w:val="20"/>
                <w:lang w:val="en-GB"/>
              </w:rPr>
            </w:pPr>
            <w:r w:rsidRPr="00A402F5">
              <w:rPr>
                <w:rFonts w:ascii="Arial" w:hAnsi="Arial" w:cs="Arial"/>
                <w:b/>
                <w:sz w:val="20"/>
                <w:lang w:val="en-GB"/>
              </w:rPr>
              <w:t>Ni(IVD)</w:t>
            </w:r>
            <w:r>
              <w:rPr>
                <w:rFonts w:ascii="Arial" w:hAnsi="Arial" w:cs="Arial"/>
                <w:sz w:val="20"/>
                <w:lang w:val="en-GB"/>
              </w:rPr>
              <w:t>: (</w:t>
            </w:r>
            <w:proofErr w:type="spellStart"/>
            <w:r>
              <w:rPr>
                <w:rFonts w:ascii="Arial" w:hAnsi="Arial" w:cs="Arial"/>
                <w:sz w:val="20"/>
                <w:lang w:val="en-GB"/>
              </w:rPr>
              <w:t>i</w:t>
            </w:r>
            <w:proofErr w:type="spellEnd"/>
            <w:r>
              <w:rPr>
                <w:rFonts w:ascii="Arial" w:hAnsi="Arial" w:cs="Arial"/>
                <w:sz w:val="20"/>
                <w:lang w:val="en-GB"/>
              </w:rPr>
              <w:t>)</w:t>
            </w:r>
            <w:r w:rsidR="0066152F">
              <w:rPr>
                <w:rFonts w:ascii="Arial" w:hAnsi="Arial" w:cs="Arial"/>
                <w:sz w:val="20"/>
                <w:lang w:val="en-GB"/>
              </w:rPr>
              <w:t xml:space="preserve"> in respect of Share, the N</w:t>
            </w:r>
            <w:r w:rsidR="009B35AD">
              <w:rPr>
                <w:rFonts w:ascii="Arial" w:hAnsi="Arial" w:cs="Arial"/>
                <w:sz w:val="20"/>
                <w:lang w:val="en-GB"/>
              </w:rPr>
              <w:t>umber of Sh</w:t>
            </w:r>
            <w:r w:rsidR="0066152F">
              <w:rPr>
                <w:rFonts w:ascii="Arial" w:hAnsi="Arial" w:cs="Arial"/>
                <w:sz w:val="20"/>
                <w:lang w:val="en-GB"/>
              </w:rPr>
              <w:t>ares</w:t>
            </w:r>
            <w:r w:rsidR="009B35AD">
              <w:rPr>
                <w:rFonts w:ascii="Arial" w:hAnsi="Arial" w:cs="Arial"/>
                <w:sz w:val="20"/>
                <w:lang w:val="en-GB"/>
              </w:rPr>
              <w:t xml:space="preserve"> in the Basket, (ii) in </w:t>
            </w:r>
            <w:r w:rsidR="009B35AD">
              <w:rPr>
                <w:rFonts w:ascii="Arial" w:hAnsi="Arial" w:cs="Arial"/>
                <w:sz w:val="20"/>
                <w:lang w:val="en-GB"/>
              </w:rPr>
              <w:lastRenderedPageBreak/>
              <w:t xml:space="preserve">respect of Bond or Convertible Bond, </w:t>
            </w:r>
            <w:r w:rsidR="0066152F">
              <w:rPr>
                <w:rFonts w:ascii="Arial" w:hAnsi="Arial" w:cs="Arial"/>
                <w:sz w:val="20"/>
                <w:lang w:val="en-GB"/>
              </w:rPr>
              <w:t>the Number of Bonds or Convertible Bonds</w:t>
            </w:r>
            <w:r w:rsidR="00882AD3">
              <w:rPr>
                <w:rFonts w:ascii="Arial" w:hAnsi="Arial" w:cs="Arial"/>
                <w:sz w:val="20"/>
                <w:lang w:val="en-GB"/>
              </w:rPr>
              <w:t xml:space="preserve"> in the Basket</w:t>
            </w:r>
            <w:r w:rsidR="0066152F">
              <w:rPr>
                <w:rFonts w:ascii="Arial" w:hAnsi="Arial" w:cs="Arial"/>
                <w:sz w:val="20"/>
                <w:lang w:val="en-GB"/>
              </w:rPr>
              <w:t>, (iii) in the respect of Scrip, the Number of Underlying Shares</w:t>
            </w:r>
            <w:r w:rsidR="00882AD3">
              <w:rPr>
                <w:rFonts w:ascii="Arial" w:hAnsi="Arial" w:cs="Arial"/>
                <w:sz w:val="20"/>
                <w:lang w:val="en-GB"/>
              </w:rPr>
              <w:t xml:space="preserve"> in the Basket</w:t>
            </w:r>
            <w:r w:rsidR="0066152F">
              <w:rPr>
                <w:rFonts w:ascii="Arial" w:hAnsi="Arial" w:cs="Arial"/>
                <w:sz w:val="20"/>
                <w:lang w:val="en-GB"/>
              </w:rPr>
              <w:t>, and (iv) in respect of Fund Interest, the Number of Fund Interest Units</w:t>
            </w:r>
            <w:r w:rsidR="00882AD3">
              <w:rPr>
                <w:rFonts w:ascii="Arial" w:hAnsi="Arial" w:cs="Arial"/>
                <w:sz w:val="20"/>
                <w:lang w:val="en-GB"/>
              </w:rPr>
              <w:t xml:space="preserve"> in the Basket</w:t>
            </w:r>
            <w:r w:rsidR="0066152F">
              <w:rPr>
                <w:rFonts w:ascii="Arial" w:hAnsi="Arial" w:cs="Arial"/>
                <w:sz w:val="20"/>
                <w:lang w:val="en-GB"/>
              </w:rPr>
              <w:t xml:space="preserve"> (in each case, as specified in the Annex 1</w:t>
            </w:r>
            <w:r w:rsidR="00A402F5">
              <w:rPr>
                <w:rFonts w:ascii="Arial" w:hAnsi="Arial" w:cs="Arial"/>
                <w:sz w:val="20"/>
                <w:lang w:val="en-GB"/>
              </w:rPr>
              <w:t>).</w:t>
            </w:r>
          </w:p>
          <w:p w14:paraId="15DDFF93" w14:textId="7E2065E7" w:rsidR="00A402F5" w:rsidRDefault="00A402F5" w:rsidP="00CA7DDC">
            <w:pPr>
              <w:jc w:val="both"/>
              <w:rPr>
                <w:rFonts w:ascii="Arial" w:hAnsi="Arial" w:cs="Arial"/>
                <w:sz w:val="20"/>
                <w:lang w:val="en-GB"/>
              </w:rPr>
            </w:pPr>
            <w:r w:rsidRPr="00A402F5">
              <w:rPr>
                <w:rFonts w:ascii="Arial" w:hAnsi="Arial" w:cs="Arial"/>
                <w:b/>
                <w:sz w:val="20"/>
                <w:lang w:val="en-GB"/>
              </w:rPr>
              <w:t>Pi(IVD)</w:t>
            </w:r>
            <w:r>
              <w:rPr>
                <w:rFonts w:ascii="Arial" w:hAnsi="Arial" w:cs="Arial"/>
                <w:sz w:val="20"/>
                <w:lang w:val="en-GB"/>
              </w:rPr>
              <w:t>: the initial Price of each Basket Asset</w:t>
            </w:r>
            <w:r w:rsidR="00203A2B">
              <w:rPr>
                <w:rFonts w:ascii="Arial" w:hAnsi="Arial" w:cs="Arial"/>
                <w:sz w:val="20"/>
                <w:lang w:val="en-GB"/>
              </w:rPr>
              <w:t xml:space="preserve"> </w:t>
            </w:r>
            <w:r>
              <w:rPr>
                <w:rFonts w:ascii="Arial" w:hAnsi="Arial" w:cs="Arial"/>
                <w:sz w:val="20"/>
                <w:lang w:val="en-GB"/>
              </w:rPr>
              <w:t>(as specified in Annex 1).</w:t>
            </w:r>
          </w:p>
          <w:p w14:paraId="0BCA9702" w14:textId="556FF863" w:rsidR="0097014E" w:rsidRPr="00312DC2" w:rsidRDefault="00A402F5" w:rsidP="00CA7DDC">
            <w:pPr>
              <w:jc w:val="both"/>
              <w:rPr>
                <w:rFonts w:ascii="Arial" w:hAnsi="Arial" w:cs="Arial"/>
                <w:sz w:val="20"/>
                <w:lang w:val="en-GB"/>
              </w:rPr>
            </w:pPr>
            <w:proofErr w:type="spellStart"/>
            <w:r w:rsidRPr="00A402F5">
              <w:rPr>
                <w:rFonts w:ascii="Arial" w:hAnsi="Arial" w:cs="Arial"/>
                <w:b/>
                <w:sz w:val="20"/>
                <w:lang w:val="en-GB"/>
              </w:rPr>
              <w:t>FXi</w:t>
            </w:r>
            <w:proofErr w:type="spellEnd"/>
            <w:r w:rsidRPr="00A402F5">
              <w:rPr>
                <w:rFonts w:ascii="Arial" w:hAnsi="Arial" w:cs="Arial"/>
                <w:b/>
                <w:sz w:val="20"/>
                <w:lang w:val="en-GB"/>
              </w:rPr>
              <w:t>(IVD)</w:t>
            </w:r>
            <w:r>
              <w:rPr>
                <w:rFonts w:ascii="Arial" w:hAnsi="Arial" w:cs="Arial"/>
                <w:sz w:val="20"/>
                <w:lang w:val="en-GB"/>
              </w:rPr>
              <w:t>: (</w:t>
            </w:r>
            <w:proofErr w:type="spellStart"/>
            <w:r>
              <w:rPr>
                <w:rFonts w:ascii="Arial" w:hAnsi="Arial" w:cs="Arial"/>
                <w:sz w:val="20"/>
                <w:lang w:val="en-GB"/>
              </w:rPr>
              <w:t>i</w:t>
            </w:r>
            <w:proofErr w:type="spellEnd"/>
            <w:r>
              <w:rPr>
                <w:rFonts w:ascii="Arial" w:hAnsi="Arial" w:cs="Arial"/>
                <w:sz w:val="20"/>
                <w:lang w:val="en-GB"/>
              </w:rPr>
              <w:t>) where relevant, the spot foreign exchange rate with respect to each Basket Asset and its relevant currency</w:t>
            </w:r>
            <w:r w:rsidR="00203A2B">
              <w:rPr>
                <w:rFonts w:ascii="Arial" w:hAnsi="Arial" w:cs="Arial"/>
                <w:sz w:val="20"/>
                <w:lang w:val="en-GB"/>
              </w:rPr>
              <w:t xml:space="preserve"> against EUR, as defined in Annex 1, </w:t>
            </w:r>
            <w:r w:rsidR="0066152F">
              <w:rPr>
                <w:rFonts w:ascii="Arial" w:hAnsi="Arial" w:cs="Arial"/>
                <w:sz w:val="20"/>
                <w:lang w:val="en-GB"/>
              </w:rPr>
              <w:t>or (ii) otherwise,1.</w:t>
            </w:r>
          </w:p>
        </w:tc>
      </w:tr>
      <w:tr w:rsidR="001E4C26" w:rsidRPr="00C658ED" w14:paraId="1D008336" w14:textId="77777777" w:rsidTr="009F2683">
        <w:tc>
          <w:tcPr>
            <w:tcW w:w="3510" w:type="dxa"/>
            <w:tcBorders>
              <w:bottom w:val="nil"/>
            </w:tcBorders>
          </w:tcPr>
          <w:p w14:paraId="59536BD2" w14:textId="42E63DCF" w:rsidR="001E4C26" w:rsidRPr="00312DC2" w:rsidRDefault="001E4C26" w:rsidP="00CA7DDC">
            <w:pPr>
              <w:rPr>
                <w:rFonts w:ascii="Arial" w:hAnsi="Arial" w:cs="Arial"/>
                <w:b/>
                <w:sz w:val="20"/>
                <w:lang w:val="en-GB"/>
              </w:rPr>
            </w:pPr>
          </w:p>
        </w:tc>
        <w:tc>
          <w:tcPr>
            <w:tcW w:w="7090" w:type="dxa"/>
            <w:tcBorders>
              <w:bottom w:val="nil"/>
            </w:tcBorders>
          </w:tcPr>
          <w:p w14:paraId="705C38EB" w14:textId="77777777" w:rsidR="001E4C26" w:rsidRPr="00312DC2" w:rsidRDefault="001E4C26" w:rsidP="00CA7DDC">
            <w:pPr>
              <w:jc w:val="both"/>
              <w:rPr>
                <w:rFonts w:ascii="Arial" w:hAnsi="Arial" w:cs="Arial"/>
                <w:sz w:val="20"/>
                <w:lang w:val="en-GB"/>
              </w:rPr>
            </w:pPr>
          </w:p>
        </w:tc>
      </w:tr>
      <w:tr w:rsidR="001E4C26" w:rsidRPr="00312DC2" w14:paraId="4DE103CC" w14:textId="77777777" w:rsidTr="009F2683">
        <w:tc>
          <w:tcPr>
            <w:tcW w:w="3510" w:type="dxa"/>
            <w:tcBorders>
              <w:bottom w:val="nil"/>
            </w:tcBorders>
          </w:tcPr>
          <w:p w14:paraId="37B68190" w14:textId="0BBB90CC" w:rsidR="001E4C26" w:rsidRPr="00312DC2" w:rsidRDefault="0066152F" w:rsidP="00CA7DDC">
            <w:pPr>
              <w:rPr>
                <w:rFonts w:ascii="Arial" w:hAnsi="Arial" w:cs="Arial"/>
                <w:b/>
                <w:sz w:val="20"/>
                <w:lang w:val="en-GB"/>
              </w:rPr>
            </w:pPr>
            <w:r>
              <w:rPr>
                <w:rFonts w:ascii="Arial" w:hAnsi="Arial" w:cs="Arial"/>
                <w:b/>
                <w:sz w:val="20"/>
                <w:lang w:val="en-GB"/>
              </w:rPr>
              <w:t>Final Price:</w:t>
            </w:r>
          </w:p>
        </w:tc>
        <w:tc>
          <w:tcPr>
            <w:tcW w:w="7090" w:type="dxa"/>
            <w:tcBorders>
              <w:bottom w:val="nil"/>
            </w:tcBorders>
          </w:tcPr>
          <w:p w14:paraId="61C98339" w14:textId="77777777" w:rsidR="001E4C26" w:rsidRDefault="0066152F" w:rsidP="00CA7DDC">
            <w:pPr>
              <w:jc w:val="both"/>
              <w:rPr>
                <w:rFonts w:ascii="Arial" w:hAnsi="Arial" w:cs="Arial"/>
                <w:sz w:val="20"/>
                <w:lang w:val="en-GB"/>
              </w:rPr>
            </w:pPr>
            <w:r>
              <w:rPr>
                <w:rFonts w:ascii="Arial" w:hAnsi="Arial" w:cs="Arial"/>
                <w:sz w:val="20"/>
                <w:lang w:val="en-GB"/>
              </w:rPr>
              <w:t>An amount in EUR</w:t>
            </w:r>
            <w:r w:rsidR="00A402F5">
              <w:rPr>
                <w:rFonts w:ascii="Arial" w:hAnsi="Arial" w:cs="Arial"/>
                <w:sz w:val="20"/>
                <w:lang w:val="en-GB"/>
              </w:rPr>
              <w:t>, calculated by the Calculation Agent as per as following summation in respect of all Basket Assets:</w:t>
            </w:r>
          </w:p>
          <w:p w14:paraId="6F954E12" w14:textId="7AEA396D" w:rsidR="00A402F5" w:rsidRPr="00312DC2" w:rsidRDefault="00C3331E" w:rsidP="00CA7DDC">
            <w:pPr>
              <w:jc w:val="both"/>
              <w:rPr>
                <w:rFonts w:ascii="Arial" w:hAnsi="Arial" w:cs="Arial"/>
                <w:sz w:val="20"/>
                <w:lang w:val="en-GB"/>
              </w:rPr>
            </w:pPr>
            <m:oMathPara>
              <m:oMath>
                <m:nary>
                  <m:naryPr>
                    <m:chr m:val="∑"/>
                    <m:limLoc m:val="undOvr"/>
                    <m:subHide m:val="1"/>
                    <m:supHide m:val="1"/>
                    <m:ctrlPr>
                      <w:rPr>
                        <w:rFonts w:ascii="Cambria Math" w:hAnsi="Cambria Math" w:cs="Arial"/>
                        <w:b/>
                        <w:sz w:val="20"/>
                        <w:lang w:val="en-GB"/>
                      </w:rPr>
                    </m:ctrlPr>
                  </m:naryPr>
                  <m:sub/>
                  <m:sup/>
                  <m:e>
                    <m:r>
                      <m:rPr>
                        <m:sty m:val="b"/>
                      </m:rPr>
                      <w:rPr>
                        <w:rFonts w:ascii="Cambria Math" w:hAnsi="Cambria Math" w:cs="Arial"/>
                        <w:sz w:val="20"/>
                        <w:lang w:val="en-GB"/>
                      </w:rPr>
                      <m:t>Ni(</m:t>
                    </m:r>
                    <m:d>
                      <m:dPr>
                        <m:ctrlPr>
                          <w:rPr>
                            <w:rFonts w:ascii="Cambria Math" w:hAnsi="Cambria Math" w:cs="Arial"/>
                            <w:b/>
                            <w:sz w:val="20"/>
                            <w:lang w:val="en-GB"/>
                          </w:rPr>
                        </m:ctrlPr>
                      </m:dPr>
                      <m:e>
                        <m:r>
                          <m:rPr>
                            <m:sty m:val="b"/>
                          </m:rPr>
                          <w:rPr>
                            <w:rFonts w:ascii="Cambria Math" w:hAnsi="Cambria Math" w:cs="Arial"/>
                            <w:sz w:val="20"/>
                            <w:lang w:val="en-GB"/>
                          </w:rPr>
                          <m:t>FVD</m:t>
                        </m:r>
                      </m:e>
                    </m:d>
                    <m:r>
                      <m:rPr>
                        <m:sty m:val="b"/>
                      </m:rPr>
                      <w:rPr>
                        <w:rFonts w:ascii="Cambria Math" w:hAnsi="Cambria Math" w:cs="Arial"/>
                        <w:sz w:val="20"/>
                        <w:lang w:val="en-GB"/>
                      </w:rPr>
                      <m:t>xPi</m:t>
                    </m:r>
                    <m:d>
                      <m:dPr>
                        <m:ctrlPr>
                          <w:rPr>
                            <w:rFonts w:ascii="Cambria Math" w:hAnsi="Cambria Math" w:cs="Arial"/>
                            <w:b/>
                            <w:sz w:val="20"/>
                            <w:lang w:val="en-GB"/>
                          </w:rPr>
                        </m:ctrlPr>
                      </m:dPr>
                      <m:e>
                        <m:r>
                          <m:rPr>
                            <m:sty m:val="b"/>
                          </m:rPr>
                          <w:rPr>
                            <w:rFonts w:ascii="Cambria Math" w:hAnsi="Cambria Math" w:cs="Arial"/>
                            <w:sz w:val="20"/>
                            <w:lang w:val="en-GB"/>
                          </w:rPr>
                          <m:t>FVD</m:t>
                        </m:r>
                      </m:e>
                    </m:d>
                    <m:r>
                      <m:rPr>
                        <m:sty m:val="b"/>
                      </m:rPr>
                      <w:rPr>
                        <w:rFonts w:ascii="Cambria Math" w:hAnsi="Cambria Math" w:cs="Arial"/>
                        <w:sz w:val="20"/>
                        <w:lang w:val="en-GB"/>
                      </w:rPr>
                      <m:t>xFXi(FVD)</m:t>
                    </m:r>
                  </m:e>
                </m:nary>
              </m:oMath>
            </m:oMathPara>
          </w:p>
        </w:tc>
      </w:tr>
      <w:tr w:rsidR="001E4C26" w:rsidRPr="00C658ED" w14:paraId="44870C51" w14:textId="77777777" w:rsidTr="009F2683">
        <w:tc>
          <w:tcPr>
            <w:tcW w:w="3510" w:type="dxa"/>
            <w:tcBorders>
              <w:top w:val="nil"/>
              <w:bottom w:val="nil"/>
            </w:tcBorders>
          </w:tcPr>
          <w:p w14:paraId="5B9A93D1" w14:textId="0ABBFEEC" w:rsidR="001E4C26" w:rsidRPr="00312DC2" w:rsidRDefault="001E4C26" w:rsidP="00CA7DDC">
            <w:pPr>
              <w:rPr>
                <w:rFonts w:ascii="Arial" w:hAnsi="Arial" w:cs="Arial"/>
                <w:b/>
                <w:sz w:val="20"/>
                <w:lang w:val="en-GB"/>
              </w:rPr>
            </w:pPr>
          </w:p>
        </w:tc>
        <w:tc>
          <w:tcPr>
            <w:tcW w:w="7090" w:type="dxa"/>
            <w:tcBorders>
              <w:bottom w:val="nil"/>
            </w:tcBorders>
          </w:tcPr>
          <w:p w14:paraId="5D6536F3" w14:textId="77777777" w:rsidR="00203A2B" w:rsidRDefault="00203A2B" w:rsidP="00203A2B">
            <w:pPr>
              <w:jc w:val="both"/>
              <w:rPr>
                <w:rFonts w:ascii="Arial" w:hAnsi="Arial" w:cs="Arial"/>
                <w:sz w:val="20"/>
                <w:lang w:val="en-GB"/>
              </w:rPr>
            </w:pPr>
            <w:r>
              <w:rPr>
                <w:rFonts w:ascii="Arial" w:hAnsi="Arial" w:cs="Arial"/>
                <w:sz w:val="20"/>
                <w:lang w:val="en-GB"/>
              </w:rPr>
              <w:t>Where:</w:t>
            </w:r>
          </w:p>
          <w:p w14:paraId="0EF9DDC6" w14:textId="2D0E661F" w:rsidR="00203A2B" w:rsidRDefault="00203A2B" w:rsidP="00203A2B">
            <w:pPr>
              <w:jc w:val="both"/>
              <w:rPr>
                <w:rFonts w:ascii="Arial" w:hAnsi="Arial" w:cs="Arial"/>
                <w:sz w:val="20"/>
                <w:lang w:val="en-GB"/>
              </w:rPr>
            </w:pPr>
            <w:r>
              <w:rPr>
                <w:rFonts w:ascii="Arial" w:hAnsi="Arial" w:cs="Arial"/>
                <w:b/>
                <w:sz w:val="20"/>
                <w:lang w:val="en-GB"/>
              </w:rPr>
              <w:t>Ni(F</w:t>
            </w:r>
            <w:r w:rsidRPr="00A402F5">
              <w:rPr>
                <w:rFonts w:ascii="Arial" w:hAnsi="Arial" w:cs="Arial"/>
                <w:b/>
                <w:sz w:val="20"/>
                <w:lang w:val="en-GB"/>
              </w:rPr>
              <w:t>VD)</w:t>
            </w:r>
            <w:r>
              <w:rPr>
                <w:rFonts w:ascii="Arial" w:hAnsi="Arial" w:cs="Arial"/>
                <w:sz w:val="20"/>
                <w:lang w:val="en-GB"/>
              </w:rPr>
              <w:t>: (</w:t>
            </w:r>
            <w:proofErr w:type="spellStart"/>
            <w:r>
              <w:rPr>
                <w:rFonts w:ascii="Arial" w:hAnsi="Arial" w:cs="Arial"/>
                <w:sz w:val="20"/>
                <w:lang w:val="en-GB"/>
              </w:rPr>
              <w:t>i</w:t>
            </w:r>
            <w:proofErr w:type="spellEnd"/>
            <w:r>
              <w:rPr>
                <w:rFonts w:ascii="Arial" w:hAnsi="Arial" w:cs="Arial"/>
                <w:sz w:val="20"/>
                <w:lang w:val="en-GB"/>
              </w:rPr>
              <w:t>) in respect of Share, the Number of Shares in the Basket, (ii) in respect of Bond or Convertible Bond, the Number of Bonds or Convertible Bonds</w:t>
            </w:r>
            <w:r w:rsidR="00E6333C">
              <w:rPr>
                <w:rFonts w:ascii="Arial" w:hAnsi="Arial" w:cs="Arial"/>
                <w:sz w:val="20"/>
                <w:lang w:val="en-GB"/>
              </w:rPr>
              <w:t xml:space="preserve"> in the Basket</w:t>
            </w:r>
            <w:r>
              <w:rPr>
                <w:rFonts w:ascii="Arial" w:hAnsi="Arial" w:cs="Arial"/>
                <w:sz w:val="20"/>
                <w:lang w:val="en-GB"/>
              </w:rPr>
              <w:t>, (iii) in the respect of Scrip, the Number of Underlying Shares</w:t>
            </w:r>
            <w:r w:rsidR="00E6333C">
              <w:rPr>
                <w:rFonts w:ascii="Arial" w:hAnsi="Arial" w:cs="Arial"/>
                <w:sz w:val="20"/>
                <w:lang w:val="en-GB"/>
              </w:rPr>
              <w:t xml:space="preserve"> in the Basket</w:t>
            </w:r>
            <w:r>
              <w:rPr>
                <w:rFonts w:ascii="Arial" w:hAnsi="Arial" w:cs="Arial"/>
                <w:sz w:val="20"/>
                <w:lang w:val="en-GB"/>
              </w:rPr>
              <w:t xml:space="preserve">, and (iv) in respect of Fund Interest, the Number of Fund Interest Units </w:t>
            </w:r>
            <w:r w:rsidR="00E6333C">
              <w:rPr>
                <w:rFonts w:ascii="Arial" w:hAnsi="Arial" w:cs="Arial"/>
                <w:sz w:val="20"/>
                <w:lang w:val="en-GB"/>
              </w:rPr>
              <w:t>in the Basket</w:t>
            </w:r>
            <w:r w:rsidR="002E3695">
              <w:rPr>
                <w:rFonts w:ascii="Arial" w:hAnsi="Arial" w:cs="Arial"/>
                <w:sz w:val="20"/>
                <w:lang w:val="en-GB"/>
              </w:rPr>
              <w:t xml:space="preserve"> </w:t>
            </w:r>
            <w:r>
              <w:rPr>
                <w:rFonts w:ascii="Arial" w:hAnsi="Arial" w:cs="Arial"/>
                <w:sz w:val="20"/>
                <w:lang w:val="en-GB"/>
              </w:rPr>
              <w:t>(in each case, as specified in the Annex 1).</w:t>
            </w:r>
          </w:p>
          <w:p w14:paraId="22BDB213" w14:textId="6F1EE382" w:rsidR="00203A2B" w:rsidRDefault="00203A2B" w:rsidP="00203A2B">
            <w:pPr>
              <w:jc w:val="both"/>
              <w:rPr>
                <w:rFonts w:ascii="Arial" w:hAnsi="Arial" w:cs="Arial"/>
                <w:sz w:val="20"/>
                <w:lang w:val="en-GB"/>
              </w:rPr>
            </w:pPr>
            <w:r>
              <w:rPr>
                <w:rFonts w:ascii="Arial" w:hAnsi="Arial" w:cs="Arial"/>
                <w:b/>
                <w:sz w:val="20"/>
                <w:lang w:val="en-GB"/>
              </w:rPr>
              <w:t>Pi(F</w:t>
            </w:r>
            <w:r w:rsidRPr="00A402F5">
              <w:rPr>
                <w:rFonts w:ascii="Arial" w:hAnsi="Arial" w:cs="Arial"/>
                <w:b/>
                <w:sz w:val="20"/>
                <w:lang w:val="en-GB"/>
              </w:rPr>
              <w:t>VD)</w:t>
            </w:r>
            <w:r>
              <w:rPr>
                <w:rFonts w:ascii="Arial" w:hAnsi="Arial" w:cs="Arial"/>
                <w:sz w:val="20"/>
                <w:lang w:val="en-GB"/>
              </w:rPr>
              <w:t>: the relevant Price of each Basket Asset, comprised in the Basket on the valuation Date.</w:t>
            </w:r>
          </w:p>
          <w:p w14:paraId="57E50CAD" w14:textId="77777777" w:rsidR="001E4C26" w:rsidRDefault="00203A2B" w:rsidP="00203A2B">
            <w:pPr>
              <w:jc w:val="both"/>
              <w:rPr>
                <w:rFonts w:ascii="Arial" w:hAnsi="Arial" w:cs="Arial"/>
                <w:sz w:val="20"/>
                <w:lang w:val="en-GB"/>
              </w:rPr>
            </w:pPr>
            <w:proofErr w:type="spellStart"/>
            <w:r>
              <w:rPr>
                <w:rFonts w:ascii="Arial" w:hAnsi="Arial" w:cs="Arial"/>
                <w:b/>
                <w:sz w:val="20"/>
                <w:lang w:val="en-GB"/>
              </w:rPr>
              <w:t>FXi</w:t>
            </w:r>
            <w:proofErr w:type="spellEnd"/>
            <w:r>
              <w:rPr>
                <w:rFonts w:ascii="Arial" w:hAnsi="Arial" w:cs="Arial"/>
                <w:b/>
                <w:sz w:val="20"/>
                <w:lang w:val="en-GB"/>
              </w:rPr>
              <w:t>(F</w:t>
            </w:r>
            <w:r w:rsidRPr="00A402F5">
              <w:rPr>
                <w:rFonts w:ascii="Arial" w:hAnsi="Arial" w:cs="Arial"/>
                <w:b/>
                <w:sz w:val="20"/>
                <w:lang w:val="en-GB"/>
              </w:rPr>
              <w:t>VD)</w:t>
            </w:r>
            <w:r>
              <w:rPr>
                <w:rFonts w:ascii="Arial" w:hAnsi="Arial" w:cs="Arial"/>
                <w:sz w:val="20"/>
                <w:lang w:val="en-GB"/>
              </w:rPr>
              <w:t>: (</w:t>
            </w:r>
            <w:proofErr w:type="spellStart"/>
            <w:r>
              <w:rPr>
                <w:rFonts w:ascii="Arial" w:hAnsi="Arial" w:cs="Arial"/>
                <w:sz w:val="20"/>
                <w:lang w:val="en-GB"/>
              </w:rPr>
              <w:t>i</w:t>
            </w:r>
            <w:proofErr w:type="spellEnd"/>
            <w:r>
              <w:rPr>
                <w:rFonts w:ascii="Arial" w:hAnsi="Arial" w:cs="Arial"/>
                <w:sz w:val="20"/>
                <w:lang w:val="en-GB"/>
              </w:rPr>
              <w:t xml:space="preserve">) where relevant, the spot foreign exchange rate with respect to each Basket Asset and its relevant currency against EUR, as defined in Annex 1, </w:t>
            </w:r>
            <w:r w:rsidR="00A26B79">
              <w:rPr>
                <w:rFonts w:ascii="Arial" w:hAnsi="Arial" w:cs="Arial"/>
                <w:sz w:val="20"/>
                <w:lang w:val="en-GB"/>
              </w:rPr>
              <w:t xml:space="preserve">on the Valuation Date </w:t>
            </w:r>
            <w:r>
              <w:rPr>
                <w:rFonts w:ascii="Arial" w:hAnsi="Arial" w:cs="Arial"/>
                <w:sz w:val="20"/>
                <w:lang w:val="en-GB"/>
              </w:rPr>
              <w:t>or (ii) otherwise,1.</w:t>
            </w:r>
          </w:p>
          <w:p w14:paraId="5425ADBD" w14:textId="51706292" w:rsidR="00A26B79" w:rsidRPr="00A26B79" w:rsidRDefault="00A26B79" w:rsidP="00203A2B">
            <w:pPr>
              <w:jc w:val="both"/>
              <w:rPr>
                <w:rFonts w:ascii="Arial" w:hAnsi="Arial" w:cs="Arial"/>
                <w:b/>
                <w:sz w:val="20"/>
                <w:lang w:val="en-GB"/>
              </w:rPr>
            </w:pPr>
            <w:r w:rsidRPr="00A26B79">
              <w:rPr>
                <w:rFonts w:ascii="Arial" w:hAnsi="Arial" w:cs="Arial"/>
                <w:b/>
                <w:sz w:val="20"/>
                <w:lang w:val="en-GB"/>
              </w:rPr>
              <w:t>Relevant Price</w:t>
            </w:r>
            <w:r w:rsidRPr="00A26B79">
              <w:rPr>
                <w:rFonts w:ascii="Arial" w:hAnsi="Arial" w:cs="Arial"/>
                <w:sz w:val="20"/>
                <w:lang w:val="en-GB"/>
              </w:rPr>
              <w:t>: With resp</w:t>
            </w:r>
            <w:r>
              <w:rPr>
                <w:rFonts w:ascii="Arial" w:hAnsi="Arial" w:cs="Arial"/>
                <w:sz w:val="20"/>
                <w:lang w:val="en-GB"/>
              </w:rPr>
              <w:t xml:space="preserve">ect to the </w:t>
            </w:r>
            <w:r w:rsidRPr="00A26B79">
              <w:rPr>
                <w:rFonts w:ascii="Arial" w:hAnsi="Arial" w:cs="Arial"/>
                <w:sz w:val="20"/>
                <w:lang w:val="en-GB"/>
              </w:rPr>
              <w:t xml:space="preserve">Valuation Date </w:t>
            </w:r>
            <w:r>
              <w:rPr>
                <w:rFonts w:ascii="Arial" w:hAnsi="Arial" w:cs="Arial"/>
                <w:sz w:val="20"/>
                <w:lang w:val="en-GB"/>
              </w:rPr>
              <w:t>(</w:t>
            </w:r>
            <w:proofErr w:type="spellStart"/>
            <w:r>
              <w:rPr>
                <w:rFonts w:ascii="Arial" w:hAnsi="Arial" w:cs="Arial"/>
                <w:sz w:val="20"/>
                <w:lang w:val="en-GB"/>
              </w:rPr>
              <w:t>i</w:t>
            </w:r>
            <w:proofErr w:type="spellEnd"/>
            <w:r>
              <w:rPr>
                <w:rFonts w:ascii="Arial" w:hAnsi="Arial" w:cs="Arial"/>
                <w:sz w:val="20"/>
                <w:lang w:val="en-GB"/>
              </w:rPr>
              <w:t>) in respect of Share, the Share Final Price, (ii) in respect of Bond or Convertible Bond, the Bond or Convertible Bond Final Price, (iii) in respect of Fund Interest, the Fund Interest Unit Final Price, or (iv) in respect of Scrip, the Scrip Final Price (each as defined in the relevant Annex below).</w:t>
            </w:r>
          </w:p>
        </w:tc>
      </w:tr>
      <w:tr w:rsidR="001E4C26" w:rsidRPr="00C658ED" w14:paraId="5DBCD98D" w14:textId="77777777" w:rsidTr="00B938E5">
        <w:tc>
          <w:tcPr>
            <w:tcW w:w="3510" w:type="dxa"/>
            <w:tcBorders>
              <w:bottom w:val="nil"/>
            </w:tcBorders>
          </w:tcPr>
          <w:p w14:paraId="0BF06568" w14:textId="175A17F4" w:rsidR="001E4C26" w:rsidRPr="00312DC2" w:rsidRDefault="001E4C26" w:rsidP="00CA7DDC">
            <w:pPr>
              <w:rPr>
                <w:rFonts w:ascii="Arial" w:hAnsi="Arial" w:cs="Arial"/>
                <w:b/>
                <w:sz w:val="20"/>
                <w:lang w:val="en-GB"/>
              </w:rPr>
            </w:pPr>
          </w:p>
        </w:tc>
        <w:tc>
          <w:tcPr>
            <w:tcW w:w="7090" w:type="dxa"/>
            <w:tcBorders>
              <w:bottom w:val="nil"/>
            </w:tcBorders>
          </w:tcPr>
          <w:p w14:paraId="206F026D" w14:textId="77777777" w:rsidR="001E4C26" w:rsidRPr="00312DC2" w:rsidRDefault="001E4C26" w:rsidP="00CA7DDC">
            <w:pPr>
              <w:jc w:val="both"/>
              <w:rPr>
                <w:rFonts w:ascii="Arial" w:hAnsi="Arial" w:cs="Arial"/>
                <w:sz w:val="20"/>
                <w:lang w:val="en-GB"/>
              </w:rPr>
            </w:pPr>
          </w:p>
        </w:tc>
      </w:tr>
      <w:tr w:rsidR="001E4C26" w:rsidRPr="00C658ED" w14:paraId="2D5ADFCD" w14:textId="77777777" w:rsidTr="00B938E5">
        <w:tc>
          <w:tcPr>
            <w:tcW w:w="3510" w:type="dxa"/>
            <w:tcBorders>
              <w:bottom w:val="nil"/>
            </w:tcBorders>
          </w:tcPr>
          <w:p w14:paraId="30F2DAC7" w14:textId="76559872" w:rsidR="001E4C26" w:rsidRPr="00312DC2" w:rsidRDefault="00B82B4F" w:rsidP="00CA7DDC">
            <w:pPr>
              <w:rPr>
                <w:rFonts w:ascii="Arial" w:hAnsi="Arial" w:cs="Arial"/>
                <w:b/>
                <w:sz w:val="20"/>
                <w:lang w:val="en-GB"/>
              </w:rPr>
            </w:pPr>
            <w:r>
              <w:rPr>
                <w:rFonts w:ascii="Arial" w:hAnsi="Arial" w:cs="Arial"/>
                <w:b/>
                <w:sz w:val="20"/>
                <w:lang w:val="en-GB"/>
              </w:rPr>
              <w:t>Valuation Date:</w:t>
            </w:r>
          </w:p>
        </w:tc>
        <w:tc>
          <w:tcPr>
            <w:tcW w:w="7090" w:type="dxa"/>
            <w:tcBorders>
              <w:bottom w:val="nil"/>
            </w:tcBorders>
          </w:tcPr>
          <w:p w14:paraId="6FBFD4FD" w14:textId="1A7ADBAC" w:rsidR="001E4C26" w:rsidRPr="00312DC2" w:rsidRDefault="00B82B4F" w:rsidP="00CA7DDC">
            <w:pPr>
              <w:jc w:val="both"/>
              <w:rPr>
                <w:rFonts w:ascii="Arial" w:hAnsi="Arial" w:cs="Arial"/>
                <w:sz w:val="20"/>
                <w:lang w:val="en-GB"/>
              </w:rPr>
            </w:pPr>
            <w:r w:rsidRPr="00B82B4F">
              <w:rPr>
                <w:rFonts w:ascii="Arial" w:hAnsi="Arial" w:cs="Arial"/>
                <w:sz w:val="20"/>
                <w:highlight w:val="yellow"/>
                <w:lang w:val="en-GB"/>
              </w:rPr>
              <w:t>XXX</w:t>
            </w:r>
            <w:r>
              <w:rPr>
                <w:rFonts w:ascii="Arial" w:hAnsi="Arial" w:cs="Arial"/>
                <w:sz w:val="20"/>
                <w:lang w:val="en-GB"/>
              </w:rPr>
              <w:t xml:space="preserve"> provided </w:t>
            </w:r>
            <w:proofErr w:type="spellStart"/>
            <w:r w:rsidR="005B679C">
              <w:rPr>
                <w:rFonts w:ascii="Arial" w:hAnsi="Arial" w:cs="Arial"/>
                <w:sz w:val="20"/>
                <w:lang w:val="en-GB"/>
              </w:rPr>
              <w:t>provided</w:t>
            </w:r>
            <w:proofErr w:type="spellEnd"/>
            <w:r w:rsidR="005B679C">
              <w:rPr>
                <w:rFonts w:ascii="Arial" w:hAnsi="Arial" w:cs="Arial"/>
                <w:sz w:val="20"/>
                <w:lang w:val="en-GB"/>
              </w:rPr>
              <w:t xml:space="preserve"> that if the Valuation Date is Disrupted Day, then the Valuation Date shall be the first preceding Business Day that is not a Disrupted Date.</w:t>
            </w:r>
          </w:p>
        </w:tc>
      </w:tr>
      <w:tr w:rsidR="001E4C26" w:rsidRPr="00C658ED" w14:paraId="6AF1B370" w14:textId="77777777" w:rsidTr="00680E4A">
        <w:tc>
          <w:tcPr>
            <w:tcW w:w="3510" w:type="dxa"/>
            <w:tcBorders>
              <w:bottom w:val="nil"/>
            </w:tcBorders>
          </w:tcPr>
          <w:p w14:paraId="124898E9" w14:textId="77777777" w:rsidR="001E4C26" w:rsidRPr="00312DC2" w:rsidRDefault="001E4C26" w:rsidP="00CA7DDC">
            <w:pPr>
              <w:rPr>
                <w:rFonts w:ascii="Arial" w:hAnsi="Arial" w:cs="Arial"/>
                <w:b/>
                <w:sz w:val="20"/>
                <w:lang w:val="en-GB"/>
              </w:rPr>
            </w:pPr>
          </w:p>
        </w:tc>
        <w:tc>
          <w:tcPr>
            <w:tcW w:w="7090" w:type="dxa"/>
            <w:tcBorders>
              <w:bottom w:val="nil"/>
            </w:tcBorders>
          </w:tcPr>
          <w:p w14:paraId="061EE988" w14:textId="77777777" w:rsidR="001E4C26" w:rsidRPr="00312DC2" w:rsidRDefault="001E4C26" w:rsidP="00CA7DDC">
            <w:pPr>
              <w:jc w:val="both"/>
              <w:rPr>
                <w:rFonts w:ascii="Arial" w:hAnsi="Arial" w:cs="Arial"/>
                <w:sz w:val="20"/>
                <w:lang w:val="en-GB"/>
              </w:rPr>
            </w:pPr>
          </w:p>
        </w:tc>
      </w:tr>
      <w:tr w:rsidR="00A26B79" w:rsidRPr="00C658ED" w14:paraId="4BACF2A8" w14:textId="77777777" w:rsidTr="00680E4A">
        <w:tc>
          <w:tcPr>
            <w:tcW w:w="3510" w:type="dxa"/>
            <w:tcBorders>
              <w:bottom w:val="single" w:sz="4" w:space="0" w:color="auto"/>
            </w:tcBorders>
          </w:tcPr>
          <w:p w14:paraId="55B33D7E" w14:textId="764A0B81" w:rsidR="00A26B79" w:rsidRPr="00312DC2" w:rsidRDefault="005B679C" w:rsidP="00CA7DDC">
            <w:pPr>
              <w:rPr>
                <w:rFonts w:ascii="Arial" w:hAnsi="Arial" w:cs="Arial"/>
                <w:b/>
                <w:sz w:val="20"/>
                <w:lang w:val="en-GB"/>
              </w:rPr>
            </w:pPr>
            <w:r>
              <w:rPr>
                <w:rFonts w:ascii="Arial" w:hAnsi="Arial" w:cs="Arial"/>
                <w:b/>
                <w:sz w:val="20"/>
                <w:lang w:val="en-GB"/>
              </w:rPr>
              <w:t>Disrupted Date:</w:t>
            </w:r>
          </w:p>
        </w:tc>
        <w:tc>
          <w:tcPr>
            <w:tcW w:w="7090" w:type="dxa"/>
            <w:tcBorders>
              <w:bottom w:val="single" w:sz="4" w:space="0" w:color="auto"/>
            </w:tcBorders>
          </w:tcPr>
          <w:p w14:paraId="4E27205D" w14:textId="77777777" w:rsidR="00A26B79" w:rsidRDefault="005B679C" w:rsidP="00CA7DDC">
            <w:pPr>
              <w:jc w:val="both"/>
              <w:rPr>
                <w:rFonts w:ascii="Arial" w:hAnsi="Arial" w:cs="Arial"/>
                <w:sz w:val="20"/>
                <w:lang w:val="en-GB"/>
              </w:rPr>
            </w:pPr>
            <w:r>
              <w:rPr>
                <w:rFonts w:ascii="Arial" w:hAnsi="Arial" w:cs="Arial"/>
                <w:sz w:val="20"/>
                <w:lang w:val="en-GB"/>
              </w:rPr>
              <w:t xml:space="preserve">Means any day on which it is not possible for the Relevant Price to be </w:t>
            </w:r>
            <w:proofErr w:type="spellStart"/>
            <w:r>
              <w:rPr>
                <w:rFonts w:ascii="Arial" w:hAnsi="Arial" w:cs="Arial"/>
                <w:sz w:val="20"/>
                <w:lang w:val="en-GB"/>
              </w:rPr>
              <w:t>determinated</w:t>
            </w:r>
            <w:proofErr w:type="spellEnd"/>
            <w:r>
              <w:rPr>
                <w:rFonts w:ascii="Arial" w:hAnsi="Arial" w:cs="Arial"/>
                <w:sz w:val="20"/>
                <w:lang w:val="en-GB"/>
              </w:rPr>
              <w:t xml:space="preserve"> in respect of a Basket Asset.</w:t>
            </w:r>
            <w:r w:rsidR="00811A28">
              <w:rPr>
                <w:rFonts w:ascii="Arial" w:hAnsi="Arial" w:cs="Arial"/>
                <w:sz w:val="20"/>
                <w:lang w:val="en-GB"/>
              </w:rPr>
              <w:t xml:space="preserve"> The Calculation Agent shall as soon as reasonably practicable under the circumstances notify the Parties of the occurrence of the disrupted Day that, but the occurrence of a Disrupted Day would have been Valuation Date. Without </w:t>
            </w:r>
            <w:r w:rsidR="004C656A">
              <w:rPr>
                <w:rFonts w:ascii="Arial" w:hAnsi="Arial" w:cs="Arial"/>
                <w:sz w:val="20"/>
                <w:lang w:val="en-GB"/>
              </w:rPr>
              <w:t>limiting the above notification obligation, failure by the Calculation Agent to notify the Parties of the occurrence of a Disrupted Day shall not affect the validity of the occurrence and effect of such Disrupted Day on this Transaction.</w:t>
            </w:r>
          </w:p>
          <w:p w14:paraId="584AE12A" w14:textId="266CE9E8" w:rsidR="00680E4A" w:rsidRPr="00312DC2" w:rsidRDefault="00680E4A" w:rsidP="00CA7DDC">
            <w:pPr>
              <w:jc w:val="both"/>
              <w:rPr>
                <w:rFonts w:ascii="Arial" w:hAnsi="Arial" w:cs="Arial"/>
                <w:sz w:val="20"/>
                <w:lang w:val="en-GB"/>
              </w:rPr>
            </w:pPr>
          </w:p>
        </w:tc>
      </w:tr>
      <w:tr w:rsidR="00A26B79" w:rsidRPr="00C658ED" w14:paraId="40AD6AE6" w14:textId="77777777" w:rsidTr="00680E4A">
        <w:tc>
          <w:tcPr>
            <w:tcW w:w="3510" w:type="dxa"/>
            <w:tcBorders>
              <w:top w:val="single" w:sz="4" w:space="0" w:color="auto"/>
              <w:bottom w:val="nil"/>
            </w:tcBorders>
          </w:tcPr>
          <w:p w14:paraId="44E5EE2C" w14:textId="77777777" w:rsidR="00A26B79" w:rsidRPr="00312DC2" w:rsidRDefault="00A26B79" w:rsidP="00CA7DDC">
            <w:pPr>
              <w:rPr>
                <w:rFonts w:ascii="Arial" w:hAnsi="Arial" w:cs="Arial"/>
                <w:b/>
                <w:sz w:val="20"/>
                <w:lang w:val="en-GB"/>
              </w:rPr>
            </w:pPr>
          </w:p>
        </w:tc>
        <w:tc>
          <w:tcPr>
            <w:tcW w:w="7090" w:type="dxa"/>
            <w:tcBorders>
              <w:top w:val="single" w:sz="4" w:space="0" w:color="auto"/>
              <w:bottom w:val="nil"/>
            </w:tcBorders>
          </w:tcPr>
          <w:p w14:paraId="43EEF157" w14:textId="77777777" w:rsidR="00A26B79" w:rsidRPr="00312DC2" w:rsidRDefault="00A26B79" w:rsidP="00CA7DDC">
            <w:pPr>
              <w:jc w:val="both"/>
              <w:rPr>
                <w:rFonts w:ascii="Arial" w:hAnsi="Arial" w:cs="Arial"/>
                <w:sz w:val="20"/>
                <w:lang w:val="en-GB"/>
              </w:rPr>
            </w:pPr>
          </w:p>
        </w:tc>
      </w:tr>
      <w:tr w:rsidR="005777F0" w:rsidRPr="00312DC2" w14:paraId="13CA8568" w14:textId="77777777" w:rsidTr="00916ED1">
        <w:tc>
          <w:tcPr>
            <w:tcW w:w="3510" w:type="dxa"/>
          </w:tcPr>
          <w:p w14:paraId="48DAB092" w14:textId="4504CC39" w:rsidR="005777F0" w:rsidRPr="00BE3FED" w:rsidRDefault="00BE3FED" w:rsidP="00BE3FED">
            <w:pPr>
              <w:pStyle w:val="ListParagraph"/>
              <w:numPr>
                <w:ilvl w:val="0"/>
                <w:numId w:val="3"/>
              </w:numPr>
              <w:rPr>
                <w:rFonts w:ascii="Arial" w:hAnsi="Arial" w:cs="Arial"/>
                <w:b/>
                <w:sz w:val="20"/>
                <w:u w:val="single"/>
                <w:lang w:val="en-GB"/>
              </w:rPr>
            </w:pPr>
            <w:r>
              <w:rPr>
                <w:rFonts w:ascii="Arial" w:hAnsi="Arial" w:cs="Arial"/>
                <w:b/>
                <w:sz w:val="20"/>
                <w:u w:val="single"/>
                <w:lang w:val="en-GB"/>
              </w:rPr>
              <w:t>Floating</w:t>
            </w:r>
            <w:r w:rsidRPr="00312DC2">
              <w:rPr>
                <w:rFonts w:ascii="Arial" w:hAnsi="Arial" w:cs="Arial"/>
                <w:b/>
                <w:sz w:val="20"/>
                <w:u w:val="single"/>
                <w:lang w:val="en-GB"/>
              </w:rPr>
              <w:t xml:space="preserve"> Amounts</w:t>
            </w:r>
          </w:p>
        </w:tc>
        <w:tc>
          <w:tcPr>
            <w:tcW w:w="7090" w:type="dxa"/>
          </w:tcPr>
          <w:p w14:paraId="08B49BD2" w14:textId="77777777" w:rsidR="005777F0" w:rsidRDefault="005777F0" w:rsidP="00CA7DDC">
            <w:pPr>
              <w:jc w:val="both"/>
              <w:rPr>
                <w:rFonts w:ascii="Arial" w:hAnsi="Arial" w:cs="Arial"/>
                <w:sz w:val="20"/>
                <w:lang w:val="en-GB"/>
              </w:rPr>
            </w:pPr>
          </w:p>
        </w:tc>
      </w:tr>
      <w:tr w:rsidR="001D0DBC" w:rsidRPr="00312DC2" w14:paraId="0FCB4D09" w14:textId="77777777" w:rsidTr="00916ED1">
        <w:tc>
          <w:tcPr>
            <w:tcW w:w="3510" w:type="dxa"/>
          </w:tcPr>
          <w:p w14:paraId="587F8726" w14:textId="77777777" w:rsidR="001D0DBC" w:rsidRDefault="001D0DBC" w:rsidP="00CA7DDC">
            <w:pPr>
              <w:rPr>
                <w:rFonts w:ascii="Arial" w:hAnsi="Arial" w:cs="Arial"/>
                <w:b/>
                <w:sz w:val="20"/>
                <w:lang w:val="en-GB"/>
              </w:rPr>
            </w:pPr>
          </w:p>
        </w:tc>
        <w:tc>
          <w:tcPr>
            <w:tcW w:w="7090" w:type="dxa"/>
          </w:tcPr>
          <w:p w14:paraId="2F70A734" w14:textId="77777777" w:rsidR="001D0DBC" w:rsidRDefault="001D0DBC" w:rsidP="00CA7DDC">
            <w:pPr>
              <w:jc w:val="both"/>
              <w:rPr>
                <w:rFonts w:ascii="Arial" w:hAnsi="Arial" w:cs="Arial"/>
                <w:sz w:val="20"/>
                <w:lang w:val="en-GB"/>
              </w:rPr>
            </w:pPr>
          </w:p>
        </w:tc>
      </w:tr>
      <w:tr w:rsidR="001E4C26" w:rsidRPr="00312DC2" w14:paraId="77C17B93" w14:textId="77777777" w:rsidTr="00916ED1">
        <w:tc>
          <w:tcPr>
            <w:tcW w:w="3510" w:type="dxa"/>
          </w:tcPr>
          <w:p w14:paraId="557DAFE5" w14:textId="3AC25BBC" w:rsidR="001E4C26" w:rsidRPr="00312DC2" w:rsidRDefault="00916ED1" w:rsidP="00CA7DDC">
            <w:pPr>
              <w:rPr>
                <w:rFonts w:ascii="Arial" w:hAnsi="Arial" w:cs="Arial"/>
                <w:b/>
                <w:sz w:val="20"/>
                <w:lang w:val="en-GB"/>
              </w:rPr>
            </w:pPr>
            <w:r>
              <w:rPr>
                <w:rFonts w:ascii="Arial" w:hAnsi="Arial" w:cs="Arial"/>
                <w:b/>
                <w:sz w:val="20"/>
                <w:lang w:val="en-GB"/>
              </w:rPr>
              <w:t>Floating Amount Payer:</w:t>
            </w:r>
          </w:p>
        </w:tc>
        <w:tc>
          <w:tcPr>
            <w:tcW w:w="7090" w:type="dxa"/>
          </w:tcPr>
          <w:p w14:paraId="51D1C6B9" w14:textId="4D460015" w:rsidR="001E4C26" w:rsidRPr="00312DC2" w:rsidRDefault="00916ED1" w:rsidP="00CA7DDC">
            <w:pPr>
              <w:jc w:val="both"/>
              <w:rPr>
                <w:rFonts w:ascii="Arial" w:hAnsi="Arial" w:cs="Arial"/>
                <w:sz w:val="20"/>
                <w:lang w:val="en-GB"/>
              </w:rPr>
            </w:pPr>
            <w:r>
              <w:rPr>
                <w:rFonts w:ascii="Arial" w:hAnsi="Arial" w:cs="Arial"/>
                <w:sz w:val="20"/>
                <w:lang w:val="en-GB"/>
              </w:rPr>
              <w:t>Party A</w:t>
            </w:r>
          </w:p>
        </w:tc>
      </w:tr>
      <w:tr w:rsidR="00916ED1" w:rsidRPr="00312DC2" w14:paraId="4A5E9463" w14:textId="77777777" w:rsidTr="00916ED1">
        <w:tc>
          <w:tcPr>
            <w:tcW w:w="3510" w:type="dxa"/>
          </w:tcPr>
          <w:p w14:paraId="714D1781" w14:textId="77777777" w:rsidR="00916ED1" w:rsidRPr="00312DC2" w:rsidRDefault="00916ED1" w:rsidP="00CA7DDC">
            <w:pPr>
              <w:rPr>
                <w:rFonts w:ascii="Arial" w:hAnsi="Arial" w:cs="Arial"/>
                <w:b/>
                <w:sz w:val="20"/>
                <w:lang w:val="en-GB"/>
              </w:rPr>
            </w:pPr>
          </w:p>
        </w:tc>
        <w:tc>
          <w:tcPr>
            <w:tcW w:w="7090" w:type="dxa"/>
          </w:tcPr>
          <w:p w14:paraId="358BAC52" w14:textId="77777777" w:rsidR="00916ED1" w:rsidRPr="00312DC2" w:rsidRDefault="00916ED1" w:rsidP="00CA7DDC">
            <w:pPr>
              <w:jc w:val="both"/>
              <w:rPr>
                <w:rFonts w:ascii="Arial" w:hAnsi="Arial" w:cs="Arial"/>
                <w:sz w:val="20"/>
                <w:lang w:val="en-GB"/>
              </w:rPr>
            </w:pPr>
          </w:p>
        </w:tc>
      </w:tr>
      <w:tr w:rsidR="00916ED1" w:rsidRPr="00312DC2" w14:paraId="41C75B27" w14:textId="77777777" w:rsidTr="00916ED1">
        <w:tc>
          <w:tcPr>
            <w:tcW w:w="3510" w:type="dxa"/>
          </w:tcPr>
          <w:p w14:paraId="6D3FD7CC" w14:textId="2848C114" w:rsidR="00916ED1" w:rsidRPr="00312DC2" w:rsidRDefault="00916ED1" w:rsidP="00CA7DDC">
            <w:pPr>
              <w:rPr>
                <w:rFonts w:ascii="Arial" w:hAnsi="Arial" w:cs="Arial"/>
                <w:b/>
                <w:sz w:val="20"/>
                <w:lang w:val="en-GB"/>
              </w:rPr>
            </w:pPr>
            <w:r>
              <w:rPr>
                <w:rFonts w:ascii="Arial" w:hAnsi="Arial" w:cs="Arial"/>
                <w:b/>
                <w:sz w:val="20"/>
                <w:lang w:val="en-GB"/>
              </w:rPr>
              <w:t>Floating Amount Receiver:</w:t>
            </w:r>
          </w:p>
        </w:tc>
        <w:tc>
          <w:tcPr>
            <w:tcW w:w="7090" w:type="dxa"/>
          </w:tcPr>
          <w:p w14:paraId="4546A226" w14:textId="117DF5BB" w:rsidR="00916ED1" w:rsidRPr="00312DC2" w:rsidRDefault="00916ED1" w:rsidP="00CA7DDC">
            <w:pPr>
              <w:jc w:val="both"/>
              <w:rPr>
                <w:rFonts w:ascii="Arial" w:hAnsi="Arial" w:cs="Arial"/>
                <w:sz w:val="20"/>
                <w:lang w:val="en-GB"/>
              </w:rPr>
            </w:pPr>
            <w:r>
              <w:rPr>
                <w:rFonts w:ascii="Arial" w:hAnsi="Arial" w:cs="Arial"/>
                <w:sz w:val="20"/>
                <w:lang w:val="en-GB"/>
              </w:rPr>
              <w:t>Party B</w:t>
            </w:r>
          </w:p>
        </w:tc>
      </w:tr>
      <w:tr w:rsidR="00916ED1" w:rsidRPr="00312DC2" w14:paraId="1BBE4370" w14:textId="77777777" w:rsidTr="00916ED1">
        <w:tc>
          <w:tcPr>
            <w:tcW w:w="3510" w:type="dxa"/>
          </w:tcPr>
          <w:p w14:paraId="1800CEB9" w14:textId="77777777" w:rsidR="00916ED1" w:rsidRPr="00312DC2" w:rsidRDefault="00916ED1" w:rsidP="00CA7DDC">
            <w:pPr>
              <w:rPr>
                <w:rFonts w:ascii="Arial" w:hAnsi="Arial" w:cs="Arial"/>
                <w:b/>
                <w:sz w:val="20"/>
                <w:lang w:val="en-GB"/>
              </w:rPr>
            </w:pPr>
          </w:p>
        </w:tc>
        <w:tc>
          <w:tcPr>
            <w:tcW w:w="7090" w:type="dxa"/>
          </w:tcPr>
          <w:p w14:paraId="720743BB" w14:textId="77777777" w:rsidR="00916ED1" w:rsidRPr="00312DC2" w:rsidRDefault="00916ED1" w:rsidP="00CA7DDC">
            <w:pPr>
              <w:jc w:val="both"/>
              <w:rPr>
                <w:rFonts w:ascii="Arial" w:hAnsi="Arial" w:cs="Arial"/>
                <w:sz w:val="20"/>
                <w:lang w:val="en-GB"/>
              </w:rPr>
            </w:pPr>
          </w:p>
        </w:tc>
      </w:tr>
      <w:tr w:rsidR="00916ED1" w:rsidRPr="00C658ED" w14:paraId="28B2C517" w14:textId="77777777" w:rsidTr="00916ED1">
        <w:tc>
          <w:tcPr>
            <w:tcW w:w="3510" w:type="dxa"/>
          </w:tcPr>
          <w:p w14:paraId="65B82354" w14:textId="0A23F44F" w:rsidR="00916ED1" w:rsidRPr="00312DC2" w:rsidRDefault="00916ED1" w:rsidP="00CA7DDC">
            <w:pPr>
              <w:rPr>
                <w:rFonts w:ascii="Arial" w:hAnsi="Arial" w:cs="Arial"/>
                <w:b/>
                <w:sz w:val="20"/>
                <w:lang w:val="en-GB"/>
              </w:rPr>
            </w:pPr>
            <w:r>
              <w:rPr>
                <w:rFonts w:ascii="Arial" w:hAnsi="Arial" w:cs="Arial"/>
                <w:b/>
                <w:sz w:val="20"/>
                <w:lang w:val="en-GB"/>
              </w:rPr>
              <w:t>Payment Date:</w:t>
            </w:r>
          </w:p>
        </w:tc>
        <w:tc>
          <w:tcPr>
            <w:tcW w:w="7090" w:type="dxa"/>
          </w:tcPr>
          <w:p w14:paraId="643036CA" w14:textId="0D23E65D" w:rsidR="00916ED1" w:rsidRPr="00312DC2" w:rsidRDefault="00916ED1" w:rsidP="00CA7DDC">
            <w:pPr>
              <w:jc w:val="both"/>
              <w:rPr>
                <w:rFonts w:ascii="Arial" w:hAnsi="Arial" w:cs="Arial"/>
                <w:sz w:val="20"/>
                <w:lang w:val="en-GB"/>
              </w:rPr>
            </w:pPr>
            <w:r>
              <w:rPr>
                <w:rFonts w:ascii="Arial" w:hAnsi="Arial" w:cs="Arial"/>
                <w:sz w:val="20"/>
                <w:lang w:val="en-GB"/>
              </w:rPr>
              <w:t>At the end of each Calculation Period, subject to postponement in accordance with the Following Business Day Convention.</w:t>
            </w:r>
          </w:p>
        </w:tc>
      </w:tr>
      <w:tr w:rsidR="00096D49" w:rsidRPr="00C658ED" w14:paraId="4A828029" w14:textId="77777777" w:rsidTr="00916ED1">
        <w:tc>
          <w:tcPr>
            <w:tcW w:w="3510" w:type="dxa"/>
          </w:tcPr>
          <w:p w14:paraId="2DE93BD1" w14:textId="77777777" w:rsidR="00096D49" w:rsidRDefault="00096D49" w:rsidP="00CA7DDC">
            <w:pPr>
              <w:rPr>
                <w:rFonts w:ascii="Arial" w:hAnsi="Arial" w:cs="Arial"/>
                <w:b/>
                <w:sz w:val="20"/>
                <w:lang w:val="en-GB"/>
              </w:rPr>
            </w:pPr>
          </w:p>
        </w:tc>
        <w:tc>
          <w:tcPr>
            <w:tcW w:w="7090" w:type="dxa"/>
          </w:tcPr>
          <w:p w14:paraId="67A89C56" w14:textId="77777777" w:rsidR="00096D49" w:rsidRDefault="00096D49" w:rsidP="00CA7DDC">
            <w:pPr>
              <w:jc w:val="both"/>
              <w:rPr>
                <w:rFonts w:ascii="Arial" w:hAnsi="Arial" w:cs="Arial"/>
                <w:sz w:val="20"/>
                <w:lang w:val="en-GB"/>
              </w:rPr>
            </w:pPr>
          </w:p>
        </w:tc>
      </w:tr>
      <w:tr w:rsidR="00916ED1" w:rsidRPr="00312DC2" w14:paraId="781EEA7B" w14:textId="77777777" w:rsidTr="00CB0C20">
        <w:tc>
          <w:tcPr>
            <w:tcW w:w="3510" w:type="dxa"/>
            <w:tcBorders>
              <w:bottom w:val="nil"/>
            </w:tcBorders>
          </w:tcPr>
          <w:p w14:paraId="7210BC2A" w14:textId="3CF12F76" w:rsidR="00916ED1" w:rsidRPr="00312DC2" w:rsidRDefault="00096D49" w:rsidP="00CA7DDC">
            <w:pPr>
              <w:rPr>
                <w:rFonts w:ascii="Arial" w:hAnsi="Arial" w:cs="Arial"/>
                <w:b/>
                <w:sz w:val="20"/>
                <w:lang w:val="en-GB"/>
              </w:rPr>
            </w:pPr>
            <w:r>
              <w:rPr>
                <w:rFonts w:ascii="Arial" w:hAnsi="Arial" w:cs="Arial"/>
                <w:b/>
                <w:sz w:val="20"/>
                <w:lang w:val="en-GB"/>
              </w:rPr>
              <w:t>Floating Amount:</w:t>
            </w:r>
          </w:p>
        </w:tc>
        <w:tc>
          <w:tcPr>
            <w:tcW w:w="7090" w:type="dxa"/>
            <w:tcBorders>
              <w:bottom w:val="nil"/>
            </w:tcBorders>
          </w:tcPr>
          <w:p w14:paraId="070F7C44" w14:textId="50D08ADE" w:rsidR="00916ED1" w:rsidRPr="00096D49" w:rsidRDefault="00096D49" w:rsidP="00CA7DDC">
            <w:pPr>
              <w:jc w:val="both"/>
              <w:rPr>
                <w:rFonts w:ascii="Arial" w:hAnsi="Arial" w:cs="Arial"/>
                <w:sz w:val="20"/>
                <w:lang w:val="en-GB"/>
              </w:rPr>
            </w:pPr>
            <m:oMathPara>
              <m:oMathParaPr>
                <m:jc m:val="left"/>
              </m:oMathParaPr>
              <m:oMath>
                <m:r>
                  <m:rPr>
                    <m:sty m:val="b"/>
                  </m:rPr>
                  <w:rPr>
                    <w:rFonts w:ascii="Cambria Math" w:hAnsi="Cambria Math" w:cs="Arial"/>
                    <w:sz w:val="18"/>
                    <w:lang w:val="en-GB"/>
                  </w:rPr>
                  <m:t xml:space="preserve">Floating Amount=Notional Amount x </m:t>
                </m:r>
                <m:d>
                  <m:dPr>
                    <m:begChr m:val="["/>
                    <m:endChr m:val="]"/>
                    <m:ctrlPr>
                      <w:rPr>
                        <w:rFonts w:ascii="Cambria Math" w:hAnsi="Cambria Math" w:cs="Arial"/>
                        <w:b/>
                        <w:sz w:val="18"/>
                        <w:lang w:val="en-GB"/>
                      </w:rPr>
                    </m:ctrlPr>
                  </m:dPr>
                  <m:e>
                    <m:nary>
                      <m:naryPr>
                        <m:chr m:val="∑"/>
                        <m:limLoc m:val="undOvr"/>
                        <m:ctrlPr>
                          <w:rPr>
                            <w:rFonts w:ascii="Cambria Math" w:hAnsi="Cambria Math" w:cs="Arial"/>
                            <w:b/>
                            <w:sz w:val="18"/>
                            <w:lang w:val="en-GB"/>
                          </w:rPr>
                        </m:ctrlPr>
                      </m:naryPr>
                      <m:sub>
                        <m:r>
                          <m:rPr>
                            <m:sty m:val="b"/>
                          </m:rPr>
                          <w:rPr>
                            <w:rFonts w:ascii="Cambria Math" w:hAnsi="Cambria Math" w:cs="Arial"/>
                            <w:sz w:val="18"/>
                            <w:lang w:val="en-GB"/>
                          </w:rPr>
                          <m:t>j=DD</m:t>
                        </m:r>
                      </m:sub>
                      <m:sup>
                        <m:r>
                          <m:rPr>
                            <m:sty m:val="b"/>
                          </m:rPr>
                          <w:rPr>
                            <w:rFonts w:ascii="Cambria Math" w:hAnsi="Cambria Math" w:cs="Arial"/>
                            <w:sz w:val="18"/>
                            <w:lang w:val="en-GB"/>
                          </w:rPr>
                          <m:t>j=T</m:t>
                        </m:r>
                      </m:sup>
                      <m:e>
                        <m:d>
                          <m:dPr>
                            <m:ctrlPr>
                              <w:rPr>
                                <w:rFonts w:ascii="Cambria Math" w:hAnsi="Cambria Math" w:cs="Arial"/>
                                <w:b/>
                                <w:sz w:val="18"/>
                                <w:lang w:val="en-GB"/>
                              </w:rPr>
                            </m:ctrlPr>
                          </m:dPr>
                          <m:e>
                            <m:r>
                              <m:rPr>
                                <m:sty m:val="b"/>
                              </m:rPr>
                              <w:rPr>
                                <w:rFonts w:ascii="Cambria Math" w:hAnsi="Cambria Math" w:cs="Arial"/>
                                <w:sz w:val="18"/>
                                <w:lang w:val="en-GB"/>
                              </w:rPr>
                              <m:t>Eonia</m:t>
                            </m:r>
                            <m:d>
                              <m:dPr>
                                <m:ctrlPr>
                                  <w:rPr>
                                    <w:rFonts w:ascii="Cambria Math" w:hAnsi="Cambria Math" w:cs="Arial"/>
                                    <w:b/>
                                    <w:sz w:val="18"/>
                                    <w:lang w:val="en-GB"/>
                                  </w:rPr>
                                </m:ctrlPr>
                              </m:dPr>
                              <m:e>
                                <m:r>
                                  <m:rPr>
                                    <m:sty m:val="b"/>
                                  </m:rPr>
                                  <w:rPr>
                                    <w:rFonts w:ascii="Cambria Math" w:hAnsi="Cambria Math" w:cs="Arial"/>
                                    <w:sz w:val="18"/>
                                    <w:lang w:val="en-GB"/>
                                  </w:rPr>
                                  <m:t>j</m:t>
                                </m:r>
                              </m:e>
                            </m:d>
                            <m:r>
                              <m:rPr>
                                <m:sty m:val="b"/>
                              </m:rPr>
                              <w:rPr>
                                <w:rFonts w:ascii="Cambria Math" w:hAnsi="Cambria Math" w:cs="Arial"/>
                                <w:sz w:val="18"/>
                                <w:lang w:val="en-GB"/>
                              </w:rPr>
                              <m:t>+Spread</m:t>
                            </m:r>
                          </m:e>
                        </m:d>
                        <m:r>
                          <m:rPr>
                            <m:sty m:val="b"/>
                          </m:rPr>
                          <w:rPr>
                            <w:rFonts w:ascii="Cambria Math" w:hAnsi="Cambria Math" w:cs="Arial"/>
                            <w:sz w:val="18"/>
                            <w:lang w:val="en-GB"/>
                          </w:rPr>
                          <m:t xml:space="preserve"> x </m:t>
                        </m:r>
                        <m:f>
                          <m:fPr>
                            <m:ctrlPr>
                              <w:rPr>
                                <w:rFonts w:ascii="Cambria Math" w:hAnsi="Cambria Math" w:cs="Arial"/>
                                <w:b/>
                                <w:sz w:val="18"/>
                                <w:lang w:val="en-GB"/>
                              </w:rPr>
                            </m:ctrlPr>
                          </m:fPr>
                          <m:num>
                            <m:r>
                              <m:rPr>
                                <m:sty m:val="b"/>
                              </m:rPr>
                              <w:rPr>
                                <w:rFonts w:ascii="Cambria Math" w:hAnsi="Cambria Math" w:cs="Arial"/>
                                <w:sz w:val="18"/>
                                <w:lang w:val="en-GB"/>
                              </w:rPr>
                              <m:t>Nbd(j;j+1)</m:t>
                            </m:r>
                          </m:num>
                          <m:den>
                            <m:r>
                              <m:rPr>
                                <m:sty m:val="b"/>
                              </m:rPr>
                              <w:rPr>
                                <w:rFonts w:ascii="Cambria Math" w:hAnsi="Cambria Math" w:cs="Arial"/>
                                <w:sz w:val="18"/>
                                <w:lang w:val="en-GB"/>
                              </w:rPr>
                              <m:t>365</m:t>
                            </m:r>
                          </m:den>
                        </m:f>
                      </m:e>
                    </m:nary>
                  </m:e>
                </m:d>
              </m:oMath>
            </m:oMathPara>
          </w:p>
        </w:tc>
      </w:tr>
      <w:tr w:rsidR="00096D49" w:rsidRPr="00C658ED" w14:paraId="7B5CEF78" w14:textId="77777777" w:rsidTr="00CB0C20">
        <w:tc>
          <w:tcPr>
            <w:tcW w:w="3510" w:type="dxa"/>
            <w:tcBorders>
              <w:bottom w:val="nil"/>
            </w:tcBorders>
          </w:tcPr>
          <w:p w14:paraId="118F8840" w14:textId="77777777" w:rsidR="00096D49" w:rsidRDefault="00096D49" w:rsidP="00CA7DDC">
            <w:pPr>
              <w:rPr>
                <w:rFonts w:ascii="Arial" w:hAnsi="Arial" w:cs="Arial"/>
                <w:b/>
                <w:sz w:val="20"/>
                <w:lang w:val="en-GB"/>
              </w:rPr>
            </w:pPr>
          </w:p>
        </w:tc>
        <w:tc>
          <w:tcPr>
            <w:tcW w:w="7090" w:type="dxa"/>
            <w:tcBorders>
              <w:bottom w:val="nil"/>
            </w:tcBorders>
          </w:tcPr>
          <w:p w14:paraId="4EC59D21" w14:textId="77777777" w:rsidR="00096D49" w:rsidRDefault="00096D49" w:rsidP="00CA7DDC">
            <w:pPr>
              <w:jc w:val="both"/>
              <w:rPr>
                <w:rFonts w:ascii="Arial" w:eastAsia="MS Mincho" w:hAnsi="Arial" w:cs="Arial"/>
                <w:sz w:val="20"/>
                <w:lang w:val="en-GB"/>
              </w:rPr>
            </w:pPr>
            <w:r w:rsidRPr="00096D49">
              <w:rPr>
                <w:rFonts w:ascii="Arial" w:eastAsia="MS Mincho" w:hAnsi="Arial" w:cs="Arial"/>
                <w:sz w:val="20"/>
                <w:lang w:val="en-GB"/>
              </w:rPr>
              <w:t>Where</w:t>
            </w:r>
            <w:r>
              <w:rPr>
                <w:rFonts w:ascii="Arial" w:eastAsia="MS Mincho" w:hAnsi="Arial" w:cs="Arial"/>
                <w:sz w:val="20"/>
                <w:lang w:val="en-GB"/>
              </w:rPr>
              <w:t>:</w:t>
            </w:r>
          </w:p>
          <w:p w14:paraId="1C043494" w14:textId="77777777" w:rsidR="00096D49" w:rsidRDefault="00096D49" w:rsidP="00CA7DDC">
            <w:pPr>
              <w:jc w:val="both"/>
              <w:rPr>
                <w:rFonts w:ascii="Arial" w:eastAsia="MS Mincho" w:hAnsi="Arial" w:cs="Arial"/>
                <w:sz w:val="18"/>
                <w:lang w:val="en-GB"/>
              </w:rPr>
            </w:pPr>
          </w:p>
          <w:p w14:paraId="6861CE4E" w14:textId="77777777" w:rsidR="00096D49" w:rsidRPr="00676D8C" w:rsidRDefault="00096D49" w:rsidP="00096D49">
            <w:pPr>
              <w:jc w:val="both"/>
              <w:rPr>
                <w:rFonts w:ascii="Arial" w:hAnsi="Arial" w:cs="Arial"/>
                <w:sz w:val="20"/>
                <w:lang w:val="en-GB"/>
              </w:rPr>
            </w:pPr>
            <w:r w:rsidRPr="00676D8C">
              <w:rPr>
                <w:rFonts w:ascii="Arial" w:hAnsi="Arial" w:cs="Arial"/>
                <w:b/>
                <w:sz w:val="20"/>
                <w:lang w:val="en-GB"/>
              </w:rPr>
              <w:t>J</w:t>
            </w:r>
            <w:r w:rsidRPr="00676D8C">
              <w:rPr>
                <w:rFonts w:ascii="Arial" w:hAnsi="Arial" w:cs="Arial"/>
                <w:sz w:val="20"/>
                <w:lang w:val="en-GB"/>
              </w:rPr>
              <w:t xml:space="preserve">: means each Fund Business Day comprised </w:t>
            </w:r>
            <w:r>
              <w:rPr>
                <w:rFonts w:ascii="Arial" w:hAnsi="Arial" w:cs="Arial"/>
                <w:sz w:val="20"/>
                <w:lang w:val="en-GB"/>
              </w:rPr>
              <w:t>in the Calculation Period.</w:t>
            </w:r>
          </w:p>
          <w:p w14:paraId="0B347D8D" w14:textId="77777777" w:rsidR="00096D49" w:rsidRDefault="00096D49" w:rsidP="00096D49">
            <w:pPr>
              <w:jc w:val="both"/>
              <w:rPr>
                <w:rFonts w:ascii="Arial" w:hAnsi="Arial" w:cs="Arial"/>
                <w:sz w:val="20"/>
                <w:lang w:val="en-GB"/>
              </w:rPr>
            </w:pPr>
            <w:proofErr w:type="spellStart"/>
            <w:r>
              <w:rPr>
                <w:rFonts w:ascii="Arial" w:hAnsi="Arial" w:cs="Arial"/>
                <w:b/>
                <w:sz w:val="20"/>
                <w:lang w:val="en-GB"/>
              </w:rPr>
              <w:t>Eonia</w:t>
            </w:r>
            <w:proofErr w:type="spellEnd"/>
            <w:r>
              <w:rPr>
                <w:rFonts w:ascii="Arial" w:hAnsi="Arial" w:cs="Arial"/>
                <w:b/>
                <w:sz w:val="20"/>
                <w:lang w:val="en-GB"/>
              </w:rPr>
              <w:t xml:space="preserve"> (j)</w:t>
            </w:r>
            <w:r>
              <w:rPr>
                <w:rFonts w:ascii="Arial" w:hAnsi="Arial" w:cs="Arial"/>
                <w:sz w:val="20"/>
                <w:lang w:val="en-GB"/>
              </w:rPr>
              <w:t>: m</w:t>
            </w:r>
            <w:r w:rsidRPr="00676D8C">
              <w:rPr>
                <w:rFonts w:ascii="Arial" w:hAnsi="Arial" w:cs="Arial"/>
                <w:sz w:val="20"/>
                <w:lang w:val="en-GB"/>
              </w:rPr>
              <w:t>eans</w:t>
            </w:r>
            <w:r>
              <w:rPr>
                <w:rFonts w:ascii="Arial" w:hAnsi="Arial" w:cs="Arial"/>
                <w:sz w:val="20"/>
                <w:lang w:val="en-GB"/>
              </w:rPr>
              <w:t xml:space="preserve">, for each Business Day (j), the Euro </w:t>
            </w:r>
            <w:proofErr w:type="spellStart"/>
            <w:r>
              <w:rPr>
                <w:rFonts w:ascii="Arial" w:hAnsi="Arial" w:cs="Arial"/>
                <w:sz w:val="20"/>
                <w:lang w:val="en-GB"/>
              </w:rPr>
              <w:t>OverNight</w:t>
            </w:r>
            <w:proofErr w:type="spellEnd"/>
            <w:r>
              <w:rPr>
                <w:rFonts w:ascii="Arial" w:hAnsi="Arial" w:cs="Arial"/>
                <w:sz w:val="20"/>
                <w:lang w:val="en-GB"/>
              </w:rPr>
              <w:t xml:space="preserve"> Index Average applicable to the Fund Business Day (j), as published for each Fund Business Day (j) on Reuters Page “EONIA”, at the latest before 7 pm, Brussels Time. In addition, EONIA (j) fixed on a Fund Business Day (j) will be applicable to that day and to each of the following calendar days which are not Fund Business Days.</w:t>
            </w:r>
          </w:p>
          <w:p w14:paraId="4A6AB98B" w14:textId="375BD6F7" w:rsidR="00096D49" w:rsidRPr="00096D49" w:rsidRDefault="00096D49" w:rsidP="00096D49">
            <w:pPr>
              <w:jc w:val="both"/>
              <w:rPr>
                <w:rFonts w:ascii="Arial" w:eastAsia="MS Mincho" w:hAnsi="Arial" w:cs="Arial"/>
                <w:sz w:val="18"/>
                <w:lang w:val="en-GB"/>
              </w:rPr>
            </w:pPr>
          </w:p>
        </w:tc>
      </w:tr>
      <w:tr w:rsidR="00916ED1" w:rsidRPr="00C658ED" w14:paraId="7DB3CCD4" w14:textId="77777777" w:rsidTr="00CB0C20">
        <w:trPr>
          <w:trHeight w:val="3147"/>
        </w:trPr>
        <w:tc>
          <w:tcPr>
            <w:tcW w:w="3510" w:type="dxa"/>
            <w:tcBorders>
              <w:bottom w:val="nil"/>
            </w:tcBorders>
          </w:tcPr>
          <w:p w14:paraId="55167036" w14:textId="0E29CBB0" w:rsidR="00916ED1" w:rsidRPr="00312DC2" w:rsidRDefault="00916ED1" w:rsidP="00CA7DDC">
            <w:pPr>
              <w:rPr>
                <w:rFonts w:ascii="Arial" w:hAnsi="Arial" w:cs="Arial"/>
                <w:b/>
                <w:sz w:val="20"/>
                <w:lang w:val="en-GB"/>
              </w:rPr>
            </w:pPr>
          </w:p>
        </w:tc>
        <w:tc>
          <w:tcPr>
            <w:tcW w:w="7090" w:type="dxa"/>
            <w:tcBorders>
              <w:bottom w:val="nil"/>
            </w:tcBorders>
          </w:tcPr>
          <w:p w14:paraId="5933B5DC" w14:textId="77777777" w:rsidR="00E72998" w:rsidRDefault="00E72998" w:rsidP="00B10240">
            <w:pPr>
              <w:jc w:val="both"/>
              <w:rPr>
                <w:rFonts w:ascii="Arial" w:hAnsi="Arial" w:cs="Arial"/>
                <w:sz w:val="20"/>
                <w:lang w:val="en-GB"/>
              </w:rPr>
            </w:pPr>
            <w:r w:rsidRPr="00E72998">
              <w:rPr>
                <w:rFonts w:ascii="Arial" w:hAnsi="Arial" w:cs="Arial"/>
                <w:b/>
                <w:sz w:val="20"/>
                <w:highlight w:val="yellow"/>
                <w:lang w:val="en-GB"/>
              </w:rPr>
              <w:t>Spread</w:t>
            </w:r>
            <w:r w:rsidRPr="00E72998">
              <w:rPr>
                <w:rFonts w:ascii="Arial" w:hAnsi="Arial" w:cs="Arial"/>
                <w:sz w:val="20"/>
                <w:highlight w:val="yellow"/>
                <w:lang w:val="en-GB"/>
              </w:rPr>
              <w:t xml:space="preserve"> = 0,27%</w:t>
            </w:r>
            <w:r>
              <w:rPr>
                <w:rFonts w:ascii="Arial" w:hAnsi="Arial" w:cs="Arial"/>
                <w:sz w:val="20"/>
                <w:lang w:val="en-GB"/>
              </w:rPr>
              <w:t>, subject to Spread Adjustment, with respect to any Calculation Period.</w:t>
            </w:r>
          </w:p>
          <w:p w14:paraId="44D30A91" w14:textId="5B135130" w:rsidR="00CB0C20" w:rsidRDefault="00CB0C20" w:rsidP="00B10240">
            <w:pPr>
              <w:jc w:val="both"/>
              <w:rPr>
                <w:rFonts w:ascii="Arial" w:hAnsi="Arial" w:cs="Arial"/>
                <w:sz w:val="20"/>
                <w:lang w:val="en-GB"/>
              </w:rPr>
            </w:pPr>
            <w:r w:rsidRPr="00CB0C20">
              <w:rPr>
                <w:rFonts w:ascii="Arial" w:hAnsi="Arial" w:cs="Arial"/>
                <w:b/>
                <w:sz w:val="20"/>
                <w:lang w:val="en-GB"/>
              </w:rPr>
              <w:t>Spread Adjustment</w:t>
            </w:r>
            <w:r>
              <w:rPr>
                <w:rFonts w:ascii="Arial" w:hAnsi="Arial" w:cs="Arial"/>
                <w:sz w:val="20"/>
                <w:lang w:val="en-GB"/>
              </w:rPr>
              <w:t xml:space="preserve">: Party A and Party B agree that </w:t>
            </w:r>
            <w:r w:rsidR="00FE1420">
              <w:rPr>
                <w:rFonts w:ascii="Arial" w:hAnsi="Arial" w:cs="Arial"/>
                <w:sz w:val="20"/>
                <w:lang w:val="en-GB"/>
              </w:rPr>
              <w:t xml:space="preserve">they might from time to time agree (by using the amendment form </w:t>
            </w:r>
            <w:r w:rsidR="00EA594E">
              <w:rPr>
                <w:rFonts w:ascii="Arial" w:hAnsi="Arial" w:cs="Arial"/>
                <w:sz w:val="20"/>
                <w:lang w:val="en-GB"/>
              </w:rPr>
              <w:t>attached</w:t>
            </w:r>
            <w:r w:rsidR="0005506A">
              <w:rPr>
                <w:rFonts w:ascii="Arial" w:hAnsi="Arial" w:cs="Arial"/>
                <w:sz w:val="20"/>
                <w:lang w:val="en-GB"/>
              </w:rPr>
              <w:t xml:space="preserve"> hereto as Annex 7), with respect to the Calculation Period immediately following the then current Calculation Period on an adju</w:t>
            </w:r>
            <w:r w:rsidR="00160CE3">
              <w:rPr>
                <w:rFonts w:ascii="Arial" w:hAnsi="Arial" w:cs="Arial"/>
                <w:sz w:val="20"/>
                <w:lang w:val="en-GB"/>
              </w:rPr>
              <w:t>sted level of Spread</w:t>
            </w:r>
            <w:r w:rsidR="0005506A">
              <w:rPr>
                <w:rFonts w:ascii="Arial" w:hAnsi="Arial" w:cs="Arial"/>
                <w:sz w:val="20"/>
                <w:lang w:val="en-GB"/>
              </w:rPr>
              <w:t>, in order to take into account significant ch</w:t>
            </w:r>
            <w:r w:rsidR="00160CE3">
              <w:rPr>
                <w:rFonts w:ascii="Arial" w:hAnsi="Arial" w:cs="Arial"/>
                <w:sz w:val="20"/>
                <w:lang w:val="en-GB"/>
              </w:rPr>
              <w:t>anges in the short term repo mar</w:t>
            </w:r>
            <w:r w:rsidR="0005506A">
              <w:rPr>
                <w:rFonts w:ascii="Arial" w:hAnsi="Arial" w:cs="Arial"/>
                <w:sz w:val="20"/>
                <w:lang w:val="en-GB"/>
              </w:rPr>
              <w:t>ket on stocks.</w:t>
            </w:r>
          </w:p>
          <w:p w14:paraId="0F1E78CE" w14:textId="77777777" w:rsidR="0005506A" w:rsidRDefault="0005506A" w:rsidP="00B10240">
            <w:pPr>
              <w:jc w:val="both"/>
              <w:rPr>
                <w:rFonts w:ascii="Arial" w:hAnsi="Arial" w:cs="Arial"/>
                <w:sz w:val="20"/>
                <w:lang w:val="en-GB"/>
              </w:rPr>
            </w:pPr>
            <w:r w:rsidRPr="0005506A">
              <w:rPr>
                <w:rFonts w:ascii="Arial" w:hAnsi="Arial" w:cs="Arial"/>
                <w:b/>
                <w:sz w:val="20"/>
                <w:lang w:val="en-GB"/>
              </w:rPr>
              <w:t>DD</w:t>
            </w:r>
            <w:r>
              <w:rPr>
                <w:rFonts w:ascii="Arial" w:hAnsi="Arial" w:cs="Arial"/>
                <w:sz w:val="20"/>
                <w:lang w:val="en-GB"/>
              </w:rPr>
              <w:t xml:space="preserve">: </w:t>
            </w:r>
            <w:r w:rsidR="00160CE3">
              <w:rPr>
                <w:rFonts w:ascii="Arial" w:hAnsi="Arial" w:cs="Arial"/>
                <w:sz w:val="20"/>
                <w:lang w:val="en-GB"/>
              </w:rPr>
              <w:t>means the first Fund Business Day of the Calculation Period, where EONIA (j) is calculated and published.</w:t>
            </w:r>
          </w:p>
          <w:p w14:paraId="1BFC186D" w14:textId="77777777" w:rsidR="00160CE3" w:rsidRDefault="00160CE3" w:rsidP="00B10240">
            <w:pPr>
              <w:jc w:val="both"/>
              <w:rPr>
                <w:rFonts w:ascii="Arial" w:hAnsi="Arial" w:cs="Arial"/>
                <w:sz w:val="20"/>
                <w:lang w:val="en-GB"/>
              </w:rPr>
            </w:pPr>
            <w:r w:rsidRPr="00160CE3">
              <w:rPr>
                <w:rFonts w:ascii="Arial" w:hAnsi="Arial" w:cs="Arial"/>
                <w:b/>
                <w:sz w:val="20"/>
                <w:lang w:val="en-GB"/>
              </w:rPr>
              <w:t>Calculation Period</w:t>
            </w:r>
            <w:r>
              <w:rPr>
                <w:rFonts w:ascii="Arial" w:hAnsi="Arial" w:cs="Arial"/>
                <w:sz w:val="20"/>
                <w:lang w:val="en-GB"/>
              </w:rPr>
              <w:t>: means each quarterly period be</w:t>
            </w:r>
            <w:r w:rsidR="00074087">
              <w:rPr>
                <w:rFonts w:ascii="Arial" w:hAnsi="Arial" w:cs="Arial"/>
                <w:sz w:val="20"/>
                <w:lang w:val="en-GB"/>
              </w:rPr>
              <w:t xml:space="preserve">ginning respectively on </w:t>
            </w:r>
            <w:r w:rsidR="00074087" w:rsidRPr="00074087">
              <w:rPr>
                <w:rFonts w:ascii="Arial" w:hAnsi="Arial" w:cs="Arial"/>
                <w:sz w:val="20"/>
                <w:highlight w:val="yellow"/>
                <w:lang w:val="en-GB"/>
              </w:rPr>
              <w:t>March 26, June 26, September 26</w:t>
            </w:r>
            <w:r w:rsidRPr="00074087">
              <w:rPr>
                <w:rFonts w:ascii="Arial" w:hAnsi="Arial" w:cs="Arial"/>
                <w:sz w:val="20"/>
                <w:highlight w:val="yellow"/>
                <w:lang w:val="en-GB"/>
              </w:rPr>
              <w:t xml:space="preserve">, </w:t>
            </w:r>
            <w:r w:rsidR="00074087" w:rsidRPr="00074087">
              <w:rPr>
                <w:rFonts w:ascii="Arial" w:hAnsi="Arial" w:cs="Arial"/>
                <w:sz w:val="20"/>
                <w:highlight w:val="yellow"/>
                <w:lang w:val="en-GB"/>
              </w:rPr>
              <w:t>December 26</w:t>
            </w:r>
            <w:r w:rsidR="00074087">
              <w:rPr>
                <w:rFonts w:ascii="Arial" w:hAnsi="Arial" w:cs="Arial"/>
                <w:sz w:val="20"/>
                <w:lang w:val="en-GB"/>
              </w:rPr>
              <w:t xml:space="preserve"> (all those dates excluded) and ending respectively on </w:t>
            </w:r>
            <w:r w:rsidR="00074087" w:rsidRPr="00074087">
              <w:rPr>
                <w:rFonts w:ascii="Arial" w:hAnsi="Arial" w:cs="Arial"/>
                <w:sz w:val="20"/>
                <w:highlight w:val="yellow"/>
                <w:lang w:val="en-GB"/>
              </w:rPr>
              <w:t>June 26, Septemb</w:t>
            </w:r>
            <w:r w:rsidR="00074087">
              <w:rPr>
                <w:rFonts w:ascii="Arial" w:hAnsi="Arial" w:cs="Arial"/>
                <w:sz w:val="20"/>
                <w:highlight w:val="yellow"/>
                <w:lang w:val="en-GB"/>
              </w:rPr>
              <w:t>er 26, December 26, and March 27</w:t>
            </w:r>
            <w:r w:rsidR="00074087">
              <w:rPr>
                <w:rFonts w:ascii="Arial" w:hAnsi="Arial" w:cs="Arial"/>
                <w:sz w:val="20"/>
                <w:lang w:val="en-GB"/>
              </w:rPr>
              <w:t xml:space="preserve"> (all those dates included) between the Effective Date and the Termination Date, with the exception of the first Calculation Period which begins on the Effective Date (excluded) and the last Calculation Period which ends on the Termination Date (included).</w:t>
            </w:r>
          </w:p>
          <w:p w14:paraId="58DBA773" w14:textId="3B6A45E5" w:rsidR="00074087" w:rsidRPr="00676D8C" w:rsidRDefault="00074087" w:rsidP="00B10240">
            <w:pPr>
              <w:jc w:val="both"/>
              <w:rPr>
                <w:rFonts w:ascii="Arial" w:hAnsi="Arial" w:cs="Arial"/>
                <w:b/>
                <w:sz w:val="20"/>
                <w:lang w:val="en-GB"/>
              </w:rPr>
            </w:pPr>
            <w:proofErr w:type="spellStart"/>
            <w:r>
              <w:rPr>
                <w:rFonts w:ascii="Arial" w:hAnsi="Arial" w:cs="Arial"/>
                <w:b/>
                <w:sz w:val="20"/>
                <w:lang w:val="en-GB"/>
              </w:rPr>
              <w:t>Nbd</w:t>
            </w:r>
            <w:proofErr w:type="spellEnd"/>
            <w:r>
              <w:rPr>
                <w:rFonts w:ascii="Arial" w:hAnsi="Arial" w:cs="Arial"/>
                <w:b/>
                <w:sz w:val="20"/>
                <w:lang w:val="en-GB"/>
              </w:rPr>
              <w:t xml:space="preserve"> (j ;</w:t>
            </w:r>
            <w:r w:rsidRPr="00074087">
              <w:rPr>
                <w:rFonts w:ascii="Arial" w:hAnsi="Arial" w:cs="Arial"/>
                <w:b/>
                <w:sz w:val="20"/>
                <w:lang w:val="en-GB"/>
              </w:rPr>
              <w:t xml:space="preserve"> j+1)</w:t>
            </w:r>
            <w:r>
              <w:rPr>
                <w:rFonts w:ascii="Arial" w:hAnsi="Arial" w:cs="Arial"/>
                <w:sz w:val="20"/>
                <w:lang w:val="en-GB"/>
              </w:rPr>
              <w:t>: means the number of calendar days comprised between a Fund Business Day (j) (included) and a Fund Business Day (j+1) (excluded).</w:t>
            </w:r>
          </w:p>
        </w:tc>
      </w:tr>
      <w:tr w:rsidR="00916ED1" w:rsidRPr="00C658ED" w14:paraId="7CFF5FAE" w14:textId="77777777" w:rsidTr="00CB0C20">
        <w:tc>
          <w:tcPr>
            <w:tcW w:w="3510" w:type="dxa"/>
            <w:tcBorders>
              <w:bottom w:val="nil"/>
            </w:tcBorders>
          </w:tcPr>
          <w:p w14:paraId="75C5C9FD" w14:textId="3141CFC3" w:rsidR="00916ED1" w:rsidRPr="00312DC2" w:rsidRDefault="00916ED1" w:rsidP="00CA7DDC">
            <w:pPr>
              <w:rPr>
                <w:rFonts w:ascii="Arial" w:hAnsi="Arial" w:cs="Arial"/>
                <w:b/>
                <w:sz w:val="20"/>
                <w:lang w:val="en-GB"/>
              </w:rPr>
            </w:pPr>
          </w:p>
        </w:tc>
        <w:tc>
          <w:tcPr>
            <w:tcW w:w="7090" w:type="dxa"/>
            <w:tcBorders>
              <w:bottom w:val="nil"/>
            </w:tcBorders>
          </w:tcPr>
          <w:p w14:paraId="3FE2DB2F" w14:textId="77777777" w:rsidR="00916ED1" w:rsidRPr="00312DC2" w:rsidRDefault="00916ED1" w:rsidP="00CA7DDC">
            <w:pPr>
              <w:jc w:val="both"/>
              <w:rPr>
                <w:rFonts w:ascii="Arial" w:hAnsi="Arial" w:cs="Arial"/>
                <w:sz w:val="20"/>
                <w:lang w:val="en-GB"/>
              </w:rPr>
            </w:pPr>
          </w:p>
        </w:tc>
      </w:tr>
      <w:tr w:rsidR="00916ED1" w:rsidRPr="00312DC2" w14:paraId="611AB87F" w14:textId="77777777" w:rsidTr="00CB0C20">
        <w:tc>
          <w:tcPr>
            <w:tcW w:w="3510" w:type="dxa"/>
            <w:tcBorders>
              <w:top w:val="nil"/>
            </w:tcBorders>
          </w:tcPr>
          <w:p w14:paraId="6C068C98" w14:textId="6E7416F9" w:rsidR="00916ED1" w:rsidRPr="00312DC2" w:rsidRDefault="00784E1D" w:rsidP="00CA7DDC">
            <w:pPr>
              <w:rPr>
                <w:rFonts w:ascii="Arial" w:hAnsi="Arial" w:cs="Arial"/>
                <w:b/>
                <w:sz w:val="20"/>
                <w:lang w:val="en-GB"/>
              </w:rPr>
            </w:pPr>
            <w:r>
              <w:rPr>
                <w:rFonts w:ascii="Arial" w:hAnsi="Arial" w:cs="Arial"/>
                <w:b/>
                <w:sz w:val="20"/>
                <w:lang w:val="en-GB"/>
              </w:rPr>
              <w:t>Reset Dates:</w:t>
            </w:r>
          </w:p>
        </w:tc>
        <w:tc>
          <w:tcPr>
            <w:tcW w:w="7090" w:type="dxa"/>
            <w:tcBorders>
              <w:top w:val="nil"/>
            </w:tcBorders>
          </w:tcPr>
          <w:p w14:paraId="524CA31F" w14:textId="76A243A4" w:rsidR="00916ED1" w:rsidRPr="00312DC2" w:rsidRDefault="00784E1D" w:rsidP="00CA7DDC">
            <w:pPr>
              <w:jc w:val="both"/>
              <w:rPr>
                <w:rFonts w:ascii="Arial" w:hAnsi="Arial" w:cs="Arial"/>
                <w:sz w:val="20"/>
                <w:lang w:val="en-GB"/>
              </w:rPr>
            </w:pPr>
            <w:r>
              <w:rPr>
                <w:rFonts w:ascii="Arial" w:hAnsi="Arial" w:cs="Arial"/>
                <w:sz w:val="20"/>
                <w:lang w:val="en-GB"/>
              </w:rPr>
              <w:t>Each Business Day</w:t>
            </w:r>
          </w:p>
        </w:tc>
      </w:tr>
      <w:tr w:rsidR="00916ED1" w:rsidRPr="00312DC2" w14:paraId="52EF2098" w14:textId="77777777" w:rsidTr="00680E4A">
        <w:tc>
          <w:tcPr>
            <w:tcW w:w="3510" w:type="dxa"/>
            <w:tcBorders>
              <w:bottom w:val="nil"/>
            </w:tcBorders>
          </w:tcPr>
          <w:p w14:paraId="5924D0FA" w14:textId="77777777" w:rsidR="00916ED1" w:rsidRPr="00312DC2" w:rsidRDefault="00916ED1" w:rsidP="00CA7DDC">
            <w:pPr>
              <w:rPr>
                <w:rFonts w:ascii="Arial" w:hAnsi="Arial" w:cs="Arial"/>
                <w:b/>
                <w:sz w:val="20"/>
                <w:lang w:val="en-GB"/>
              </w:rPr>
            </w:pPr>
          </w:p>
        </w:tc>
        <w:tc>
          <w:tcPr>
            <w:tcW w:w="7090" w:type="dxa"/>
            <w:tcBorders>
              <w:bottom w:val="nil"/>
            </w:tcBorders>
          </w:tcPr>
          <w:p w14:paraId="7471F5C9" w14:textId="77777777" w:rsidR="00916ED1" w:rsidRPr="00312DC2" w:rsidRDefault="00916ED1" w:rsidP="00CA7DDC">
            <w:pPr>
              <w:jc w:val="both"/>
              <w:rPr>
                <w:rFonts w:ascii="Arial" w:hAnsi="Arial" w:cs="Arial"/>
                <w:sz w:val="20"/>
                <w:lang w:val="en-GB"/>
              </w:rPr>
            </w:pPr>
          </w:p>
        </w:tc>
      </w:tr>
      <w:tr w:rsidR="00916ED1" w:rsidRPr="00C658ED" w14:paraId="65511147" w14:textId="77777777" w:rsidTr="00680E4A">
        <w:tc>
          <w:tcPr>
            <w:tcW w:w="3510" w:type="dxa"/>
            <w:tcBorders>
              <w:bottom w:val="single" w:sz="4" w:space="0" w:color="auto"/>
            </w:tcBorders>
          </w:tcPr>
          <w:p w14:paraId="1641EFE3" w14:textId="4A09EE14" w:rsidR="00916ED1" w:rsidRPr="00312DC2" w:rsidRDefault="00784E1D" w:rsidP="00CA7DDC">
            <w:pPr>
              <w:rPr>
                <w:rFonts w:ascii="Arial" w:hAnsi="Arial" w:cs="Arial"/>
                <w:b/>
                <w:sz w:val="20"/>
                <w:lang w:val="en-GB"/>
              </w:rPr>
            </w:pPr>
            <w:r>
              <w:rPr>
                <w:rFonts w:ascii="Arial" w:hAnsi="Arial" w:cs="Arial"/>
                <w:b/>
                <w:sz w:val="20"/>
                <w:lang w:val="en-GB"/>
              </w:rPr>
              <w:t>Fund Business Day:</w:t>
            </w:r>
          </w:p>
        </w:tc>
        <w:tc>
          <w:tcPr>
            <w:tcW w:w="7090" w:type="dxa"/>
            <w:tcBorders>
              <w:bottom w:val="single" w:sz="4" w:space="0" w:color="auto"/>
            </w:tcBorders>
          </w:tcPr>
          <w:p w14:paraId="5B2F168A" w14:textId="77777777" w:rsidR="00916ED1" w:rsidRDefault="00784E1D" w:rsidP="00CA7DDC">
            <w:pPr>
              <w:jc w:val="both"/>
              <w:rPr>
                <w:rFonts w:ascii="Arial" w:hAnsi="Arial" w:cs="Arial"/>
                <w:sz w:val="20"/>
                <w:lang w:val="en-GB"/>
              </w:rPr>
            </w:pPr>
            <w:r>
              <w:rPr>
                <w:rFonts w:ascii="Arial" w:hAnsi="Arial" w:cs="Arial"/>
                <w:sz w:val="20"/>
                <w:lang w:val="en-GB"/>
              </w:rPr>
              <w:t xml:space="preserve">“Jour </w:t>
            </w:r>
            <w:proofErr w:type="spellStart"/>
            <w:r>
              <w:rPr>
                <w:rFonts w:ascii="Arial" w:hAnsi="Arial" w:cs="Arial"/>
                <w:sz w:val="20"/>
                <w:lang w:val="en-GB"/>
              </w:rPr>
              <w:t>Ouvré</w:t>
            </w:r>
            <w:proofErr w:type="spellEnd"/>
            <w:r>
              <w:rPr>
                <w:rFonts w:ascii="Arial" w:hAnsi="Arial" w:cs="Arial"/>
                <w:sz w:val="20"/>
                <w:lang w:val="en-GB"/>
              </w:rPr>
              <w:t>” as defined in the prospectus of the Fund Interest</w:t>
            </w:r>
          </w:p>
          <w:p w14:paraId="7A9C9D72" w14:textId="573C4F52" w:rsidR="00680E4A" w:rsidRPr="00312DC2" w:rsidRDefault="00680E4A" w:rsidP="00CA7DDC">
            <w:pPr>
              <w:jc w:val="both"/>
              <w:rPr>
                <w:rFonts w:ascii="Arial" w:hAnsi="Arial" w:cs="Arial"/>
                <w:sz w:val="20"/>
                <w:lang w:val="en-GB"/>
              </w:rPr>
            </w:pPr>
          </w:p>
        </w:tc>
      </w:tr>
    </w:tbl>
    <w:p w14:paraId="6A1B90FB" w14:textId="77777777" w:rsidR="00680E4A" w:rsidRPr="00680E4A" w:rsidRDefault="00680E4A" w:rsidP="00680E4A">
      <w:pPr>
        <w:rPr>
          <w:rFonts w:ascii="Arial" w:hAnsi="Arial" w:cs="Arial"/>
          <w:b/>
          <w:sz w:val="20"/>
          <w:u w:val="single"/>
          <w:lang w:val="en-GB"/>
        </w:rPr>
      </w:pPr>
    </w:p>
    <w:p w14:paraId="5CB8E1E0" w14:textId="10A11CFD" w:rsidR="00680E4A" w:rsidRPr="00312DC2" w:rsidRDefault="00AD591D" w:rsidP="00680E4A">
      <w:pPr>
        <w:pStyle w:val="ListParagraph"/>
        <w:numPr>
          <w:ilvl w:val="0"/>
          <w:numId w:val="3"/>
        </w:numPr>
        <w:rPr>
          <w:rFonts w:ascii="Arial" w:hAnsi="Arial" w:cs="Arial"/>
          <w:b/>
          <w:sz w:val="20"/>
          <w:u w:val="single"/>
          <w:lang w:val="en-GB"/>
        </w:rPr>
      </w:pPr>
      <w:r>
        <w:rPr>
          <w:rFonts w:ascii="Arial" w:hAnsi="Arial" w:cs="Arial"/>
          <w:b/>
          <w:sz w:val="20"/>
          <w:u w:val="single"/>
          <w:lang w:val="en-GB"/>
        </w:rPr>
        <w:t>Calculation Agent</w:t>
      </w:r>
    </w:p>
    <w:p w14:paraId="3BBE32DB" w14:textId="77777777" w:rsidR="00680E4A" w:rsidRPr="00312DC2" w:rsidRDefault="00680E4A" w:rsidP="00680E4A">
      <w:pPr>
        <w:rPr>
          <w:rFonts w:ascii="Arial" w:hAnsi="Arial" w:cs="Arial"/>
          <w:sz w:val="20"/>
          <w:lang w:val="en-GB"/>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090"/>
      </w:tblGrid>
      <w:tr w:rsidR="00AD591D" w:rsidRPr="00C658ED" w14:paraId="1DF87978" w14:textId="77777777" w:rsidTr="00993B83">
        <w:tc>
          <w:tcPr>
            <w:tcW w:w="10600" w:type="dxa"/>
            <w:gridSpan w:val="2"/>
            <w:tcBorders>
              <w:bottom w:val="nil"/>
            </w:tcBorders>
          </w:tcPr>
          <w:p w14:paraId="1ACE723C" w14:textId="7D012443" w:rsidR="00EE1B3F" w:rsidRDefault="00AD591D" w:rsidP="00680E4A">
            <w:pPr>
              <w:jc w:val="both"/>
              <w:rPr>
                <w:rFonts w:ascii="Arial" w:hAnsi="Arial" w:cs="Arial"/>
                <w:sz w:val="20"/>
                <w:lang w:val="en-GB"/>
              </w:rPr>
            </w:pPr>
            <w:r>
              <w:rPr>
                <w:rFonts w:ascii="Arial" w:hAnsi="Arial" w:cs="Arial"/>
                <w:sz w:val="20"/>
                <w:lang w:val="en-GB"/>
              </w:rPr>
              <w:t xml:space="preserve">The Calculation Agent is Party A. </w:t>
            </w:r>
            <w:r w:rsidR="00EE1B3F">
              <w:rPr>
                <w:rFonts w:ascii="Arial" w:hAnsi="Arial" w:cs="Arial"/>
                <w:sz w:val="20"/>
                <w:lang w:val="en-GB"/>
              </w:rPr>
              <w:t>Any calculation and determination shall be made by the Calculation Agent acting in good faith and in a commercially reasonable manner.</w:t>
            </w:r>
          </w:p>
          <w:p w14:paraId="204C9351" w14:textId="77777777" w:rsidR="00EE1B3F" w:rsidRDefault="00EE1B3F" w:rsidP="00680E4A">
            <w:pPr>
              <w:jc w:val="both"/>
              <w:rPr>
                <w:rFonts w:ascii="Arial" w:hAnsi="Arial" w:cs="Arial"/>
                <w:sz w:val="20"/>
                <w:lang w:val="en-GB"/>
              </w:rPr>
            </w:pPr>
          </w:p>
          <w:p w14:paraId="39D8305E" w14:textId="77777777" w:rsidR="00EE1B3F" w:rsidRDefault="00EE1B3F" w:rsidP="00680E4A">
            <w:pPr>
              <w:jc w:val="both"/>
              <w:rPr>
                <w:rFonts w:ascii="Arial" w:hAnsi="Arial" w:cs="Arial"/>
                <w:sz w:val="20"/>
                <w:lang w:val="en-GB"/>
              </w:rPr>
            </w:pPr>
            <w:r>
              <w:rPr>
                <w:rFonts w:ascii="Arial" w:hAnsi="Arial" w:cs="Arial"/>
                <w:sz w:val="20"/>
                <w:lang w:val="en-GB"/>
              </w:rPr>
              <w:t>Party B may dispute any determination, calculation or estimate made by Party A (the “</w:t>
            </w:r>
            <w:r w:rsidRPr="00EE1B3F">
              <w:rPr>
                <w:rFonts w:ascii="Arial" w:hAnsi="Arial" w:cs="Arial"/>
                <w:b/>
                <w:sz w:val="20"/>
                <w:lang w:val="en-GB"/>
              </w:rPr>
              <w:t>Disputed Calculation</w:t>
            </w:r>
            <w:r>
              <w:rPr>
                <w:rFonts w:ascii="Arial" w:hAnsi="Arial" w:cs="Arial"/>
                <w:sz w:val="20"/>
                <w:lang w:val="en-GB"/>
              </w:rPr>
              <w:t xml:space="preserve">”) </w:t>
            </w:r>
            <w:r w:rsidR="00E6390D">
              <w:rPr>
                <w:rFonts w:ascii="Arial" w:hAnsi="Arial" w:cs="Arial"/>
                <w:sz w:val="20"/>
                <w:lang w:val="en-GB"/>
              </w:rPr>
              <w:t>by delivering a notice (the “</w:t>
            </w:r>
            <w:r w:rsidR="00E6390D" w:rsidRPr="00E6390D">
              <w:rPr>
                <w:rFonts w:ascii="Arial" w:hAnsi="Arial" w:cs="Arial"/>
                <w:b/>
                <w:sz w:val="20"/>
                <w:lang w:val="en-GB"/>
              </w:rPr>
              <w:t>Dispute Notice</w:t>
            </w:r>
            <w:r w:rsidR="00E6390D">
              <w:rPr>
                <w:rFonts w:ascii="Arial" w:hAnsi="Arial" w:cs="Arial"/>
                <w:sz w:val="20"/>
                <w:lang w:val="en-GB"/>
              </w:rPr>
              <w:t>”) to Party A within ten (10) Business Days following the receipt of such determination, calculation or estimate. If Party B delivers a Dispute Notice to Party A, then (</w:t>
            </w:r>
            <w:proofErr w:type="spellStart"/>
            <w:r w:rsidR="00E6390D">
              <w:rPr>
                <w:rFonts w:ascii="Arial" w:hAnsi="Arial" w:cs="Arial"/>
                <w:sz w:val="20"/>
                <w:lang w:val="en-GB"/>
              </w:rPr>
              <w:t>i</w:t>
            </w:r>
            <w:proofErr w:type="spellEnd"/>
            <w:r w:rsidR="00E6390D">
              <w:rPr>
                <w:rFonts w:ascii="Arial" w:hAnsi="Arial" w:cs="Arial"/>
                <w:sz w:val="20"/>
                <w:lang w:val="en-GB"/>
              </w:rPr>
              <w:t>) the relevant party shall pay the amount</w:t>
            </w:r>
            <w:r w:rsidR="00E5289C">
              <w:rPr>
                <w:rFonts w:ascii="Arial" w:hAnsi="Arial" w:cs="Arial"/>
                <w:sz w:val="20"/>
                <w:lang w:val="en-GB"/>
              </w:rPr>
              <w:t>, if any, that is not dispute and (ii) the parties shall appoint an independent third party that would qualify as a reference market-marker (a “</w:t>
            </w:r>
            <w:r w:rsidR="00E5289C" w:rsidRPr="00E5289C">
              <w:rPr>
                <w:rFonts w:ascii="Arial" w:hAnsi="Arial" w:cs="Arial"/>
                <w:b/>
                <w:sz w:val="20"/>
                <w:lang w:val="en-GB"/>
              </w:rPr>
              <w:t>Substitute Calculation Agent</w:t>
            </w:r>
            <w:r w:rsidR="00E5289C">
              <w:rPr>
                <w:rFonts w:ascii="Arial" w:hAnsi="Arial" w:cs="Arial"/>
                <w:sz w:val="20"/>
                <w:lang w:val="en-GB"/>
              </w:rPr>
              <w:t xml:space="preserve">”) to resolve the dispute. </w:t>
            </w:r>
          </w:p>
          <w:p w14:paraId="120E8273" w14:textId="77777777" w:rsidR="005F4733" w:rsidRDefault="005F4733" w:rsidP="00680E4A">
            <w:pPr>
              <w:jc w:val="both"/>
              <w:rPr>
                <w:rFonts w:ascii="Arial" w:hAnsi="Arial" w:cs="Arial"/>
                <w:sz w:val="20"/>
                <w:lang w:val="en-GB"/>
              </w:rPr>
            </w:pPr>
            <w:r>
              <w:rPr>
                <w:rFonts w:ascii="Arial" w:hAnsi="Arial" w:cs="Arial"/>
                <w:sz w:val="20"/>
                <w:lang w:val="en-GB"/>
              </w:rPr>
              <w:t>The determination of the Substitute Calculation Agent shall be the final and banding absent manifest error and its fees and expenses will be borne equally by both parties.</w:t>
            </w:r>
          </w:p>
          <w:p w14:paraId="60EA7788" w14:textId="1DAAA570" w:rsidR="00F03EC3" w:rsidRPr="00AD591D" w:rsidRDefault="00F03EC3" w:rsidP="00680E4A">
            <w:pPr>
              <w:jc w:val="both"/>
              <w:rPr>
                <w:rFonts w:ascii="Arial" w:hAnsi="Arial" w:cs="Arial"/>
                <w:sz w:val="20"/>
                <w:lang w:val="en-GB"/>
              </w:rPr>
            </w:pPr>
            <w:r>
              <w:rPr>
                <w:rFonts w:ascii="Arial" w:hAnsi="Arial" w:cs="Arial"/>
                <w:sz w:val="20"/>
                <w:lang w:val="en-GB"/>
              </w:rPr>
              <w:t xml:space="preserve">If the parties cannot agree on a Substitute Calculation Agent within one (1) Business Day following the delivery of the Dispute Notice, each party shall elect an independent reference market-maker within one (1) Business Day following the delivery of the Dispute Notice and such two reference market-makers jointly shall appoint a third </w:t>
            </w:r>
            <w:proofErr w:type="spellStart"/>
            <w:r>
              <w:rPr>
                <w:rFonts w:ascii="Arial" w:hAnsi="Arial" w:cs="Arial"/>
                <w:sz w:val="20"/>
                <w:lang w:val="en-GB"/>
              </w:rPr>
              <w:t>refrence</w:t>
            </w:r>
            <w:proofErr w:type="spellEnd"/>
            <w:r>
              <w:rPr>
                <w:rFonts w:ascii="Arial" w:hAnsi="Arial" w:cs="Arial"/>
                <w:sz w:val="20"/>
                <w:lang w:val="en-GB"/>
              </w:rPr>
              <w:t xml:space="preserve"> market-maker which shall be the substitute Calculation Agent.</w:t>
            </w:r>
          </w:p>
        </w:tc>
      </w:tr>
      <w:tr w:rsidR="00680E4A" w:rsidRPr="00C658ED" w14:paraId="00273B8E" w14:textId="77777777" w:rsidTr="00466860">
        <w:trPr>
          <w:trHeight w:val="161"/>
        </w:trPr>
        <w:tc>
          <w:tcPr>
            <w:tcW w:w="3510" w:type="dxa"/>
            <w:tcBorders>
              <w:bottom w:val="nil"/>
            </w:tcBorders>
          </w:tcPr>
          <w:p w14:paraId="6058BAFF" w14:textId="77777777" w:rsidR="00680E4A" w:rsidRPr="00312DC2" w:rsidRDefault="00680E4A" w:rsidP="00680E4A">
            <w:pPr>
              <w:rPr>
                <w:rFonts w:ascii="Arial" w:hAnsi="Arial" w:cs="Arial"/>
                <w:b/>
                <w:sz w:val="20"/>
                <w:lang w:val="en-GB"/>
              </w:rPr>
            </w:pPr>
          </w:p>
        </w:tc>
        <w:tc>
          <w:tcPr>
            <w:tcW w:w="7090" w:type="dxa"/>
            <w:tcBorders>
              <w:bottom w:val="nil"/>
            </w:tcBorders>
          </w:tcPr>
          <w:p w14:paraId="470AB0A3" w14:textId="77777777" w:rsidR="00680E4A" w:rsidRPr="00312DC2" w:rsidRDefault="00680E4A" w:rsidP="00680E4A">
            <w:pPr>
              <w:jc w:val="both"/>
              <w:rPr>
                <w:rFonts w:ascii="Arial" w:hAnsi="Arial" w:cs="Arial"/>
                <w:sz w:val="20"/>
                <w:lang w:val="en-GB"/>
              </w:rPr>
            </w:pPr>
          </w:p>
        </w:tc>
      </w:tr>
      <w:tr w:rsidR="00680E4A" w:rsidRPr="00C658ED" w14:paraId="48611980" w14:textId="77777777" w:rsidTr="00466860">
        <w:tc>
          <w:tcPr>
            <w:tcW w:w="3510" w:type="dxa"/>
            <w:tcBorders>
              <w:top w:val="nil"/>
              <w:bottom w:val="nil"/>
            </w:tcBorders>
          </w:tcPr>
          <w:p w14:paraId="7C245DFF" w14:textId="5711F6C9" w:rsidR="00680E4A" w:rsidRPr="00312DC2" w:rsidRDefault="00680E4A" w:rsidP="00680E4A">
            <w:pPr>
              <w:rPr>
                <w:rFonts w:ascii="Arial" w:hAnsi="Arial" w:cs="Arial"/>
                <w:b/>
                <w:sz w:val="20"/>
                <w:lang w:val="en-GB"/>
              </w:rPr>
            </w:pPr>
          </w:p>
        </w:tc>
        <w:tc>
          <w:tcPr>
            <w:tcW w:w="7090" w:type="dxa"/>
            <w:tcBorders>
              <w:top w:val="nil"/>
              <w:bottom w:val="nil"/>
            </w:tcBorders>
          </w:tcPr>
          <w:p w14:paraId="1A36EE4F" w14:textId="67356F22" w:rsidR="00680E4A" w:rsidRPr="00312DC2" w:rsidRDefault="00680E4A" w:rsidP="00680E4A">
            <w:pPr>
              <w:jc w:val="both"/>
              <w:rPr>
                <w:rFonts w:ascii="Arial" w:hAnsi="Arial" w:cs="Arial"/>
                <w:sz w:val="20"/>
                <w:highlight w:val="yellow"/>
                <w:lang w:val="en-GB"/>
              </w:rPr>
            </w:pPr>
          </w:p>
        </w:tc>
      </w:tr>
      <w:tr w:rsidR="00680E4A" w:rsidRPr="00312DC2" w14:paraId="240E4904" w14:textId="77777777" w:rsidTr="00993B83">
        <w:trPr>
          <w:trHeight w:val="266"/>
        </w:trPr>
        <w:tc>
          <w:tcPr>
            <w:tcW w:w="3510" w:type="dxa"/>
            <w:tcBorders>
              <w:bottom w:val="nil"/>
            </w:tcBorders>
          </w:tcPr>
          <w:p w14:paraId="19FD4F99" w14:textId="32053887" w:rsidR="00993B83" w:rsidRPr="00312DC2" w:rsidRDefault="00993B83" w:rsidP="00993B83">
            <w:pPr>
              <w:pStyle w:val="ListParagraph"/>
              <w:numPr>
                <w:ilvl w:val="0"/>
                <w:numId w:val="3"/>
              </w:numPr>
              <w:rPr>
                <w:rFonts w:ascii="Arial" w:hAnsi="Arial" w:cs="Arial"/>
                <w:b/>
                <w:sz w:val="20"/>
                <w:u w:val="single"/>
                <w:lang w:val="en-GB"/>
              </w:rPr>
            </w:pPr>
            <w:r>
              <w:rPr>
                <w:rFonts w:ascii="Arial" w:hAnsi="Arial" w:cs="Arial"/>
                <w:b/>
                <w:sz w:val="20"/>
                <w:u w:val="single"/>
                <w:lang w:val="en-GB"/>
              </w:rPr>
              <w:t>Offices</w:t>
            </w:r>
          </w:p>
          <w:p w14:paraId="501C244F" w14:textId="77777777" w:rsidR="00680E4A" w:rsidRPr="00312DC2" w:rsidRDefault="00680E4A" w:rsidP="00680E4A">
            <w:pPr>
              <w:rPr>
                <w:rFonts w:ascii="Arial" w:hAnsi="Arial" w:cs="Arial"/>
                <w:b/>
                <w:sz w:val="20"/>
                <w:lang w:val="en-GB"/>
              </w:rPr>
            </w:pPr>
          </w:p>
        </w:tc>
        <w:tc>
          <w:tcPr>
            <w:tcW w:w="7090" w:type="dxa"/>
            <w:tcBorders>
              <w:bottom w:val="nil"/>
            </w:tcBorders>
          </w:tcPr>
          <w:p w14:paraId="62A9B840" w14:textId="77777777" w:rsidR="00680E4A" w:rsidRPr="00312DC2" w:rsidRDefault="00680E4A" w:rsidP="00680E4A">
            <w:pPr>
              <w:jc w:val="both"/>
              <w:rPr>
                <w:rFonts w:ascii="Arial" w:hAnsi="Arial" w:cs="Arial"/>
                <w:sz w:val="20"/>
                <w:lang w:val="en-GB"/>
              </w:rPr>
            </w:pPr>
          </w:p>
        </w:tc>
      </w:tr>
      <w:tr w:rsidR="00993B83" w:rsidRPr="00C658ED" w14:paraId="1E793258" w14:textId="77777777" w:rsidTr="00466860">
        <w:tc>
          <w:tcPr>
            <w:tcW w:w="10600" w:type="dxa"/>
            <w:gridSpan w:val="2"/>
            <w:tcBorders>
              <w:bottom w:val="nil"/>
            </w:tcBorders>
          </w:tcPr>
          <w:p w14:paraId="662BE17E" w14:textId="1C419183" w:rsidR="00993B83" w:rsidRDefault="00993B83" w:rsidP="00680E4A">
            <w:pPr>
              <w:jc w:val="both"/>
              <w:rPr>
                <w:rFonts w:ascii="Arial" w:hAnsi="Arial" w:cs="Arial"/>
                <w:sz w:val="20"/>
                <w:lang w:val="en-GB"/>
              </w:rPr>
            </w:pPr>
            <w:r>
              <w:rPr>
                <w:rFonts w:ascii="Arial" w:hAnsi="Arial" w:cs="Arial"/>
                <w:sz w:val="20"/>
                <w:lang w:val="en-GB"/>
              </w:rPr>
              <w:t>(a) The O</w:t>
            </w:r>
            <w:r w:rsidRPr="00993B83">
              <w:rPr>
                <w:rFonts w:ascii="Arial" w:hAnsi="Arial" w:cs="Arial"/>
                <w:sz w:val="20"/>
                <w:lang w:val="en-GB"/>
              </w:rPr>
              <w:t xml:space="preserve">ffice of Party A for the Transaction </w:t>
            </w:r>
            <w:r>
              <w:rPr>
                <w:rFonts w:ascii="Arial" w:hAnsi="Arial" w:cs="Arial"/>
                <w:sz w:val="20"/>
                <w:lang w:val="en-GB"/>
              </w:rPr>
              <w:t xml:space="preserve">is </w:t>
            </w:r>
            <w:r w:rsidRPr="00993B83">
              <w:rPr>
                <w:rFonts w:ascii="Arial" w:hAnsi="Arial" w:cs="Arial"/>
                <w:sz w:val="20"/>
                <w:highlight w:val="yellow"/>
                <w:lang w:val="en-GB"/>
              </w:rPr>
              <w:t>Paris</w:t>
            </w:r>
          </w:p>
          <w:p w14:paraId="390552AD" w14:textId="77777777" w:rsidR="00993B83" w:rsidRDefault="00993B83" w:rsidP="00680E4A">
            <w:pPr>
              <w:jc w:val="both"/>
              <w:rPr>
                <w:rFonts w:ascii="Arial" w:hAnsi="Arial" w:cs="Arial"/>
                <w:sz w:val="20"/>
                <w:lang w:val="en-GB"/>
              </w:rPr>
            </w:pPr>
            <w:r>
              <w:rPr>
                <w:rFonts w:ascii="Arial" w:hAnsi="Arial" w:cs="Arial"/>
                <w:sz w:val="20"/>
                <w:lang w:val="en-GB"/>
              </w:rPr>
              <w:t xml:space="preserve">(b) The Office of Party B for the Transaction is </w:t>
            </w:r>
            <w:r w:rsidRPr="00993B83">
              <w:rPr>
                <w:rFonts w:ascii="Arial" w:hAnsi="Arial" w:cs="Arial"/>
                <w:sz w:val="20"/>
                <w:highlight w:val="yellow"/>
                <w:lang w:val="en-GB"/>
              </w:rPr>
              <w:t>Paris</w:t>
            </w:r>
          </w:p>
          <w:p w14:paraId="787E4064" w14:textId="40DB52D3" w:rsidR="00993B83" w:rsidRPr="00993B83" w:rsidRDefault="00993B83" w:rsidP="00680E4A">
            <w:pPr>
              <w:jc w:val="both"/>
              <w:rPr>
                <w:rFonts w:ascii="Arial" w:hAnsi="Arial" w:cs="Arial"/>
                <w:sz w:val="20"/>
                <w:lang w:val="en-GB"/>
              </w:rPr>
            </w:pPr>
          </w:p>
        </w:tc>
      </w:tr>
      <w:tr w:rsidR="00993B83" w:rsidRPr="00312DC2" w14:paraId="17A97893" w14:textId="77777777" w:rsidTr="00466860">
        <w:tc>
          <w:tcPr>
            <w:tcW w:w="10600" w:type="dxa"/>
            <w:gridSpan w:val="2"/>
            <w:tcBorders>
              <w:top w:val="nil"/>
              <w:bottom w:val="nil"/>
            </w:tcBorders>
          </w:tcPr>
          <w:p w14:paraId="536D4B8F" w14:textId="77777777" w:rsidR="00993B83" w:rsidRDefault="00993B83" w:rsidP="00993B83">
            <w:pPr>
              <w:pStyle w:val="ListParagraph"/>
              <w:rPr>
                <w:rFonts w:ascii="Arial" w:hAnsi="Arial" w:cs="Arial"/>
                <w:b/>
                <w:sz w:val="20"/>
                <w:u w:val="single"/>
                <w:lang w:val="en-GB"/>
              </w:rPr>
            </w:pPr>
          </w:p>
          <w:p w14:paraId="5E0C43D7" w14:textId="4E4BF7C6" w:rsidR="00993B83" w:rsidRPr="00312DC2" w:rsidRDefault="00993B83" w:rsidP="00993B83">
            <w:pPr>
              <w:pStyle w:val="ListParagraph"/>
              <w:numPr>
                <w:ilvl w:val="0"/>
                <w:numId w:val="3"/>
              </w:numPr>
              <w:rPr>
                <w:rFonts w:ascii="Arial" w:hAnsi="Arial" w:cs="Arial"/>
                <w:b/>
                <w:sz w:val="20"/>
                <w:u w:val="single"/>
                <w:lang w:val="en-GB"/>
              </w:rPr>
            </w:pPr>
            <w:r>
              <w:rPr>
                <w:rFonts w:ascii="Arial" w:hAnsi="Arial" w:cs="Arial"/>
                <w:b/>
                <w:sz w:val="20"/>
                <w:u w:val="single"/>
                <w:lang w:val="en-GB"/>
              </w:rPr>
              <w:t>Collateral</w:t>
            </w:r>
          </w:p>
          <w:p w14:paraId="00C81A66" w14:textId="28A3CA00" w:rsidR="00993B83" w:rsidRPr="00312DC2" w:rsidRDefault="00993B83" w:rsidP="00680E4A">
            <w:pPr>
              <w:jc w:val="both"/>
              <w:rPr>
                <w:rFonts w:ascii="Arial" w:hAnsi="Arial" w:cs="Arial"/>
                <w:sz w:val="20"/>
                <w:lang w:val="en-GB"/>
              </w:rPr>
            </w:pPr>
          </w:p>
        </w:tc>
      </w:tr>
      <w:tr w:rsidR="00345F2D" w:rsidRPr="00C658ED" w14:paraId="6099DB9D" w14:textId="77777777" w:rsidTr="00466860">
        <w:tc>
          <w:tcPr>
            <w:tcW w:w="10600" w:type="dxa"/>
            <w:gridSpan w:val="2"/>
            <w:tcBorders>
              <w:bottom w:val="nil"/>
            </w:tcBorders>
          </w:tcPr>
          <w:p w14:paraId="2E12B61F" w14:textId="596EBB26" w:rsidR="00345F2D" w:rsidRDefault="00345F2D" w:rsidP="00680E4A">
            <w:pPr>
              <w:jc w:val="both"/>
              <w:rPr>
                <w:rFonts w:ascii="Arial" w:hAnsi="Arial" w:cs="Arial"/>
                <w:sz w:val="20"/>
                <w:lang w:val="en-GB"/>
              </w:rPr>
            </w:pPr>
            <w:r>
              <w:rPr>
                <w:rFonts w:ascii="Arial" w:hAnsi="Arial" w:cs="Arial"/>
                <w:sz w:val="20"/>
                <w:lang w:val="en-GB"/>
              </w:rPr>
              <w:t>The provisions</w:t>
            </w:r>
            <w:r w:rsidR="00A32654">
              <w:rPr>
                <w:rFonts w:ascii="Arial" w:hAnsi="Arial" w:cs="Arial"/>
                <w:sz w:val="20"/>
                <w:lang w:val="en-GB"/>
              </w:rPr>
              <w:t xml:space="preserve"> of the CSA shall apply to the T</w:t>
            </w:r>
            <w:r>
              <w:rPr>
                <w:rFonts w:ascii="Arial" w:hAnsi="Arial" w:cs="Arial"/>
                <w:sz w:val="20"/>
                <w:lang w:val="en-GB"/>
              </w:rPr>
              <w:t>ransactio</w:t>
            </w:r>
            <w:r w:rsidR="00A32654">
              <w:rPr>
                <w:rFonts w:ascii="Arial" w:hAnsi="Arial" w:cs="Arial"/>
                <w:sz w:val="20"/>
                <w:lang w:val="en-GB"/>
              </w:rPr>
              <w:t xml:space="preserve">n, provided that paragraph </w:t>
            </w:r>
            <w:r w:rsidR="00A32654" w:rsidRPr="00A32654">
              <w:rPr>
                <w:rFonts w:ascii="Arial" w:hAnsi="Arial" w:cs="Arial"/>
                <w:sz w:val="20"/>
                <w:highlight w:val="yellow"/>
                <w:lang w:val="en-GB"/>
              </w:rPr>
              <w:t>11</w:t>
            </w:r>
            <w:r w:rsidR="00A32654">
              <w:rPr>
                <w:rFonts w:ascii="Arial" w:hAnsi="Arial" w:cs="Arial"/>
                <w:sz w:val="20"/>
                <w:lang w:val="en-GB"/>
              </w:rPr>
              <w:t xml:space="preserve"> of the CSA is amended by deleting any specification as to “Minimum Transfer Amount” with respect to a party and replacing it with the following:</w:t>
            </w:r>
          </w:p>
          <w:p w14:paraId="080E99AB" w14:textId="3329E813" w:rsidR="00A32654" w:rsidRDefault="00A32654" w:rsidP="00680E4A">
            <w:pPr>
              <w:jc w:val="both"/>
              <w:rPr>
                <w:rFonts w:ascii="Arial" w:hAnsi="Arial" w:cs="Arial"/>
                <w:sz w:val="20"/>
                <w:lang w:val="en-GB"/>
              </w:rPr>
            </w:pPr>
          </w:p>
          <w:p w14:paraId="06304DF6" w14:textId="062B7D09" w:rsidR="00466860" w:rsidRDefault="00A32654" w:rsidP="00680E4A">
            <w:pPr>
              <w:jc w:val="both"/>
              <w:rPr>
                <w:rFonts w:ascii="Arial" w:hAnsi="Arial" w:cs="Arial"/>
                <w:sz w:val="20"/>
                <w:lang w:val="en-GB"/>
              </w:rPr>
            </w:pPr>
            <w:r>
              <w:rPr>
                <w:rFonts w:ascii="Arial" w:hAnsi="Arial" w:cs="Arial"/>
                <w:sz w:val="20"/>
                <w:lang w:val="en-GB"/>
              </w:rPr>
              <w:t>“</w:t>
            </w:r>
            <w:r w:rsidRPr="00A32654">
              <w:rPr>
                <w:rFonts w:ascii="Arial" w:hAnsi="Arial" w:cs="Arial"/>
                <w:b/>
                <w:sz w:val="20"/>
                <w:lang w:val="en-GB"/>
              </w:rPr>
              <w:t>Minimum Transfer Amount</w:t>
            </w:r>
            <w:r>
              <w:rPr>
                <w:rFonts w:ascii="Arial" w:hAnsi="Arial" w:cs="Arial"/>
                <w:sz w:val="20"/>
                <w:lang w:val="en-GB"/>
              </w:rPr>
              <w:t xml:space="preserve"> means with respect to Party A and Party B: 500,000 EUR”.</w:t>
            </w:r>
          </w:p>
          <w:p w14:paraId="58CA3681" w14:textId="1DC7EB86" w:rsidR="00A32654" w:rsidRPr="00312DC2" w:rsidRDefault="00A32654" w:rsidP="00680E4A">
            <w:pPr>
              <w:jc w:val="both"/>
              <w:rPr>
                <w:rFonts w:ascii="Arial" w:hAnsi="Arial" w:cs="Arial"/>
                <w:sz w:val="20"/>
                <w:lang w:val="en-GB"/>
              </w:rPr>
            </w:pPr>
          </w:p>
        </w:tc>
      </w:tr>
      <w:tr w:rsidR="00466860" w:rsidRPr="00312DC2" w14:paraId="5BE8AA07" w14:textId="77777777" w:rsidTr="00280F41">
        <w:tc>
          <w:tcPr>
            <w:tcW w:w="10600" w:type="dxa"/>
            <w:gridSpan w:val="2"/>
            <w:tcBorders>
              <w:top w:val="nil"/>
            </w:tcBorders>
          </w:tcPr>
          <w:p w14:paraId="2F061A92" w14:textId="19DF46B6" w:rsidR="00466860" w:rsidRDefault="00466860" w:rsidP="00680E4A">
            <w:pPr>
              <w:rPr>
                <w:rFonts w:ascii="Arial" w:hAnsi="Arial" w:cs="Arial"/>
                <w:b/>
                <w:sz w:val="20"/>
                <w:lang w:val="en-GB"/>
              </w:rPr>
            </w:pPr>
          </w:p>
          <w:p w14:paraId="193572AC" w14:textId="31D61205" w:rsidR="00466860" w:rsidRPr="00312DC2" w:rsidRDefault="00466860" w:rsidP="00466860">
            <w:pPr>
              <w:pStyle w:val="ListParagraph"/>
              <w:numPr>
                <w:ilvl w:val="0"/>
                <w:numId w:val="3"/>
              </w:numPr>
              <w:rPr>
                <w:rFonts w:ascii="Arial" w:hAnsi="Arial" w:cs="Arial"/>
                <w:b/>
                <w:sz w:val="20"/>
                <w:u w:val="single"/>
                <w:lang w:val="en-GB"/>
              </w:rPr>
            </w:pPr>
            <w:r>
              <w:rPr>
                <w:rFonts w:ascii="Arial" w:hAnsi="Arial" w:cs="Arial"/>
                <w:b/>
                <w:sz w:val="20"/>
                <w:u w:val="single"/>
                <w:lang w:val="en-GB"/>
              </w:rPr>
              <w:t>Optional Early Termination</w:t>
            </w:r>
          </w:p>
          <w:p w14:paraId="39E7842A" w14:textId="18363247" w:rsidR="00466860" w:rsidRDefault="00466860" w:rsidP="00680E4A">
            <w:pPr>
              <w:jc w:val="both"/>
              <w:rPr>
                <w:rFonts w:ascii="Arial" w:hAnsi="Arial" w:cs="Arial"/>
                <w:sz w:val="20"/>
                <w:lang w:val="en-GB"/>
              </w:rPr>
            </w:pPr>
          </w:p>
          <w:p w14:paraId="2CD8648C" w14:textId="77777777" w:rsidR="00466860" w:rsidRDefault="00280F41" w:rsidP="00680E4A">
            <w:pPr>
              <w:jc w:val="both"/>
              <w:rPr>
                <w:rFonts w:ascii="Arial" w:hAnsi="Arial" w:cs="Arial"/>
                <w:sz w:val="20"/>
                <w:lang w:val="en-GB"/>
              </w:rPr>
            </w:pPr>
            <w:r>
              <w:rPr>
                <w:rFonts w:ascii="Arial" w:hAnsi="Arial" w:cs="Arial"/>
                <w:sz w:val="20"/>
                <w:lang w:val="en-GB"/>
              </w:rPr>
              <w:t>8.1 Party B shall have the right any time during the terms of the Transaction to terminate the Transaction in whole (t</w:t>
            </w:r>
            <w:r w:rsidR="009242DE">
              <w:rPr>
                <w:rFonts w:ascii="Arial" w:hAnsi="Arial" w:cs="Arial"/>
                <w:sz w:val="20"/>
                <w:lang w:val="en-GB"/>
              </w:rPr>
              <w:t>he “</w:t>
            </w:r>
            <w:r w:rsidR="009242DE" w:rsidRPr="009242DE">
              <w:rPr>
                <w:rFonts w:ascii="Arial" w:hAnsi="Arial" w:cs="Arial"/>
                <w:b/>
                <w:sz w:val="20"/>
                <w:lang w:val="en-GB"/>
              </w:rPr>
              <w:t>Optional Early Termination</w:t>
            </w:r>
            <w:r w:rsidR="009242DE">
              <w:rPr>
                <w:rFonts w:ascii="Arial" w:hAnsi="Arial" w:cs="Arial"/>
                <w:sz w:val="20"/>
                <w:lang w:val="en-GB"/>
              </w:rPr>
              <w:t>”, by notice to the order party (the “</w:t>
            </w:r>
            <w:r w:rsidR="009242DE" w:rsidRPr="009242DE">
              <w:rPr>
                <w:rFonts w:ascii="Arial" w:hAnsi="Arial" w:cs="Arial"/>
                <w:b/>
                <w:sz w:val="20"/>
                <w:lang w:val="en-GB"/>
              </w:rPr>
              <w:t>Early Termination Notice</w:t>
            </w:r>
            <w:r w:rsidR="009242DE">
              <w:rPr>
                <w:rFonts w:ascii="Arial" w:hAnsi="Arial" w:cs="Arial"/>
                <w:sz w:val="20"/>
                <w:lang w:val="en-GB"/>
              </w:rPr>
              <w:t>”). Where delivered prior to 4:00 p.m. Paris Time, the Early Termination Notice shall be deemed effective on the day such is delivered to the other party. If delivered later than 4:00 p.m. Paris Time, the Early Termination Notice shall be deemed effective on the next following Business Day.</w:t>
            </w:r>
            <w:r w:rsidR="002E501F">
              <w:rPr>
                <w:rFonts w:ascii="Arial" w:hAnsi="Arial" w:cs="Arial"/>
                <w:sz w:val="20"/>
                <w:lang w:val="en-GB"/>
              </w:rPr>
              <w:t xml:space="preserve"> The Day on which the Early Termination Notice is effective shall constitute the “</w:t>
            </w:r>
            <w:r w:rsidR="002E501F" w:rsidRPr="002E501F">
              <w:rPr>
                <w:rFonts w:ascii="Arial" w:hAnsi="Arial" w:cs="Arial"/>
                <w:b/>
                <w:sz w:val="20"/>
                <w:lang w:val="en-GB"/>
              </w:rPr>
              <w:t>Early Termination Date</w:t>
            </w:r>
            <w:r w:rsidR="002E501F">
              <w:rPr>
                <w:rFonts w:ascii="Arial" w:hAnsi="Arial" w:cs="Arial"/>
                <w:sz w:val="20"/>
                <w:lang w:val="en-GB"/>
              </w:rPr>
              <w:t>”.</w:t>
            </w:r>
          </w:p>
          <w:p w14:paraId="049629AD" w14:textId="77777777" w:rsidR="002E501F" w:rsidRDefault="002E501F" w:rsidP="00680E4A">
            <w:pPr>
              <w:jc w:val="both"/>
              <w:rPr>
                <w:rFonts w:ascii="Arial" w:hAnsi="Arial" w:cs="Arial"/>
                <w:sz w:val="20"/>
                <w:lang w:val="en-GB"/>
              </w:rPr>
            </w:pPr>
          </w:p>
          <w:p w14:paraId="0FC98B05" w14:textId="77777777" w:rsidR="002E501F" w:rsidRDefault="002E501F" w:rsidP="00680E4A">
            <w:pPr>
              <w:jc w:val="both"/>
              <w:rPr>
                <w:rFonts w:ascii="Arial" w:hAnsi="Arial" w:cs="Arial"/>
                <w:sz w:val="20"/>
                <w:lang w:val="en-GB"/>
              </w:rPr>
            </w:pPr>
            <w:r>
              <w:rPr>
                <w:rFonts w:ascii="Arial" w:hAnsi="Arial" w:cs="Arial"/>
                <w:sz w:val="20"/>
                <w:lang w:val="en-GB"/>
              </w:rPr>
              <w:lastRenderedPageBreak/>
              <w:t>8.2 As a consequence, the terminated Transaction shall be settled on the second Business Day following the designed Early Termination Date, as follows:</w:t>
            </w:r>
          </w:p>
          <w:p w14:paraId="5750F1BB" w14:textId="77777777" w:rsidR="002E501F" w:rsidRDefault="002E501F" w:rsidP="00680E4A">
            <w:pPr>
              <w:jc w:val="both"/>
              <w:rPr>
                <w:rFonts w:ascii="Arial" w:hAnsi="Arial" w:cs="Arial"/>
                <w:sz w:val="20"/>
                <w:lang w:val="en-GB"/>
              </w:rPr>
            </w:pPr>
          </w:p>
          <w:p w14:paraId="57567DA1" w14:textId="64761406" w:rsidR="002E501F" w:rsidRDefault="002E501F" w:rsidP="002E501F">
            <w:pPr>
              <w:pStyle w:val="ListParagraph"/>
              <w:numPr>
                <w:ilvl w:val="0"/>
                <w:numId w:val="21"/>
              </w:numPr>
              <w:jc w:val="both"/>
              <w:rPr>
                <w:rFonts w:ascii="Arial" w:hAnsi="Arial" w:cs="Arial"/>
                <w:sz w:val="20"/>
                <w:lang w:val="en-GB"/>
              </w:rPr>
            </w:pPr>
            <w:r w:rsidRPr="002E501F">
              <w:rPr>
                <w:rFonts w:ascii="Arial" w:hAnsi="Arial" w:cs="Arial"/>
                <w:sz w:val="20"/>
                <w:lang w:val="en-GB"/>
              </w:rPr>
              <w:t>The Calculation Agent shall calculate fo</w:t>
            </w:r>
            <w:r>
              <w:rPr>
                <w:rFonts w:ascii="Arial" w:hAnsi="Arial" w:cs="Arial"/>
                <w:sz w:val="20"/>
                <w:lang w:val="en-GB"/>
              </w:rPr>
              <w:t>r the Basket an amount equal to</w:t>
            </w:r>
            <w:r w:rsidRPr="002E501F">
              <w:rPr>
                <w:rFonts w:ascii="Arial" w:hAnsi="Arial" w:cs="Arial"/>
                <w:sz w:val="20"/>
                <w:lang w:val="en-GB"/>
              </w:rPr>
              <w:t>:</w:t>
            </w:r>
          </w:p>
          <w:p w14:paraId="20EB1E8C" w14:textId="77777777" w:rsidR="002E501F" w:rsidRPr="002E501F" w:rsidRDefault="002E501F" w:rsidP="00B70FC2">
            <w:pPr>
              <w:pStyle w:val="ListParagraph"/>
              <w:jc w:val="both"/>
              <w:rPr>
                <w:rFonts w:ascii="Arial" w:hAnsi="Arial" w:cs="Arial"/>
                <w:sz w:val="20"/>
                <w:lang w:val="en-GB"/>
              </w:rPr>
            </w:pPr>
          </w:p>
          <w:p w14:paraId="76FF97B4" w14:textId="77777777" w:rsidR="002E501F" w:rsidRDefault="002E501F" w:rsidP="002E501F">
            <w:pPr>
              <w:jc w:val="center"/>
              <w:rPr>
                <w:rFonts w:ascii="Arial" w:hAnsi="Arial" w:cs="Arial"/>
                <w:b/>
                <w:sz w:val="20"/>
                <w:lang w:val="en-GB"/>
              </w:rPr>
            </w:pPr>
            <w:r w:rsidRPr="002E501F">
              <w:rPr>
                <w:rFonts w:ascii="Arial" w:hAnsi="Arial" w:cs="Arial"/>
                <w:b/>
                <w:sz w:val="20"/>
                <w:lang w:val="en-GB"/>
              </w:rPr>
              <w:t>Termination Price – Initial Price</w:t>
            </w:r>
          </w:p>
          <w:p w14:paraId="79F74867" w14:textId="77777777" w:rsidR="002E501F" w:rsidRDefault="002E501F" w:rsidP="002E501F">
            <w:pPr>
              <w:jc w:val="center"/>
              <w:rPr>
                <w:rFonts w:ascii="Arial" w:hAnsi="Arial" w:cs="Arial"/>
                <w:b/>
                <w:sz w:val="20"/>
                <w:lang w:val="en-GB"/>
              </w:rPr>
            </w:pPr>
          </w:p>
          <w:p w14:paraId="17FC9B67" w14:textId="77777777" w:rsidR="002E501F" w:rsidRDefault="002E501F" w:rsidP="002E501F">
            <w:pPr>
              <w:rPr>
                <w:rFonts w:ascii="Arial" w:hAnsi="Arial" w:cs="Arial"/>
                <w:sz w:val="20"/>
                <w:lang w:val="en-GB"/>
              </w:rPr>
            </w:pPr>
            <w:r w:rsidRPr="002E501F">
              <w:rPr>
                <w:rFonts w:ascii="Arial" w:hAnsi="Arial" w:cs="Arial"/>
                <w:sz w:val="20"/>
                <w:lang w:val="en-GB"/>
              </w:rPr>
              <w:t xml:space="preserve">If positive, </w:t>
            </w:r>
            <w:r>
              <w:rPr>
                <w:rFonts w:ascii="Arial" w:hAnsi="Arial" w:cs="Arial"/>
                <w:sz w:val="20"/>
                <w:lang w:val="en-GB"/>
              </w:rPr>
              <w:t>such amount shall be paid by Party B to Party A</w:t>
            </w:r>
            <w:r w:rsidR="00D4293E">
              <w:rPr>
                <w:rFonts w:ascii="Arial" w:hAnsi="Arial" w:cs="Arial"/>
                <w:sz w:val="20"/>
                <w:lang w:val="en-GB"/>
              </w:rPr>
              <w:t>, otherwise</w:t>
            </w:r>
            <w:r w:rsidR="00B70FC2">
              <w:rPr>
                <w:rFonts w:ascii="Arial" w:hAnsi="Arial" w:cs="Arial"/>
                <w:sz w:val="20"/>
                <w:lang w:val="en-GB"/>
              </w:rPr>
              <w:t>, the absolute value of such amount shall be paid by Party A to Party B.</w:t>
            </w:r>
          </w:p>
          <w:p w14:paraId="1CB0936A" w14:textId="77777777" w:rsidR="00B70FC2" w:rsidRDefault="00B70FC2" w:rsidP="002E501F">
            <w:pPr>
              <w:rPr>
                <w:rFonts w:ascii="Arial" w:hAnsi="Arial" w:cs="Arial"/>
                <w:sz w:val="20"/>
                <w:lang w:val="en-GB"/>
              </w:rPr>
            </w:pPr>
          </w:p>
          <w:p w14:paraId="200018F8" w14:textId="7EBBBDFB" w:rsidR="00B70FC2" w:rsidRDefault="00B70FC2" w:rsidP="00B70FC2">
            <w:pPr>
              <w:pStyle w:val="ListParagraph"/>
              <w:numPr>
                <w:ilvl w:val="0"/>
                <w:numId w:val="21"/>
              </w:numPr>
              <w:rPr>
                <w:rFonts w:ascii="Arial" w:hAnsi="Arial" w:cs="Arial"/>
                <w:sz w:val="20"/>
                <w:lang w:val="en-GB"/>
              </w:rPr>
            </w:pPr>
            <w:r w:rsidRPr="00B70FC2">
              <w:rPr>
                <w:rFonts w:ascii="Arial" w:hAnsi="Arial" w:cs="Arial"/>
                <w:sz w:val="20"/>
                <w:lang w:val="en-GB"/>
              </w:rPr>
              <w:t>the Calculation Agent shall calculate the portion of any “Floating Amounts” under section 4 above accrued on the Early Termination Date but not yet paid, that shall also be paid by the relevant party to the other, and</w:t>
            </w:r>
          </w:p>
          <w:p w14:paraId="5928A6F3" w14:textId="77777777" w:rsidR="00B70FC2" w:rsidRPr="00B70FC2" w:rsidRDefault="00B70FC2" w:rsidP="00B70FC2">
            <w:pPr>
              <w:pStyle w:val="ListParagraph"/>
              <w:rPr>
                <w:rFonts w:ascii="Arial" w:hAnsi="Arial" w:cs="Arial"/>
                <w:sz w:val="20"/>
                <w:lang w:val="en-GB"/>
              </w:rPr>
            </w:pPr>
          </w:p>
          <w:p w14:paraId="0799A933" w14:textId="77777777" w:rsidR="00B70FC2" w:rsidRDefault="00B70FC2" w:rsidP="00B70FC2">
            <w:pPr>
              <w:pStyle w:val="ListParagraph"/>
              <w:numPr>
                <w:ilvl w:val="0"/>
                <w:numId w:val="21"/>
              </w:numPr>
              <w:rPr>
                <w:rFonts w:ascii="Arial" w:hAnsi="Arial" w:cs="Arial"/>
                <w:sz w:val="20"/>
                <w:lang w:val="en-GB"/>
              </w:rPr>
            </w:pPr>
            <w:r>
              <w:rPr>
                <w:rFonts w:ascii="Arial" w:hAnsi="Arial" w:cs="Arial"/>
                <w:sz w:val="20"/>
                <w:lang w:val="en-GB"/>
              </w:rPr>
              <w:t>Party A shall pay to Party B on the Early Termination Date an amount equal to the fixed amount 2</w:t>
            </w:r>
          </w:p>
          <w:p w14:paraId="7561D2C0" w14:textId="77777777" w:rsidR="00B70FC2" w:rsidRPr="00B70FC2" w:rsidRDefault="00B70FC2" w:rsidP="00B70FC2">
            <w:pPr>
              <w:rPr>
                <w:rFonts w:ascii="Arial" w:hAnsi="Arial" w:cs="Arial"/>
                <w:sz w:val="20"/>
                <w:lang w:val="en-GB"/>
              </w:rPr>
            </w:pPr>
          </w:p>
          <w:p w14:paraId="56C84414" w14:textId="4B2D4646" w:rsidR="00B70FC2" w:rsidRPr="00B70FC2" w:rsidRDefault="00B70FC2" w:rsidP="00B70FC2">
            <w:pPr>
              <w:rPr>
                <w:rFonts w:ascii="Arial" w:hAnsi="Arial" w:cs="Arial"/>
                <w:sz w:val="20"/>
                <w:lang w:val="en-GB"/>
              </w:rPr>
            </w:pPr>
            <w:r>
              <w:rPr>
                <w:rFonts w:ascii="Arial" w:hAnsi="Arial" w:cs="Arial"/>
                <w:sz w:val="20"/>
                <w:lang w:val="en-GB"/>
              </w:rPr>
              <w:t>Where:</w:t>
            </w:r>
          </w:p>
        </w:tc>
      </w:tr>
      <w:tr w:rsidR="00680E4A" w:rsidRPr="00312DC2" w14:paraId="5A470365" w14:textId="77777777" w:rsidTr="00466860">
        <w:tc>
          <w:tcPr>
            <w:tcW w:w="3510" w:type="dxa"/>
            <w:tcBorders>
              <w:bottom w:val="nil"/>
            </w:tcBorders>
          </w:tcPr>
          <w:p w14:paraId="07CFA490" w14:textId="77777777" w:rsidR="00680E4A" w:rsidRPr="00312DC2" w:rsidRDefault="00680E4A" w:rsidP="00680E4A">
            <w:pPr>
              <w:rPr>
                <w:rFonts w:ascii="Arial" w:hAnsi="Arial" w:cs="Arial"/>
                <w:b/>
                <w:sz w:val="20"/>
                <w:lang w:val="en-GB"/>
              </w:rPr>
            </w:pPr>
          </w:p>
        </w:tc>
        <w:tc>
          <w:tcPr>
            <w:tcW w:w="7090" w:type="dxa"/>
            <w:tcBorders>
              <w:bottom w:val="nil"/>
            </w:tcBorders>
          </w:tcPr>
          <w:p w14:paraId="43E8EFDE" w14:textId="77777777" w:rsidR="00680E4A" w:rsidRPr="00312DC2" w:rsidRDefault="00680E4A" w:rsidP="00680E4A">
            <w:pPr>
              <w:jc w:val="both"/>
              <w:rPr>
                <w:rFonts w:ascii="Arial" w:hAnsi="Arial" w:cs="Arial"/>
                <w:sz w:val="20"/>
                <w:lang w:val="en-GB"/>
              </w:rPr>
            </w:pPr>
          </w:p>
        </w:tc>
      </w:tr>
      <w:tr w:rsidR="00680E4A" w:rsidRPr="00C658ED" w14:paraId="007F7B82" w14:textId="77777777" w:rsidTr="00466860">
        <w:tc>
          <w:tcPr>
            <w:tcW w:w="3510" w:type="dxa"/>
            <w:tcBorders>
              <w:bottom w:val="nil"/>
            </w:tcBorders>
          </w:tcPr>
          <w:p w14:paraId="715A1B2C" w14:textId="18F1C001" w:rsidR="00680E4A" w:rsidRPr="00485022" w:rsidRDefault="00B70FC2" w:rsidP="00680E4A">
            <w:pPr>
              <w:rPr>
                <w:rFonts w:ascii="Arial" w:hAnsi="Arial" w:cs="Arial"/>
                <w:b/>
                <w:sz w:val="20"/>
                <w:lang w:val="en-GB"/>
              </w:rPr>
            </w:pPr>
            <w:r>
              <w:rPr>
                <w:rFonts w:ascii="Arial" w:hAnsi="Arial" w:cs="Arial"/>
                <w:b/>
                <w:sz w:val="20"/>
                <w:lang w:val="en-GB"/>
              </w:rPr>
              <w:t>Initial Price</w:t>
            </w:r>
            <w:r w:rsidR="00680E4A" w:rsidRPr="00485022">
              <w:rPr>
                <w:rFonts w:ascii="Arial" w:hAnsi="Arial" w:cs="Arial"/>
                <w:b/>
                <w:sz w:val="20"/>
                <w:lang w:val="en-GB"/>
              </w:rPr>
              <w:t>:</w:t>
            </w:r>
          </w:p>
        </w:tc>
        <w:tc>
          <w:tcPr>
            <w:tcW w:w="7090" w:type="dxa"/>
            <w:tcBorders>
              <w:bottom w:val="nil"/>
            </w:tcBorders>
          </w:tcPr>
          <w:p w14:paraId="28D14CE3" w14:textId="38F88976" w:rsidR="00680E4A" w:rsidRPr="00312DC2" w:rsidRDefault="00B70FC2" w:rsidP="00680E4A">
            <w:pPr>
              <w:jc w:val="both"/>
              <w:rPr>
                <w:rFonts w:ascii="Arial" w:hAnsi="Arial" w:cs="Arial"/>
                <w:sz w:val="20"/>
                <w:lang w:val="en-GB"/>
              </w:rPr>
            </w:pPr>
            <w:r>
              <w:rPr>
                <w:rFonts w:ascii="Arial" w:hAnsi="Arial" w:cs="Arial"/>
                <w:sz w:val="20"/>
                <w:lang w:val="en-GB"/>
              </w:rPr>
              <w:t>As defined, for the Basket, above in section 3</w:t>
            </w:r>
          </w:p>
        </w:tc>
      </w:tr>
      <w:tr w:rsidR="00680E4A" w:rsidRPr="00C658ED" w14:paraId="1B469DD6" w14:textId="77777777" w:rsidTr="00466860">
        <w:tc>
          <w:tcPr>
            <w:tcW w:w="3510" w:type="dxa"/>
            <w:tcBorders>
              <w:bottom w:val="nil"/>
            </w:tcBorders>
          </w:tcPr>
          <w:p w14:paraId="35B1D1F1" w14:textId="77777777" w:rsidR="00680E4A" w:rsidRPr="00485022" w:rsidRDefault="00680E4A" w:rsidP="00680E4A">
            <w:pPr>
              <w:rPr>
                <w:rFonts w:ascii="Arial" w:hAnsi="Arial" w:cs="Arial"/>
                <w:b/>
                <w:sz w:val="20"/>
                <w:lang w:val="en-GB"/>
              </w:rPr>
            </w:pPr>
          </w:p>
        </w:tc>
        <w:tc>
          <w:tcPr>
            <w:tcW w:w="7090" w:type="dxa"/>
            <w:tcBorders>
              <w:bottom w:val="nil"/>
            </w:tcBorders>
          </w:tcPr>
          <w:p w14:paraId="01CFC85F" w14:textId="77777777" w:rsidR="00680E4A" w:rsidRPr="00312DC2" w:rsidRDefault="00680E4A" w:rsidP="00680E4A">
            <w:pPr>
              <w:jc w:val="both"/>
              <w:rPr>
                <w:rFonts w:ascii="Arial" w:hAnsi="Arial" w:cs="Arial"/>
                <w:sz w:val="20"/>
                <w:lang w:val="en-GB"/>
              </w:rPr>
            </w:pPr>
          </w:p>
        </w:tc>
      </w:tr>
      <w:tr w:rsidR="00680E4A" w:rsidRPr="00C658ED" w14:paraId="2B85C3CE" w14:textId="77777777" w:rsidTr="00466860">
        <w:tc>
          <w:tcPr>
            <w:tcW w:w="3510" w:type="dxa"/>
            <w:tcBorders>
              <w:bottom w:val="nil"/>
            </w:tcBorders>
          </w:tcPr>
          <w:p w14:paraId="7F21CC7E" w14:textId="6B4DBAB8" w:rsidR="00680E4A" w:rsidRPr="00312DC2" w:rsidRDefault="00B70FC2" w:rsidP="00680E4A">
            <w:pPr>
              <w:rPr>
                <w:rFonts w:ascii="Arial" w:hAnsi="Arial" w:cs="Arial"/>
                <w:b/>
                <w:sz w:val="20"/>
                <w:lang w:val="en-GB"/>
              </w:rPr>
            </w:pPr>
            <w:r>
              <w:rPr>
                <w:rFonts w:ascii="Arial" w:hAnsi="Arial" w:cs="Arial"/>
                <w:b/>
                <w:sz w:val="20"/>
                <w:lang w:val="en-GB"/>
              </w:rPr>
              <w:t>Termination Price</w:t>
            </w:r>
            <w:r w:rsidR="00680E4A" w:rsidRPr="00312DC2">
              <w:rPr>
                <w:rFonts w:ascii="Arial" w:hAnsi="Arial" w:cs="Arial"/>
                <w:b/>
                <w:sz w:val="20"/>
                <w:lang w:val="en-GB"/>
              </w:rPr>
              <w:t>:</w:t>
            </w:r>
          </w:p>
        </w:tc>
        <w:tc>
          <w:tcPr>
            <w:tcW w:w="7090" w:type="dxa"/>
            <w:tcBorders>
              <w:bottom w:val="nil"/>
            </w:tcBorders>
          </w:tcPr>
          <w:p w14:paraId="70C3502E" w14:textId="77777777" w:rsidR="00680E4A" w:rsidRDefault="00EE3D91" w:rsidP="00680E4A">
            <w:pPr>
              <w:jc w:val="both"/>
              <w:rPr>
                <w:rFonts w:ascii="Arial" w:hAnsi="Arial" w:cs="Arial"/>
                <w:sz w:val="20"/>
                <w:lang w:val="en-GB"/>
              </w:rPr>
            </w:pPr>
            <w:r>
              <w:rPr>
                <w:rFonts w:ascii="Arial" w:hAnsi="Arial" w:cs="Arial"/>
                <w:sz w:val="20"/>
                <w:lang w:val="en-GB"/>
              </w:rPr>
              <w:t>An amount in EUR calculated by the Calculation Agent as per the following formula:</w:t>
            </w:r>
          </w:p>
          <w:p w14:paraId="4E6CA09F" w14:textId="456A0DB4" w:rsidR="00EE3D91" w:rsidRDefault="00C3331E" w:rsidP="00680E4A">
            <w:pPr>
              <w:jc w:val="both"/>
              <w:rPr>
                <w:rFonts w:ascii="Arial" w:hAnsi="Arial" w:cs="Arial"/>
                <w:sz w:val="20"/>
                <w:lang w:val="en-GB"/>
              </w:rPr>
            </w:pPr>
            <m:oMathPara>
              <m:oMath>
                <m:nary>
                  <m:naryPr>
                    <m:chr m:val="∑"/>
                    <m:limLoc m:val="undOvr"/>
                    <m:subHide m:val="1"/>
                    <m:supHide m:val="1"/>
                    <m:ctrlPr>
                      <w:rPr>
                        <w:rFonts w:ascii="Cambria Math" w:hAnsi="Cambria Math" w:cs="Arial"/>
                        <w:b/>
                        <w:sz w:val="20"/>
                        <w:lang w:val="en-GB"/>
                      </w:rPr>
                    </m:ctrlPr>
                  </m:naryPr>
                  <m:sub/>
                  <m:sup/>
                  <m:e>
                    <m:r>
                      <m:rPr>
                        <m:sty m:val="b"/>
                      </m:rPr>
                      <w:rPr>
                        <w:rFonts w:ascii="Cambria Math" w:hAnsi="Cambria Math" w:cs="Arial"/>
                        <w:sz w:val="20"/>
                        <w:lang w:val="en-GB"/>
                      </w:rPr>
                      <m:t>Ni(</m:t>
                    </m:r>
                    <m:d>
                      <m:dPr>
                        <m:ctrlPr>
                          <w:rPr>
                            <w:rFonts w:ascii="Cambria Math" w:hAnsi="Cambria Math" w:cs="Arial"/>
                            <w:b/>
                            <w:sz w:val="20"/>
                            <w:lang w:val="en-GB"/>
                          </w:rPr>
                        </m:ctrlPr>
                      </m:dPr>
                      <m:e>
                        <m:r>
                          <m:rPr>
                            <m:sty m:val="b"/>
                          </m:rPr>
                          <w:rPr>
                            <w:rFonts w:ascii="Cambria Math" w:hAnsi="Cambria Math" w:cs="Arial"/>
                            <w:sz w:val="20"/>
                            <w:lang w:val="en-GB"/>
                          </w:rPr>
                          <m:t>TD</m:t>
                        </m:r>
                      </m:e>
                    </m:d>
                    <m:r>
                      <m:rPr>
                        <m:sty m:val="b"/>
                      </m:rPr>
                      <w:rPr>
                        <w:rFonts w:ascii="Cambria Math" w:hAnsi="Cambria Math" w:cs="Arial"/>
                        <w:sz w:val="20"/>
                        <w:lang w:val="en-GB"/>
                      </w:rPr>
                      <m:t>xPi</m:t>
                    </m:r>
                    <m:d>
                      <m:dPr>
                        <m:ctrlPr>
                          <w:rPr>
                            <w:rFonts w:ascii="Cambria Math" w:hAnsi="Cambria Math" w:cs="Arial"/>
                            <w:b/>
                            <w:sz w:val="20"/>
                            <w:lang w:val="en-GB"/>
                          </w:rPr>
                        </m:ctrlPr>
                      </m:dPr>
                      <m:e>
                        <m:r>
                          <m:rPr>
                            <m:sty m:val="b"/>
                          </m:rPr>
                          <w:rPr>
                            <w:rFonts w:ascii="Cambria Math" w:hAnsi="Cambria Math" w:cs="Arial"/>
                            <w:sz w:val="20"/>
                            <w:lang w:val="en-GB"/>
                          </w:rPr>
                          <m:t>TD</m:t>
                        </m:r>
                      </m:e>
                    </m:d>
                    <m:r>
                      <m:rPr>
                        <m:sty m:val="b"/>
                      </m:rPr>
                      <w:rPr>
                        <w:rFonts w:ascii="Cambria Math" w:hAnsi="Cambria Math" w:cs="Arial"/>
                        <w:sz w:val="20"/>
                        <w:lang w:val="en-GB"/>
                      </w:rPr>
                      <m:t>xFXi(TD)</m:t>
                    </m:r>
                  </m:e>
                </m:nary>
              </m:oMath>
            </m:oMathPara>
          </w:p>
          <w:p w14:paraId="75D95E8F" w14:textId="77777777" w:rsidR="004737DF" w:rsidRDefault="004737DF" w:rsidP="004737DF">
            <w:pPr>
              <w:jc w:val="both"/>
              <w:rPr>
                <w:rFonts w:ascii="Arial" w:hAnsi="Arial" w:cs="Arial"/>
                <w:sz w:val="20"/>
                <w:lang w:val="en-GB"/>
              </w:rPr>
            </w:pPr>
            <w:r>
              <w:rPr>
                <w:rFonts w:ascii="Arial" w:hAnsi="Arial" w:cs="Arial"/>
                <w:sz w:val="20"/>
                <w:lang w:val="en-GB"/>
              </w:rPr>
              <w:t>Where:</w:t>
            </w:r>
          </w:p>
          <w:p w14:paraId="2F0D8CCF" w14:textId="0AB9D4C8" w:rsidR="004737DF" w:rsidRDefault="004737DF" w:rsidP="004737DF">
            <w:pPr>
              <w:jc w:val="both"/>
              <w:rPr>
                <w:rFonts w:ascii="Arial" w:hAnsi="Arial" w:cs="Arial"/>
                <w:sz w:val="20"/>
                <w:lang w:val="en-GB"/>
              </w:rPr>
            </w:pPr>
            <w:r>
              <w:rPr>
                <w:rFonts w:ascii="Arial" w:hAnsi="Arial" w:cs="Arial"/>
                <w:b/>
                <w:sz w:val="20"/>
                <w:lang w:val="en-GB"/>
              </w:rPr>
              <w:t>Ni(T</w:t>
            </w:r>
            <w:r w:rsidRPr="00A402F5">
              <w:rPr>
                <w:rFonts w:ascii="Arial" w:hAnsi="Arial" w:cs="Arial"/>
                <w:b/>
                <w:sz w:val="20"/>
                <w:lang w:val="en-GB"/>
              </w:rPr>
              <w:t>D)</w:t>
            </w:r>
            <w:r>
              <w:rPr>
                <w:rFonts w:ascii="Arial" w:hAnsi="Arial" w:cs="Arial"/>
                <w:sz w:val="20"/>
                <w:lang w:val="en-GB"/>
              </w:rPr>
              <w:t>: (</w:t>
            </w:r>
            <w:proofErr w:type="spellStart"/>
            <w:r>
              <w:rPr>
                <w:rFonts w:ascii="Arial" w:hAnsi="Arial" w:cs="Arial"/>
                <w:sz w:val="20"/>
                <w:lang w:val="en-GB"/>
              </w:rPr>
              <w:t>i</w:t>
            </w:r>
            <w:proofErr w:type="spellEnd"/>
            <w:r>
              <w:rPr>
                <w:rFonts w:ascii="Arial" w:hAnsi="Arial" w:cs="Arial"/>
                <w:sz w:val="20"/>
                <w:lang w:val="en-GB"/>
              </w:rPr>
              <w:t>) in respect of Share, the Number of Shares in the Basket, (ii) in respect of Bond or Convertible Bond, the Number of Bonds or Convertible Bonds</w:t>
            </w:r>
            <w:r w:rsidR="00E6333C">
              <w:rPr>
                <w:rFonts w:ascii="Arial" w:hAnsi="Arial" w:cs="Arial"/>
                <w:sz w:val="20"/>
                <w:lang w:val="en-GB"/>
              </w:rPr>
              <w:t xml:space="preserve"> in the Basket</w:t>
            </w:r>
            <w:r>
              <w:rPr>
                <w:rFonts w:ascii="Arial" w:hAnsi="Arial" w:cs="Arial"/>
                <w:sz w:val="20"/>
                <w:lang w:val="en-GB"/>
              </w:rPr>
              <w:t>, (iii) in the respect of Scrip, the Number of Underlying Shares</w:t>
            </w:r>
            <w:r w:rsidR="00E6333C">
              <w:rPr>
                <w:rFonts w:ascii="Arial" w:hAnsi="Arial" w:cs="Arial"/>
                <w:sz w:val="20"/>
                <w:lang w:val="en-GB"/>
              </w:rPr>
              <w:t xml:space="preserve"> in the Basket</w:t>
            </w:r>
            <w:r>
              <w:rPr>
                <w:rFonts w:ascii="Arial" w:hAnsi="Arial" w:cs="Arial"/>
                <w:sz w:val="20"/>
                <w:lang w:val="en-GB"/>
              </w:rPr>
              <w:t xml:space="preserve">, and (iv) in respect of Fund Interest, the Number of Fund Interest Units </w:t>
            </w:r>
            <w:r w:rsidR="00E6333C">
              <w:rPr>
                <w:rFonts w:ascii="Arial" w:hAnsi="Arial" w:cs="Arial"/>
                <w:sz w:val="20"/>
                <w:lang w:val="en-GB"/>
              </w:rPr>
              <w:t xml:space="preserve">in the Basket </w:t>
            </w:r>
            <w:r>
              <w:rPr>
                <w:rFonts w:ascii="Arial" w:hAnsi="Arial" w:cs="Arial"/>
                <w:sz w:val="20"/>
                <w:lang w:val="en-GB"/>
              </w:rPr>
              <w:t>(in each case, as specified in the Annex 1</w:t>
            </w:r>
            <w:r w:rsidR="00E6333C">
              <w:rPr>
                <w:rFonts w:ascii="Arial" w:hAnsi="Arial" w:cs="Arial"/>
                <w:sz w:val="20"/>
                <w:lang w:val="en-GB"/>
              </w:rPr>
              <w:t>, as the case may be</w:t>
            </w:r>
            <w:r>
              <w:rPr>
                <w:rFonts w:ascii="Arial" w:hAnsi="Arial" w:cs="Arial"/>
                <w:sz w:val="20"/>
                <w:lang w:val="en-GB"/>
              </w:rPr>
              <w:t>).</w:t>
            </w:r>
          </w:p>
          <w:p w14:paraId="35DFBA97" w14:textId="1E258CDB" w:rsidR="004737DF" w:rsidRDefault="0088310B" w:rsidP="004737DF">
            <w:pPr>
              <w:jc w:val="both"/>
              <w:rPr>
                <w:rFonts w:ascii="Arial" w:hAnsi="Arial" w:cs="Arial"/>
                <w:sz w:val="20"/>
                <w:lang w:val="en-GB"/>
              </w:rPr>
            </w:pPr>
            <w:r>
              <w:rPr>
                <w:rFonts w:ascii="Arial" w:hAnsi="Arial" w:cs="Arial"/>
                <w:b/>
                <w:sz w:val="20"/>
                <w:lang w:val="en-GB"/>
              </w:rPr>
              <w:t>Pi(T</w:t>
            </w:r>
            <w:r w:rsidR="004737DF" w:rsidRPr="00A402F5">
              <w:rPr>
                <w:rFonts w:ascii="Arial" w:hAnsi="Arial" w:cs="Arial"/>
                <w:b/>
                <w:sz w:val="20"/>
                <w:lang w:val="en-GB"/>
              </w:rPr>
              <w:t>D)</w:t>
            </w:r>
            <w:r w:rsidR="004737DF">
              <w:rPr>
                <w:rFonts w:ascii="Arial" w:hAnsi="Arial" w:cs="Arial"/>
                <w:sz w:val="20"/>
                <w:lang w:val="en-GB"/>
              </w:rPr>
              <w:t>: the relevant Price of each Basket Asset, comprised</w:t>
            </w:r>
            <w:r>
              <w:rPr>
                <w:rFonts w:ascii="Arial" w:hAnsi="Arial" w:cs="Arial"/>
                <w:sz w:val="20"/>
                <w:lang w:val="en-GB"/>
              </w:rPr>
              <w:t xml:space="preserve"> in the Basket on the Early Termination </w:t>
            </w:r>
            <w:r w:rsidR="004737DF">
              <w:rPr>
                <w:rFonts w:ascii="Arial" w:hAnsi="Arial" w:cs="Arial"/>
                <w:sz w:val="20"/>
                <w:lang w:val="en-GB"/>
              </w:rPr>
              <w:t>Date.</w:t>
            </w:r>
          </w:p>
          <w:p w14:paraId="63060114" w14:textId="1A42FE82" w:rsidR="004737DF" w:rsidRDefault="002946D7" w:rsidP="004737DF">
            <w:pPr>
              <w:jc w:val="both"/>
              <w:rPr>
                <w:rFonts w:ascii="Arial" w:hAnsi="Arial" w:cs="Arial"/>
                <w:sz w:val="20"/>
                <w:lang w:val="en-GB"/>
              </w:rPr>
            </w:pPr>
            <w:proofErr w:type="spellStart"/>
            <w:r>
              <w:rPr>
                <w:rFonts w:ascii="Arial" w:hAnsi="Arial" w:cs="Arial"/>
                <w:b/>
                <w:sz w:val="20"/>
                <w:lang w:val="en-GB"/>
              </w:rPr>
              <w:t>FXi</w:t>
            </w:r>
            <w:proofErr w:type="spellEnd"/>
            <w:r>
              <w:rPr>
                <w:rFonts w:ascii="Arial" w:hAnsi="Arial" w:cs="Arial"/>
                <w:b/>
                <w:sz w:val="20"/>
                <w:lang w:val="en-GB"/>
              </w:rPr>
              <w:t>(T</w:t>
            </w:r>
            <w:r w:rsidR="004737DF" w:rsidRPr="00A402F5">
              <w:rPr>
                <w:rFonts w:ascii="Arial" w:hAnsi="Arial" w:cs="Arial"/>
                <w:b/>
                <w:sz w:val="20"/>
                <w:lang w:val="en-GB"/>
              </w:rPr>
              <w:t>D)</w:t>
            </w:r>
            <w:r w:rsidR="004737DF">
              <w:rPr>
                <w:rFonts w:ascii="Arial" w:hAnsi="Arial" w:cs="Arial"/>
                <w:sz w:val="20"/>
                <w:lang w:val="en-GB"/>
              </w:rPr>
              <w:t>: (</w:t>
            </w:r>
            <w:proofErr w:type="spellStart"/>
            <w:r w:rsidR="004737DF">
              <w:rPr>
                <w:rFonts w:ascii="Arial" w:hAnsi="Arial" w:cs="Arial"/>
                <w:sz w:val="20"/>
                <w:lang w:val="en-GB"/>
              </w:rPr>
              <w:t>i</w:t>
            </w:r>
            <w:proofErr w:type="spellEnd"/>
            <w:r w:rsidR="004737DF">
              <w:rPr>
                <w:rFonts w:ascii="Arial" w:hAnsi="Arial" w:cs="Arial"/>
                <w:sz w:val="20"/>
                <w:lang w:val="en-GB"/>
              </w:rPr>
              <w:t>) where relevant, the spot foreign exchange rate with respect to each Basket Asset and its relevant currency against EUR, as defi</w:t>
            </w:r>
            <w:r>
              <w:rPr>
                <w:rFonts w:ascii="Arial" w:hAnsi="Arial" w:cs="Arial"/>
                <w:sz w:val="20"/>
                <w:lang w:val="en-GB"/>
              </w:rPr>
              <w:t>ned in Annex 1, on the Early Termination</w:t>
            </w:r>
            <w:r w:rsidR="004737DF">
              <w:rPr>
                <w:rFonts w:ascii="Arial" w:hAnsi="Arial" w:cs="Arial"/>
                <w:sz w:val="20"/>
                <w:lang w:val="en-GB"/>
              </w:rPr>
              <w:t xml:space="preserve"> Date or (ii) otherwise,1.</w:t>
            </w:r>
          </w:p>
          <w:p w14:paraId="385AC057" w14:textId="35EF6325" w:rsidR="00EE3D91" w:rsidRDefault="004737DF" w:rsidP="004737DF">
            <w:pPr>
              <w:jc w:val="both"/>
              <w:rPr>
                <w:rFonts w:ascii="Arial" w:hAnsi="Arial" w:cs="Arial"/>
                <w:sz w:val="20"/>
                <w:lang w:val="en-GB"/>
              </w:rPr>
            </w:pPr>
            <w:r w:rsidRPr="00A26B79">
              <w:rPr>
                <w:rFonts w:ascii="Arial" w:hAnsi="Arial" w:cs="Arial"/>
                <w:b/>
                <w:sz w:val="20"/>
                <w:lang w:val="en-GB"/>
              </w:rPr>
              <w:t>Relevant Price</w:t>
            </w:r>
            <w:r w:rsidRPr="00A26B79">
              <w:rPr>
                <w:rFonts w:ascii="Arial" w:hAnsi="Arial" w:cs="Arial"/>
                <w:sz w:val="20"/>
                <w:lang w:val="en-GB"/>
              </w:rPr>
              <w:t>: With resp</w:t>
            </w:r>
            <w:r>
              <w:rPr>
                <w:rFonts w:ascii="Arial" w:hAnsi="Arial" w:cs="Arial"/>
                <w:sz w:val="20"/>
                <w:lang w:val="en-GB"/>
              </w:rPr>
              <w:t xml:space="preserve">ect to the </w:t>
            </w:r>
            <w:r w:rsidR="004948B7">
              <w:rPr>
                <w:rFonts w:ascii="Arial" w:hAnsi="Arial" w:cs="Arial"/>
                <w:sz w:val="20"/>
                <w:lang w:val="en-GB"/>
              </w:rPr>
              <w:t>Early Termination</w:t>
            </w:r>
            <w:r w:rsidRPr="00A26B79">
              <w:rPr>
                <w:rFonts w:ascii="Arial" w:hAnsi="Arial" w:cs="Arial"/>
                <w:sz w:val="20"/>
                <w:lang w:val="en-GB"/>
              </w:rPr>
              <w:t xml:space="preserve"> Date </w:t>
            </w:r>
            <w:r>
              <w:rPr>
                <w:rFonts w:ascii="Arial" w:hAnsi="Arial" w:cs="Arial"/>
                <w:sz w:val="20"/>
                <w:lang w:val="en-GB"/>
              </w:rPr>
              <w:t>(</w:t>
            </w:r>
            <w:proofErr w:type="spellStart"/>
            <w:r>
              <w:rPr>
                <w:rFonts w:ascii="Arial" w:hAnsi="Arial" w:cs="Arial"/>
                <w:sz w:val="20"/>
                <w:lang w:val="en-GB"/>
              </w:rPr>
              <w:t>i</w:t>
            </w:r>
            <w:proofErr w:type="spellEnd"/>
            <w:r>
              <w:rPr>
                <w:rFonts w:ascii="Arial" w:hAnsi="Arial" w:cs="Arial"/>
                <w:sz w:val="20"/>
                <w:lang w:val="en-GB"/>
              </w:rPr>
              <w:t>) in respect of Share, the Share Final Price, (ii) in respect of Bond or Convertible Bond, the Bond or Convertible Bond Final Price, (iii) in respect of Fund Interest, the Fund Interest Unit Final Price, or (iv) in respect of Scrip, the Scrip Final Price (each as defined in the relevant Annex below).</w:t>
            </w:r>
          </w:p>
          <w:p w14:paraId="4EAF05FE" w14:textId="740EA455" w:rsidR="00EE3D91" w:rsidRPr="00312DC2" w:rsidRDefault="00EE3D91" w:rsidP="00680E4A">
            <w:pPr>
              <w:jc w:val="both"/>
              <w:rPr>
                <w:rFonts w:ascii="Arial" w:hAnsi="Arial" w:cs="Arial"/>
                <w:sz w:val="20"/>
                <w:lang w:val="en-GB"/>
              </w:rPr>
            </w:pPr>
          </w:p>
        </w:tc>
      </w:tr>
      <w:tr w:rsidR="00680E4A" w:rsidRPr="00C658ED" w14:paraId="3D73E2B0" w14:textId="77777777" w:rsidTr="00466860">
        <w:tc>
          <w:tcPr>
            <w:tcW w:w="3510" w:type="dxa"/>
            <w:tcBorders>
              <w:bottom w:val="nil"/>
            </w:tcBorders>
          </w:tcPr>
          <w:p w14:paraId="45B58A35" w14:textId="0FE7E5EE" w:rsidR="00680E4A" w:rsidRPr="00312DC2" w:rsidRDefault="00680E4A" w:rsidP="00680E4A">
            <w:pPr>
              <w:rPr>
                <w:rFonts w:ascii="Arial" w:hAnsi="Arial" w:cs="Arial"/>
                <w:b/>
                <w:sz w:val="20"/>
                <w:lang w:val="en-GB"/>
              </w:rPr>
            </w:pPr>
          </w:p>
        </w:tc>
        <w:tc>
          <w:tcPr>
            <w:tcW w:w="7090" w:type="dxa"/>
            <w:tcBorders>
              <w:bottom w:val="nil"/>
            </w:tcBorders>
          </w:tcPr>
          <w:p w14:paraId="6083DAF5" w14:textId="77777777" w:rsidR="00680E4A" w:rsidRPr="00312DC2" w:rsidRDefault="00680E4A" w:rsidP="00680E4A">
            <w:pPr>
              <w:jc w:val="both"/>
              <w:rPr>
                <w:rFonts w:ascii="Arial" w:hAnsi="Arial" w:cs="Arial"/>
                <w:sz w:val="20"/>
                <w:lang w:val="en-GB"/>
              </w:rPr>
            </w:pPr>
          </w:p>
        </w:tc>
      </w:tr>
      <w:tr w:rsidR="00177749" w:rsidRPr="00C658ED" w14:paraId="2B61EFFF" w14:textId="77777777" w:rsidTr="00177749">
        <w:tc>
          <w:tcPr>
            <w:tcW w:w="10600" w:type="dxa"/>
            <w:gridSpan w:val="2"/>
            <w:tcBorders>
              <w:bottom w:val="nil"/>
            </w:tcBorders>
          </w:tcPr>
          <w:p w14:paraId="78C4B73C" w14:textId="5263A9D7" w:rsidR="00177749" w:rsidRPr="00312DC2" w:rsidRDefault="00177749" w:rsidP="00177749">
            <w:pPr>
              <w:pStyle w:val="ListParagraph"/>
              <w:numPr>
                <w:ilvl w:val="0"/>
                <w:numId w:val="3"/>
              </w:numPr>
              <w:rPr>
                <w:rFonts w:ascii="Arial" w:hAnsi="Arial" w:cs="Arial"/>
                <w:b/>
                <w:sz w:val="20"/>
                <w:u w:val="single"/>
                <w:lang w:val="en-GB"/>
              </w:rPr>
            </w:pPr>
            <w:r>
              <w:rPr>
                <w:rFonts w:ascii="Arial" w:hAnsi="Arial" w:cs="Arial"/>
                <w:b/>
                <w:sz w:val="20"/>
                <w:u w:val="single"/>
                <w:lang w:val="en-GB"/>
              </w:rPr>
              <w:t>Basket Adjustment</w:t>
            </w:r>
            <w:r w:rsidR="0070705F">
              <w:rPr>
                <w:rFonts w:ascii="Arial" w:hAnsi="Arial" w:cs="Arial"/>
                <w:b/>
                <w:sz w:val="20"/>
                <w:u w:val="single"/>
                <w:lang w:val="en-GB"/>
              </w:rPr>
              <w:t>:</w:t>
            </w:r>
          </w:p>
          <w:p w14:paraId="4535FDFE" w14:textId="77777777" w:rsidR="00177749" w:rsidRDefault="00177749" w:rsidP="00680E4A">
            <w:pPr>
              <w:jc w:val="both"/>
              <w:rPr>
                <w:rFonts w:ascii="Arial" w:hAnsi="Arial" w:cs="Arial"/>
                <w:sz w:val="20"/>
                <w:lang w:val="en-GB"/>
              </w:rPr>
            </w:pPr>
          </w:p>
          <w:p w14:paraId="435DD01E" w14:textId="76F87533" w:rsidR="00177749" w:rsidRDefault="00177749" w:rsidP="00680E4A">
            <w:pPr>
              <w:jc w:val="both"/>
              <w:rPr>
                <w:rFonts w:ascii="Arial" w:hAnsi="Arial" w:cs="Arial"/>
                <w:sz w:val="20"/>
                <w:lang w:val="en-GB"/>
              </w:rPr>
            </w:pPr>
            <w:r>
              <w:rPr>
                <w:rFonts w:ascii="Arial" w:hAnsi="Arial" w:cs="Arial"/>
                <w:sz w:val="20"/>
                <w:lang w:val="en-GB"/>
              </w:rPr>
              <w:t xml:space="preserve">As a consequence to an Asset Event whereby “Basket Adjustment” is specified in the relevant Annex below, the affected Basket shall be adjusted by removing the Asset affected by that Asset Event from the Basket (being it by an amendment to the present Confirmation modifying the prevailing Annex 1 or by a new Confirmation which will cancel and supersede the present Confirmation) whereby </w:t>
            </w:r>
            <w:r w:rsidR="00EB2DEC">
              <w:rPr>
                <w:rFonts w:ascii="Arial" w:hAnsi="Arial" w:cs="Arial"/>
                <w:sz w:val="20"/>
                <w:lang w:val="en-GB"/>
              </w:rPr>
              <w:t>the amounts</w:t>
            </w:r>
            <w:r w:rsidR="00634D21">
              <w:rPr>
                <w:rFonts w:ascii="Arial" w:hAnsi="Arial" w:cs="Arial"/>
                <w:sz w:val="20"/>
                <w:lang w:val="en-GB"/>
              </w:rPr>
              <w:t xml:space="preserve"> </w:t>
            </w:r>
            <w:r w:rsidR="00EB2DEC">
              <w:rPr>
                <w:rFonts w:ascii="Arial" w:hAnsi="Arial" w:cs="Arial"/>
                <w:sz w:val="20"/>
                <w:lang w:val="en-GB"/>
              </w:rPr>
              <w:t>to be paid by a party to the other with the respect to the removal of the Asset affected by that Asset Event shall be based on the Relevant Price as defined herein and shall be determined as per the provisions contained herein.</w:t>
            </w:r>
          </w:p>
          <w:p w14:paraId="369FCC00" w14:textId="2CF61D09" w:rsidR="00177749" w:rsidRPr="00312DC2" w:rsidRDefault="00177749" w:rsidP="00680E4A">
            <w:pPr>
              <w:jc w:val="both"/>
              <w:rPr>
                <w:rFonts w:ascii="Arial" w:hAnsi="Arial" w:cs="Arial"/>
                <w:sz w:val="20"/>
                <w:lang w:val="en-GB"/>
              </w:rPr>
            </w:pPr>
          </w:p>
        </w:tc>
      </w:tr>
    </w:tbl>
    <w:p w14:paraId="14749052" w14:textId="5C12A57E" w:rsidR="009D322A" w:rsidRPr="00312DC2" w:rsidRDefault="009D322A" w:rsidP="009D322A">
      <w:pPr>
        <w:pStyle w:val="ListParagraph"/>
        <w:numPr>
          <w:ilvl w:val="0"/>
          <w:numId w:val="3"/>
        </w:numPr>
        <w:rPr>
          <w:rFonts w:ascii="Arial" w:hAnsi="Arial" w:cs="Arial"/>
          <w:b/>
          <w:sz w:val="20"/>
          <w:u w:val="single"/>
          <w:lang w:val="en-GB"/>
        </w:rPr>
      </w:pPr>
      <w:r>
        <w:rPr>
          <w:rFonts w:ascii="Arial" w:hAnsi="Arial" w:cs="Arial"/>
          <w:b/>
          <w:sz w:val="20"/>
          <w:u w:val="single"/>
          <w:lang w:val="en-GB"/>
        </w:rPr>
        <w:t>Asset Events</w:t>
      </w:r>
      <w:r w:rsidR="0070705F">
        <w:rPr>
          <w:rFonts w:ascii="Arial" w:hAnsi="Arial" w:cs="Arial"/>
          <w:b/>
          <w:sz w:val="20"/>
          <w:u w:val="single"/>
          <w:lang w:val="en-GB"/>
        </w:rPr>
        <w:t>:</w:t>
      </w:r>
    </w:p>
    <w:p w14:paraId="56D14DCA" w14:textId="77777777" w:rsidR="009D322A" w:rsidRDefault="009D322A" w:rsidP="009D322A">
      <w:pPr>
        <w:jc w:val="both"/>
        <w:rPr>
          <w:rFonts w:ascii="Arial" w:hAnsi="Arial" w:cs="Arial"/>
          <w:sz w:val="20"/>
          <w:lang w:val="en-GB"/>
        </w:rPr>
      </w:pPr>
    </w:p>
    <w:p w14:paraId="36A21A78" w14:textId="0E32B5F3" w:rsidR="009D322A" w:rsidRDefault="009D322A" w:rsidP="009D322A">
      <w:pPr>
        <w:jc w:val="both"/>
        <w:rPr>
          <w:rFonts w:ascii="Arial" w:hAnsi="Arial" w:cs="Arial"/>
          <w:sz w:val="20"/>
          <w:lang w:val="en-GB"/>
        </w:rPr>
      </w:pPr>
      <w:r>
        <w:rPr>
          <w:rFonts w:ascii="Arial" w:hAnsi="Arial" w:cs="Arial"/>
          <w:sz w:val="20"/>
          <w:lang w:val="en-GB"/>
        </w:rPr>
        <w:t>With respect to each Asset, the definition of the events (the “</w:t>
      </w:r>
      <w:r w:rsidRPr="009D322A">
        <w:rPr>
          <w:rFonts w:ascii="Arial" w:hAnsi="Arial" w:cs="Arial"/>
          <w:b/>
          <w:sz w:val="20"/>
          <w:lang w:val="en-GB"/>
        </w:rPr>
        <w:t>Asset Events</w:t>
      </w:r>
      <w:r>
        <w:rPr>
          <w:rFonts w:ascii="Arial" w:hAnsi="Arial" w:cs="Arial"/>
          <w:sz w:val="20"/>
          <w:lang w:val="en-GB"/>
        </w:rPr>
        <w:t>”) affecting the relevant Asset and their consequences are set forth in each Annex below.</w:t>
      </w:r>
    </w:p>
    <w:p w14:paraId="79E97D27" w14:textId="77777777" w:rsidR="00052C39" w:rsidRDefault="00052C39">
      <w:pPr>
        <w:rPr>
          <w:rFonts w:ascii="Arial" w:hAnsi="Arial" w:cs="Arial"/>
          <w:sz w:val="20"/>
          <w:lang w:val="en-GB"/>
        </w:rPr>
      </w:pPr>
    </w:p>
    <w:p w14:paraId="4BE7FE21" w14:textId="41EDD50A" w:rsidR="009D322A" w:rsidRPr="00312DC2" w:rsidRDefault="0070705F" w:rsidP="009D322A">
      <w:pPr>
        <w:pStyle w:val="ListParagraph"/>
        <w:numPr>
          <w:ilvl w:val="0"/>
          <w:numId w:val="3"/>
        </w:numPr>
        <w:rPr>
          <w:rFonts w:ascii="Arial" w:hAnsi="Arial" w:cs="Arial"/>
          <w:b/>
          <w:sz w:val="20"/>
          <w:u w:val="single"/>
          <w:lang w:val="en-GB"/>
        </w:rPr>
      </w:pPr>
      <w:r>
        <w:rPr>
          <w:rFonts w:ascii="Arial" w:hAnsi="Arial" w:cs="Arial"/>
          <w:b/>
          <w:sz w:val="20"/>
          <w:u w:val="single"/>
          <w:lang w:val="en-GB"/>
        </w:rPr>
        <w:t>Substitution:</w:t>
      </w:r>
    </w:p>
    <w:p w14:paraId="1E0D26CF" w14:textId="77777777" w:rsidR="009D322A" w:rsidRDefault="009D322A" w:rsidP="009D322A">
      <w:pPr>
        <w:jc w:val="both"/>
        <w:rPr>
          <w:rFonts w:ascii="Arial" w:hAnsi="Arial" w:cs="Arial"/>
          <w:sz w:val="20"/>
          <w:lang w:val="en-GB"/>
        </w:rPr>
      </w:pPr>
    </w:p>
    <w:p w14:paraId="7B7ED616" w14:textId="2B0A68C2" w:rsidR="009D322A" w:rsidRDefault="00582307">
      <w:pPr>
        <w:rPr>
          <w:rFonts w:ascii="Arial" w:hAnsi="Arial" w:cs="Arial"/>
          <w:sz w:val="20"/>
          <w:lang w:val="en-GB"/>
        </w:rPr>
      </w:pPr>
      <w:r>
        <w:rPr>
          <w:rFonts w:ascii="Arial" w:hAnsi="Arial" w:cs="Arial"/>
          <w:sz w:val="20"/>
          <w:lang w:val="en-GB"/>
        </w:rPr>
        <w:t>Any party may at any time propose to the other party a substitution of any Asset(s) of the Basket (provided that the asset to enter in the Basket belongs to the universe of Assets covered by the confirmation). Upon approval of the other p</w:t>
      </w:r>
      <w:r w:rsidR="004262F6">
        <w:rPr>
          <w:rFonts w:ascii="Arial" w:hAnsi="Arial" w:cs="Arial"/>
          <w:sz w:val="20"/>
          <w:lang w:val="en-GB"/>
        </w:rPr>
        <w:t>arty, the Basket will be accord</w:t>
      </w:r>
      <w:r>
        <w:rPr>
          <w:rFonts w:ascii="Arial" w:hAnsi="Arial" w:cs="Arial"/>
          <w:sz w:val="20"/>
          <w:lang w:val="en-GB"/>
        </w:rPr>
        <w:t>ing</w:t>
      </w:r>
      <w:r w:rsidR="004262F6">
        <w:rPr>
          <w:rFonts w:ascii="Arial" w:hAnsi="Arial" w:cs="Arial"/>
          <w:sz w:val="20"/>
          <w:lang w:val="en-GB"/>
        </w:rPr>
        <w:t>ly adjusted (by an amendment to the present Confirmation modifying accordingly the prevailing Annex 1, an indicative form of which is attached hereto as Annex 6). Such substitution might be done without any payment in cash by any party in case the market value of the removed Assets equals the market value of the included Assets (in that case, the Initial Price</w:t>
      </w:r>
      <w:r w:rsidR="00AD5FD9">
        <w:rPr>
          <w:rFonts w:ascii="Arial" w:hAnsi="Arial" w:cs="Arial"/>
          <w:sz w:val="20"/>
          <w:lang w:val="en-GB"/>
        </w:rPr>
        <w:t xml:space="preserve"> of the new prevailing Basket will be equal to the Initial Price of the old Basket, and indicated in the new prevailing Annex 1).</w:t>
      </w:r>
    </w:p>
    <w:p w14:paraId="3412121F" w14:textId="77777777" w:rsidR="00415395" w:rsidRDefault="00415395">
      <w:pPr>
        <w:rPr>
          <w:rFonts w:ascii="Arial" w:hAnsi="Arial" w:cs="Arial"/>
          <w:sz w:val="20"/>
          <w:lang w:val="en-GB"/>
        </w:rPr>
      </w:pPr>
    </w:p>
    <w:p w14:paraId="344E0CB3" w14:textId="3B1784EF" w:rsidR="00415395" w:rsidRDefault="00415395">
      <w:pPr>
        <w:rPr>
          <w:rFonts w:ascii="Arial" w:hAnsi="Arial" w:cs="Arial"/>
          <w:sz w:val="20"/>
          <w:lang w:val="en-GB"/>
        </w:rPr>
      </w:pPr>
      <w:r>
        <w:rPr>
          <w:rFonts w:ascii="Arial" w:hAnsi="Arial" w:cs="Arial"/>
          <w:sz w:val="20"/>
          <w:lang w:val="en-GB"/>
        </w:rPr>
        <w:lastRenderedPageBreak/>
        <w:t>Please confirm that the foregoing correctly sets for the terms of our agreement by executing the copy of this confirmation where indicated below,</w:t>
      </w:r>
      <w:r w:rsidR="00943DA5">
        <w:rPr>
          <w:rFonts w:ascii="Arial" w:hAnsi="Arial" w:cs="Arial"/>
          <w:sz w:val="20"/>
          <w:lang w:val="en-GB"/>
        </w:rPr>
        <w:t xml:space="preserve"> and returning it to us by mail.</w:t>
      </w:r>
    </w:p>
    <w:p w14:paraId="5DB31AC9" w14:textId="77777777" w:rsidR="00943DA5" w:rsidRDefault="00943DA5">
      <w:pPr>
        <w:rPr>
          <w:rFonts w:ascii="Arial" w:hAnsi="Arial" w:cs="Arial"/>
          <w:sz w:val="20"/>
          <w:lang w:val="en-GB"/>
        </w:rPr>
      </w:pPr>
    </w:p>
    <w:p w14:paraId="353D1333" w14:textId="77777777" w:rsidR="00415395" w:rsidRDefault="00415395">
      <w:pPr>
        <w:rPr>
          <w:rFonts w:ascii="Arial" w:hAnsi="Arial" w:cs="Arial"/>
          <w:sz w:val="20"/>
          <w:lang w:val="en-GB"/>
        </w:rPr>
      </w:pPr>
    </w:p>
    <w:p w14:paraId="0C4463F2" w14:textId="1A0AD904" w:rsidR="00415395" w:rsidRDefault="00B85EFC">
      <w:pPr>
        <w:rPr>
          <w:rFonts w:ascii="Arial" w:hAnsi="Arial" w:cs="Arial"/>
          <w:sz w:val="20"/>
          <w:lang w:val="en-GB"/>
        </w:rPr>
      </w:pPr>
      <w:r>
        <w:rPr>
          <w:rFonts w:ascii="Arial" w:hAnsi="Arial" w:cs="Arial"/>
          <w:sz w:val="20"/>
          <w:lang w:val="en-GB"/>
        </w:rPr>
        <w:t>Yours sincerely,</w:t>
      </w:r>
    </w:p>
    <w:p w14:paraId="35DDD395" w14:textId="77777777" w:rsidR="00B85EFC" w:rsidRDefault="00B85EFC">
      <w:pPr>
        <w:rPr>
          <w:rFonts w:ascii="Arial" w:hAnsi="Arial" w:cs="Arial"/>
          <w:sz w:val="20"/>
          <w:lang w:val="en-GB"/>
        </w:rPr>
      </w:pPr>
    </w:p>
    <w:p w14:paraId="2D3438C9" w14:textId="77777777" w:rsidR="00B85EFC" w:rsidRDefault="00B85EFC">
      <w:pPr>
        <w:rPr>
          <w:rFonts w:ascii="Arial" w:hAnsi="Arial" w:cs="Arial"/>
          <w:sz w:val="20"/>
          <w:lang w:val="en-GB"/>
        </w:rPr>
      </w:pPr>
    </w:p>
    <w:p w14:paraId="7FC96317" w14:textId="3F23DCCE" w:rsidR="00B85EFC" w:rsidRDefault="00B85EFC">
      <w:pPr>
        <w:rPr>
          <w:rFonts w:ascii="Arial" w:hAnsi="Arial" w:cs="Arial"/>
          <w:sz w:val="20"/>
          <w:lang w:val="en-GB"/>
        </w:rPr>
      </w:pPr>
      <w:r>
        <w:rPr>
          <w:rFonts w:ascii="Arial" w:hAnsi="Arial" w:cs="Arial"/>
          <w:sz w:val="20"/>
          <w:lang w:val="en-GB"/>
        </w:rPr>
        <w:t>Party A</w:t>
      </w:r>
    </w:p>
    <w:p w14:paraId="6BEB5B8B" w14:textId="77777777" w:rsidR="00B85EFC" w:rsidRDefault="00B85EFC">
      <w:pPr>
        <w:rPr>
          <w:rFonts w:ascii="Arial" w:hAnsi="Arial" w:cs="Arial"/>
          <w:sz w:val="20"/>
          <w:lang w:val="en-GB"/>
        </w:rPr>
      </w:pPr>
    </w:p>
    <w:p w14:paraId="5DDAA7AC" w14:textId="6B271D54" w:rsidR="00B85EFC" w:rsidRDefault="00B85EFC">
      <w:pPr>
        <w:rPr>
          <w:rFonts w:ascii="Arial" w:hAnsi="Arial" w:cs="Arial"/>
          <w:sz w:val="20"/>
          <w:lang w:val="en-GB"/>
        </w:rPr>
      </w:pPr>
      <w:r>
        <w:rPr>
          <w:rFonts w:ascii="Arial" w:hAnsi="Arial" w:cs="Arial"/>
          <w:sz w:val="20"/>
          <w:lang w:val="en-GB"/>
        </w:rPr>
        <w:t>By:</w:t>
      </w:r>
    </w:p>
    <w:p w14:paraId="285F4D59" w14:textId="4FB55A9B" w:rsidR="00B85EFC" w:rsidRDefault="00B85EFC">
      <w:pPr>
        <w:rPr>
          <w:rFonts w:ascii="Arial" w:hAnsi="Arial" w:cs="Arial"/>
          <w:sz w:val="20"/>
          <w:lang w:val="en-GB"/>
        </w:rPr>
      </w:pPr>
      <w:r>
        <w:rPr>
          <w:rFonts w:ascii="Arial" w:hAnsi="Arial" w:cs="Arial"/>
          <w:sz w:val="20"/>
          <w:lang w:val="en-GB"/>
        </w:rPr>
        <w:t>Name and T</w:t>
      </w:r>
      <w:r w:rsidR="00297673">
        <w:rPr>
          <w:rFonts w:ascii="Arial" w:hAnsi="Arial" w:cs="Arial"/>
          <w:sz w:val="20"/>
          <w:lang w:val="en-GB"/>
        </w:rPr>
        <w:t>itle</w:t>
      </w:r>
      <w:r>
        <w:rPr>
          <w:rFonts w:ascii="Arial" w:hAnsi="Arial" w:cs="Arial"/>
          <w:sz w:val="20"/>
          <w:lang w:val="en-GB"/>
        </w:rPr>
        <w:t>:</w:t>
      </w:r>
    </w:p>
    <w:p w14:paraId="7AAB4550" w14:textId="77777777" w:rsidR="00297673" w:rsidRDefault="00297673">
      <w:pPr>
        <w:rPr>
          <w:rFonts w:ascii="Arial" w:hAnsi="Arial" w:cs="Arial"/>
          <w:sz w:val="20"/>
          <w:lang w:val="en-GB"/>
        </w:rPr>
      </w:pPr>
    </w:p>
    <w:p w14:paraId="178F135D" w14:textId="77777777" w:rsidR="00297673" w:rsidRDefault="00297673">
      <w:pPr>
        <w:rPr>
          <w:rFonts w:ascii="Arial" w:hAnsi="Arial" w:cs="Arial"/>
          <w:sz w:val="20"/>
          <w:lang w:val="en-GB"/>
        </w:rPr>
      </w:pPr>
    </w:p>
    <w:p w14:paraId="7B61D581" w14:textId="77777777" w:rsidR="00297673" w:rsidRDefault="00297673">
      <w:pPr>
        <w:rPr>
          <w:rFonts w:ascii="Arial" w:hAnsi="Arial" w:cs="Arial"/>
          <w:sz w:val="20"/>
          <w:lang w:val="en-GB"/>
        </w:rPr>
      </w:pPr>
    </w:p>
    <w:p w14:paraId="7348B6F6" w14:textId="77777777" w:rsidR="00297673" w:rsidRDefault="00297673">
      <w:pPr>
        <w:rPr>
          <w:rFonts w:ascii="Arial" w:hAnsi="Arial" w:cs="Arial"/>
          <w:sz w:val="20"/>
          <w:lang w:val="en-GB"/>
        </w:rPr>
      </w:pPr>
    </w:p>
    <w:p w14:paraId="479FFA5F" w14:textId="77777777" w:rsidR="00297673" w:rsidRDefault="00297673">
      <w:pPr>
        <w:rPr>
          <w:rFonts w:ascii="Arial" w:hAnsi="Arial" w:cs="Arial"/>
          <w:sz w:val="20"/>
          <w:lang w:val="en-GB"/>
        </w:rPr>
      </w:pPr>
    </w:p>
    <w:p w14:paraId="5F54E3DA" w14:textId="77777777" w:rsidR="00297673" w:rsidRDefault="00297673">
      <w:pPr>
        <w:rPr>
          <w:rFonts w:ascii="Arial" w:hAnsi="Arial" w:cs="Arial"/>
          <w:sz w:val="20"/>
          <w:lang w:val="en-GB"/>
        </w:rPr>
      </w:pPr>
    </w:p>
    <w:p w14:paraId="56B61E20" w14:textId="77777777" w:rsidR="00297673" w:rsidRDefault="00297673">
      <w:pPr>
        <w:rPr>
          <w:rFonts w:ascii="Arial" w:hAnsi="Arial" w:cs="Arial"/>
          <w:sz w:val="20"/>
          <w:lang w:val="en-GB"/>
        </w:rPr>
      </w:pPr>
    </w:p>
    <w:p w14:paraId="23AE9C1A" w14:textId="77777777" w:rsidR="00297673" w:rsidRDefault="00297673">
      <w:pPr>
        <w:rPr>
          <w:rFonts w:ascii="Arial" w:hAnsi="Arial" w:cs="Arial"/>
          <w:sz w:val="20"/>
          <w:lang w:val="en-GB"/>
        </w:rPr>
      </w:pPr>
    </w:p>
    <w:p w14:paraId="7CA74930" w14:textId="77777777" w:rsidR="00297673" w:rsidRDefault="00297673">
      <w:pPr>
        <w:rPr>
          <w:rFonts w:ascii="Arial" w:hAnsi="Arial" w:cs="Arial"/>
          <w:sz w:val="20"/>
          <w:lang w:val="en-GB"/>
        </w:rPr>
      </w:pPr>
    </w:p>
    <w:p w14:paraId="38AFBC09" w14:textId="48CD7A03" w:rsidR="00297673" w:rsidRDefault="00297673">
      <w:pPr>
        <w:rPr>
          <w:rFonts w:ascii="Arial" w:hAnsi="Arial" w:cs="Arial"/>
          <w:sz w:val="20"/>
          <w:lang w:val="en-GB"/>
        </w:rPr>
      </w:pPr>
      <w:r>
        <w:rPr>
          <w:rFonts w:ascii="Arial" w:hAnsi="Arial" w:cs="Arial"/>
          <w:sz w:val="20"/>
          <w:lang w:val="en-GB"/>
        </w:rPr>
        <w:t>Confirmed by as of the date first above written:</w:t>
      </w:r>
    </w:p>
    <w:p w14:paraId="0DCEAFA4" w14:textId="4D34E54B" w:rsidR="00297673" w:rsidRDefault="00297673">
      <w:pPr>
        <w:rPr>
          <w:rFonts w:ascii="Arial" w:hAnsi="Arial" w:cs="Arial"/>
          <w:sz w:val="20"/>
          <w:lang w:val="en-GB"/>
        </w:rPr>
      </w:pPr>
      <w:r>
        <w:rPr>
          <w:rFonts w:ascii="Arial" w:hAnsi="Arial" w:cs="Arial"/>
          <w:sz w:val="20"/>
          <w:lang w:val="en-GB"/>
        </w:rPr>
        <w:t>Party B</w:t>
      </w:r>
    </w:p>
    <w:p w14:paraId="66E68FA7" w14:textId="77777777" w:rsidR="00297673" w:rsidRDefault="00297673">
      <w:pPr>
        <w:rPr>
          <w:rFonts w:ascii="Arial" w:hAnsi="Arial" w:cs="Arial"/>
          <w:sz w:val="20"/>
          <w:lang w:val="en-GB"/>
        </w:rPr>
      </w:pPr>
    </w:p>
    <w:p w14:paraId="72D16C49" w14:textId="77777777" w:rsidR="00297673" w:rsidRDefault="00297673" w:rsidP="00297673">
      <w:pPr>
        <w:rPr>
          <w:rFonts w:ascii="Arial" w:hAnsi="Arial" w:cs="Arial"/>
          <w:sz w:val="20"/>
          <w:lang w:val="en-GB"/>
        </w:rPr>
      </w:pPr>
      <w:r>
        <w:rPr>
          <w:rFonts w:ascii="Arial" w:hAnsi="Arial" w:cs="Arial"/>
          <w:sz w:val="20"/>
          <w:lang w:val="en-GB"/>
        </w:rPr>
        <w:t>By:</w:t>
      </w:r>
    </w:p>
    <w:p w14:paraId="673432FA" w14:textId="77777777" w:rsidR="00297673" w:rsidRDefault="00297673" w:rsidP="00297673">
      <w:pPr>
        <w:rPr>
          <w:rFonts w:ascii="Arial" w:hAnsi="Arial" w:cs="Arial"/>
          <w:sz w:val="20"/>
          <w:lang w:val="en-GB"/>
        </w:rPr>
      </w:pPr>
      <w:r>
        <w:rPr>
          <w:rFonts w:ascii="Arial" w:hAnsi="Arial" w:cs="Arial"/>
          <w:sz w:val="20"/>
          <w:lang w:val="en-GB"/>
        </w:rPr>
        <w:t>Name and Title:</w:t>
      </w:r>
    </w:p>
    <w:p w14:paraId="2A9BF604" w14:textId="77777777" w:rsidR="00B85EFC" w:rsidRDefault="00B85EFC">
      <w:pPr>
        <w:rPr>
          <w:rFonts w:ascii="Arial" w:hAnsi="Arial" w:cs="Arial"/>
          <w:sz w:val="20"/>
          <w:lang w:val="en-GB"/>
        </w:rPr>
      </w:pPr>
    </w:p>
    <w:p w14:paraId="3F8B4E04" w14:textId="77777777" w:rsidR="006B19F3" w:rsidRDefault="006B19F3">
      <w:pPr>
        <w:rPr>
          <w:rFonts w:ascii="Arial" w:hAnsi="Arial" w:cs="Arial"/>
          <w:sz w:val="20"/>
          <w:lang w:val="en-GB"/>
        </w:rPr>
      </w:pPr>
    </w:p>
    <w:p w14:paraId="5E3CC791" w14:textId="77777777" w:rsidR="006B19F3" w:rsidRDefault="006B19F3">
      <w:pPr>
        <w:rPr>
          <w:rFonts w:ascii="Arial" w:hAnsi="Arial" w:cs="Arial"/>
          <w:sz w:val="20"/>
          <w:lang w:val="en-GB"/>
        </w:rPr>
      </w:pPr>
    </w:p>
    <w:p w14:paraId="5CC0F6E4" w14:textId="71CC7446" w:rsidR="006B19F3" w:rsidRDefault="006B19F3">
      <w:pPr>
        <w:rPr>
          <w:rFonts w:ascii="Arial" w:hAnsi="Arial" w:cs="Arial"/>
          <w:sz w:val="20"/>
          <w:lang w:val="en-GB"/>
        </w:rPr>
      </w:pPr>
      <w:r>
        <w:rPr>
          <w:rFonts w:ascii="Arial" w:hAnsi="Arial" w:cs="Arial"/>
          <w:sz w:val="20"/>
          <w:lang w:val="en-GB"/>
        </w:rPr>
        <w:br w:type="page"/>
      </w:r>
    </w:p>
    <w:p w14:paraId="4B958D67" w14:textId="1A424077" w:rsidR="006B19F3" w:rsidRDefault="006B19F3" w:rsidP="006B19F3">
      <w:pPr>
        <w:jc w:val="center"/>
        <w:rPr>
          <w:rFonts w:ascii="Arial" w:hAnsi="Arial" w:cs="Arial"/>
          <w:sz w:val="20"/>
          <w:lang w:val="en-GB"/>
        </w:rPr>
      </w:pPr>
      <w:r>
        <w:rPr>
          <w:rFonts w:ascii="Arial" w:hAnsi="Arial" w:cs="Arial"/>
          <w:sz w:val="20"/>
          <w:lang w:val="en-GB"/>
        </w:rPr>
        <w:lastRenderedPageBreak/>
        <w:t>ANNEX 1</w:t>
      </w:r>
    </w:p>
    <w:p w14:paraId="435E7884" w14:textId="446E9C88" w:rsidR="006B19F3" w:rsidRDefault="006B19F3" w:rsidP="006B19F3">
      <w:pPr>
        <w:jc w:val="center"/>
        <w:rPr>
          <w:rFonts w:ascii="Arial" w:hAnsi="Arial" w:cs="Arial"/>
          <w:sz w:val="20"/>
          <w:lang w:val="en-GB"/>
        </w:rPr>
      </w:pPr>
      <w:r>
        <w:rPr>
          <w:rFonts w:ascii="Arial" w:hAnsi="Arial" w:cs="Arial"/>
          <w:sz w:val="20"/>
          <w:lang w:val="en-GB"/>
        </w:rPr>
        <w:t>(As of Trade Date)</w:t>
      </w:r>
    </w:p>
    <w:p w14:paraId="7AAFC6E8" w14:textId="77777777" w:rsidR="006B19F3" w:rsidRDefault="006B19F3" w:rsidP="006B19F3">
      <w:pPr>
        <w:jc w:val="center"/>
        <w:rPr>
          <w:rFonts w:ascii="Arial" w:hAnsi="Arial" w:cs="Arial"/>
          <w:sz w:val="20"/>
          <w:lang w:val="en-GB"/>
        </w:rPr>
      </w:pPr>
    </w:p>
    <w:p w14:paraId="6277D6C2" w14:textId="77777777" w:rsidR="006B19F3" w:rsidRDefault="006B19F3" w:rsidP="006B19F3">
      <w:pPr>
        <w:jc w:val="center"/>
        <w:rPr>
          <w:rFonts w:ascii="Arial" w:hAnsi="Arial" w:cs="Arial"/>
          <w:sz w:val="20"/>
          <w:lang w:val="en-GB"/>
        </w:rPr>
      </w:pPr>
    </w:p>
    <w:p w14:paraId="2A76CA03" w14:textId="26860B39" w:rsidR="006B19F3" w:rsidRDefault="006B19F3" w:rsidP="006B19F3">
      <w:pPr>
        <w:jc w:val="center"/>
        <w:rPr>
          <w:rFonts w:ascii="Arial" w:hAnsi="Arial" w:cs="Arial"/>
          <w:sz w:val="20"/>
          <w:lang w:val="en-GB"/>
        </w:rPr>
      </w:pPr>
      <w:r>
        <w:rPr>
          <w:rFonts w:ascii="Arial" w:hAnsi="Arial" w:cs="Arial"/>
          <w:sz w:val="20"/>
          <w:lang w:val="en-GB"/>
        </w:rPr>
        <w:t>The Basket is composed of the following Assets:</w:t>
      </w:r>
    </w:p>
    <w:p w14:paraId="2A30A065" w14:textId="77777777" w:rsidR="006B19F3" w:rsidRDefault="006B19F3" w:rsidP="006B19F3">
      <w:pPr>
        <w:jc w:val="center"/>
        <w:rPr>
          <w:rFonts w:ascii="Arial" w:hAnsi="Arial" w:cs="Arial"/>
          <w:sz w:val="20"/>
          <w:lang w:val="en-GB"/>
        </w:rPr>
      </w:pPr>
    </w:p>
    <w:tbl>
      <w:tblPr>
        <w:tblStyle w:val="TableGrid"/>
        <w:tblW w:w="0" w:type="auto"/>
        <w:tblLook w:val="04A0" w:firstRow="1" w:lastRow="0" w:firstColumn="1" w:lastColumn="0" w:noHBand="0" w:noVBand="1"/>
      </w:tblPr>
      <w:tblGrid>
        <w:gridCol w:w="1325"/>
        <w:gridCol w:w="1325"/>
        <w:gridCol w:w="1325"/>
        <w:gridCol w:w="1325"/>
        <w:gridCol w:w="1325"/>
        <w:gridCol w:w="1325"/>
        <w:gridCol w:w="1325"/>
        <w:gridCol w:w="1325"/>
      </w:tblGrid>
      <w:tr w:rsidR="006B19F3" w14:paraId="076947CA" w14:textId="77777777" w:rsidTr="006B19F3">
        <w:tc>
          <w:tcPr>
            <w:tcW w:w="1325" w:type="dxa"/>
          </w:tcPr>
          <w:p w14:paraId="5644200B" w14:textId="77777777" w:rsidR="006B19F3" w:rsidRDefault="006B19F3" w:rsidP="006B19F3">
            <w:pPr>
              <w:jc w:val="center"/>
              <w:rPr>
                <w:rFonts w:ascii="Arial" w:hAnsi="Arial" w:cs="Arial"/>
                <w:sz w:val="20"/>
                <w:lang w:val="en-GB"/>
              </w:rPr>
            </w:pPr>
          </w:p>
        </w:tc>
        <w:tc>
          <w:tcPr>
            <w:tcW w:w="1325" w:type="dxa"/>
          </w:tcPr>
          <w:p w14:paraId="0E8E3651" w14:textId="560B2D75" w:rsidR="006B19F3" w:rsidRDefault="006B19F3" w:rsidP="006B19F3">
            <w:pPr>
              <w:jc w:val="center"/>
              <w:rPr>
                <w:rFonts w:ascii="Arial" w:hAnsi="Arial" w:cs="Arial"/>
                <w:sz w:val="20"/>
                <w:lang w:val="en-GB"/>
              </w:rPr>
            </w:pPr>
            <w:r>
              <w:rPr>
                <w:rFonts w:ascii="Arial" w:hAnsi="Arial" w:cs="Arial"/>
                <w:sz w:val="20"/>
                <w:lang w:val="en-GB"/>
              </w:rPr>
              <w:t>Underlying</w:t>
            </w:r>
          </w:p>
        </w:tc>
        <w:tc>
          <w:tcPr>
            <w:tcW w:w="1325" w:type="dxa"/>
          </w:tcPr>
          <w:p w14:paraId="00C67F9F" w14:textId="05DBB5BA" w:rsidR="006B19F3" w:rsidRDefault="006B19F3" w:rsidP="006B19F3">
            <w:pPr>
              <w:jc w:val="center"/>
              <w:rPr>
                <w:rFonts w:ascii="Arial" w:hAnsi="Arial" w:cs="Arial"/>
                <w:sz w:val="20"/>
                <w:lang w:val="en-GB"/>
              </w:rPr>
            </w:pPr>
            <w:proofErr w:type="spellStart"/>
            <w:r>
              <w:rPr>
                <w:rFonts w:ascii="Arial" w:hAnsi="Arial" w:cs="Arial"/>
                <w:sz w:val="20"/>
                <w:lang w:val="en-GB"/>
              </w:rPr>
              <w:t>Isin</w:t>
            </w:r>
            <w:proofErr w:type="spellEnd"/>
          </w:p>
        </w:tc>
        <w:tc>
          <w:tcPr>
            <w:tcW w:w="1325" w:type="dxa"/>
          </w:tcPr>
          <w:p w14:paraId="5A1AA118" w14:textId="58D75A57" w:rsidR="006B19F3" w:rsidRDefault="006B19F3" w:rsidP="006B19F3">
            <w:pPr>
              <w:jc w:val="center"/>
              <w:rPr>
                <w:rFonts w:ascii="Arial" w:hAnsi="Arial" w:cs="Arial"/>
                <w:sz w:val="20"/>
                <w:lang w:val="en-GB"/>
              </w:rPr>
            </w:pPr>
            <w:r>
              <w:rPr>
                <w:rFonts w:ascii="Arial" w:hAnsi="Arial" w:cs="Arial"/>
                <w:sz w:val="20"/>
                <w:lang w:val="en-GB"/>
              </w:rPr>
              <w:t>Bloomberg</w:t>
            </w:r>
          </w:p>
        </w:tc>
        <w:tc>
          <w:tcPr>
            <w:tcW w:w="1325" w:type="dxa"/>
          </w:tcPr>
          <w:p w14:paraId="4AA3079C" w14:textId="58B1972B" w:rsidR="006B19F3" w:rsidRDefault="006B19F3" w:rsidP="006B19F3">
            <w:pPr>
              <w:jc w:val="center"/>
              <w:rPr>
                <w:rFonts w:ascii="Arial" w:hAnsi="Arial" w:cs="Arial"/>
                <w:sz w:val="20"/>
                <w:lang w:val="en-GB"/>
              </w:rPr>
            </w:pPr>
            <w:r>
              <w:rPr>
                <w:rFonts w:ascii="Arial" w:hAnsi="Arial" w:cs="Arial"/>
                <w:sz w:val="20"/>
                <w:lang w:val="en-GB"/>
              </w:rPr>
              <w:t>Quantity</w:t>
            </w:r>
          </w:p>
        </w:tc>
        <w:tc>
          <w:tcPr>
            <w:tcW w:w="1325" w:type="dxa"/>
          </w:tcPr>
          <w:p w14:paraId="6B67D492" w14:textId="3001251D" w:rsidR="006B19F3" w:rsidRDefault="006B19F3" w:rsidP="006B19F3">
            <w:pPr>
              <w:jc w:val="center"/>
              <w:rPr>
                <w:rFonts w:ascii="Arial" w:hAnsi="Arial" w:cs="Arial"/>
                <w:sz w:val="20"/>
                <w:lang w:val="en-GB"/>
              </w:rPr>
            </w:pPr>
            <w:r>
              <w:rPr>
                <w:rFonts w:ascii="Arial" w:hAnsi="Arial" w:cs="Arial"/>
                <w:sz w:val="20"/>
                <w:lang w:val="en-GB"/>
              </w:rPr>
              <w:t>Currency</w:t>
            </w:r>
          </w:p>
        </w:tc>
        <w:tc>
          <w:tcPr>
            <w:tcW w:w="1325" w:type="dxa"/>
          </w:tcPr>
          <w:p w14:paraId="0952CA45" w14:textId="36F990DE" w:rsidR="006B19F3" w:rsidRDefault="006B19F3" w:rsidP="006B19F3">
            <w:pPr>
              <w:jc w:val="center"/>
              <w:rPr>
                <w:rFonts w:ascii="Arial" w:hAnsi="Arial" w:cs="Arial"/>
                <w:sz w:val="20"/>
                <w:lang w:val="en-GB"/>
              </w:rPr>
            </w:pPr>
            <w:r>
              <w:rPr>
                <w:rFonts w:ascii="Arial" w:hAnsi="Arial" w:cs="Arial"/>
                <w:sz w:val="20"/>
                <w:lang w:val="en-GB"/>
              </w:rPr>
              <w:t>FX</w:t>
            </w:r>
          </w:p>
        </w:tc>
        <w:tc>
          <w:tcPr>
            <w:tcW w:w="1325" w:type="dxa"/>
          </w:tcPr>
          <w:p w14:paraId="48267BD4" w14:textId="1F376B7E" w:rsidR="006B19F3" w:rsidRDefault="006B19F3" w:rsidP="006B19F3">
            <w:pPr>
              <w:jc w:val="center"/>
              <w:rPr>
                <w:rFonts w:ascii="Arial" w:hAnsi="Arial" w:cs="Arial"/>
                <w:sz w:val="20"/>
                <w:lang w:val="en-GB"/>
              </w:rPr>
            </w:pPr>
            <w:r>
              <w:rPr>
                <w:rFonts w:ascii="Arial" w:hAnsi="Arial" w:cs="Arial"/>
                <w:sz w:val="20"/>
                <w:lang w:val="en-GB"/>
              </w:rPr>
              <w:t>Price</w:t>
            </w:r>
          </w:p>
        </w:tc>
      </w:tr>
      <w:tr w:rsidR="006B19F3" w14:paraId="79E38DF8" w14:textId="77777777" w:rsidTr="006B19F3">
        <w:tc>
          <w:tcPr>
            <w:tcW w:w="1325" w:type="dxa"/>
          </w:tcPr>
          <w:p w14:paraId="6CF3C6B4" w14:textId="034E0FC4" w:rsidR="006B19F3" w:rsidRDefault="006B19F3" w:rsidP="006B19F3">
            <w:pPr>
              <w:jc w:val="center"/>
              <w:rPr>
                <w:rFonts w:ascii="Arial" w:hAnsi="Arial" w:cs="Arial"/>
                <w:sz w:val="20"/>
                <w:lang w:val="en-GB"/>
              </w:rPr>
            </w:pPr>
            <w:r>
              <w:rPr>
                <w:rFonts w:ascii="Arial" w:hAnsi="Arial" w:cs="Arial"/>
                <w:sz w:val="20"/>
                <w:lang w:val="en-GB"/>
              </w:rPr>
              <w:t>1</w:t>
            </w:r>
          </w:p>
        </w:tc>
        <w:tc>
          <w:tcPr>
            <w:tcW w:w="1325" w:type="dxa"/>
          </w:tcPr>
          <w:p w14:paraId="5F1ADBAE" w14:textId="2C238842" w:rsidR="006B19F3" w:rsidRDefault="006B19F3" w:rsidP="006B19F3">
            <w:pPr>
              <w:jc w:val="center"/>
              <w:rPr>
                <w:rFonts w:ascii="Arial" w:hAnsi="Arial" w:cs="Arial"/>
                <w:sz w:val="20"/>
                <w:lang w:val="en-GB"/>
              </w:rPr>
            </w:pPr>
            <w:r>
              <w:rPr>
                <w:rFonts w:ascii="Arial" w:hAnsi="Arial" w:cs="Arial"/>
                <w:sz w:val="20"/>
                <w:lang w:val="en-GB"/>
              </w:rPr>
              <w:t>Bond</w:t>
            </w:r>
          </w:p>
        </w:tc>
        <w:tc>
          <w:tcPr>
            <w:tcW w:w="1325" w:type="dxa"/>
          </w:tcPr>
          <w:p w14:paraId="246A7875" w14:textId="77777777" w:rsidR="006B19F3" w:rsidRDefault="006B19F3" w:rsidP="006B19F3">
            <w:pPr>
              <w:jc w:val="center"/>
              <w:rPr>
                <w:rFonts w:ascii="Arial" w:hAnsi="Arial" w:cs="Arial"/>
                <w:sz w:val="20"/>
                <w:lang w:val="en-GB"/>
              </w:rPr>
            </w:pPr>
          </w:p>
        </w:tc>
        <w:tc>
          <w:tcPr>
            <w:tcW w:w="1325" w:type="dxa"/>
          </w:tcPr>
          <w:p w14:paraId="239BD69B" w14:textId="77777777" w:rsidR="006B19F3" w:rsidRDefault="006B19F3" w:rsidP="006B19F3">
            <w:pPr>
              <w:jc w:val="center"/>
              <w:rPr>
                <w:rFonts w:ascii="Arial" w:hAnsi="Arial" w:cs="Arial"/>
                <w:sz w:val="20"/>
                <w:lang w:val="en-GB"/>
              </w:rPr>
            </w:pPr>
          </w:p>
        </w:tc>
        <w:tc>
          <w:tcPr>
            <w:tcW w:w="1325" w:type="dxa"/>
          </w:tcPr>
          <w:p w14:paraId="2C84B155" w14:textId="77777777" w:rsidR="006B19F3" w:rsidRDefault="006B19F3" w:rsidP="006B19F3">
            <w:pPr>
              <w:jc w:val="center"/>
              <w:rPr>
                <w:rFonts w:ascii="Arial" w:hAnsi="Arial" w:cs="Arial"/>
                <w:sz w:val="20"/>
                <w:lang w:val="en-GB"/>
              </w:rPr>
            </w:pPr>
          </w:p>
        </w:tc>
        <w:tc>
          <w:tcPr>
            <w:tcW w:w="1325" w:type="dxa"/>
          </w:tcPr>
          <w:p w14:paraId="7993C61E" w14:textId="77777777" w:rsidR="006B19F3" w:rsidRDefault="006B19F3" w:rsidP="006B19F3">
            <w:pPr>
              <w:jc w:val="center"/>
              <w:rPr>
                <w:rFonts w:ascii="Arial" w:hAnsi="Arial" w:cs="Arial"/>
                <w:sz w:val="20"/>
                <w:lang w:val="en-GB"/>
              </w:rPr>
            </w:pPr>
          </w:p>
        </w:tc>
        <w:tc>
          <w:tcPr>
            <w:tcW w:w="1325" w:type="dxa"/>
          </w:tcPr>
          <w:p w14:paraId="35246E9A" w14:textId="77777777" w:rsidR="006B19F3" w:rsidRDefault="006B19F3" w:rsidP="006B19F3">
            <w:pPr>
              <w:jc w:val="center"/>
              <w:rPr>
                <w:rFonts w:ascii="Arial" w:hAnsi="Arial" w:cs="Arial"/>
                <w:sz w:val="20"/>
                <w:lang w:val="en-GB"/>
              </w:rPr>
            </w:pPr>
          </w:p>
        </w:tc>
        <w:tc>
          <w:tcPr>
            <w:tcW w:w="1325" w:type="dxa"/>
          </w:tcPr>
          <w:p w14:paraId="51B3CD9B" w14:textId="77777777" w:rsidR="006B19F3" w:rsidRDefault="006B19F3" w:rsidP="006B19F3">
            <w:pPr>
              <w:jc w:val="center"/>
              <w:rPr>
                <w:rFonts w:ascii="Arial" w:hAnsi="Arial" w:cs="Arial"/>
                <w:sz w:val="20"/>
                <w:lang w:val="en-GB"/>
              </w:rPr>
            </w:pPr>
          </w:p>
        </w:tc>
      </w:tr>
      <w:tr w:rsidR="006B19F3" w14:paraId="06AC4663" w14:textId="77777777" w:rsidTr="006B19F3">
        <w:tc>
          <w:tcPr>
            <w:tcW w:w="1325" w:type="dxa"/>
          </w:tcPr>
          <w:p w14:paraId="29CA5B0E" w14:textId="049DDC4F" w:rsidR="006B19F3" w:rsidRDefault="006B19F3" w:rsidP="006B19F3">
            <w:pPr>
              <w:jc w:val="center"/>
              <w:rPr>
                <w:rFonts w:ascii="Arial" w:hAnsi="Arial" w:cs="Arial"/>
                <w:sz w:val="20"/>
                <w:lang w:val="en-GB"/>
              </w:rPr>
            </w:pPr>
            <w:r>
              <w:rPr>
                <w:rFonts w:ascii="Arial" w:hAnsi="Arial" w:cs="Arial"/>
                <w:sz w:val="20"/>
                <w:lang w:val="en-GB"/>
              </w:rPr>
              <w:t>2</w:t>
            </w:r>
          </w:p>
        </w:tc>
        <w:tc>
          <w:tcPr>
            <w:tcW w:w="1325" w:type="dxa"/>
          </w:tcPr>
          <w:p w14:paraId="5313FA95" w14:textId="6A2F0A64" w:rsidR="006B19F3" w:rsidRDefault="006B19F3" w:rsidP="006B19F3">
            <w:pPr>
              <w:jc w:val="center"/>
              <w:rPr>
                <w:rFonts w:ascii="Arial" w:hAnsi="Arial" w:cs="Arial"/>
                <w:sz w:val="20"/>
                <w:lang w:val="en-GB"/>
              </w:rPr>
            </w:pPr>
            <w:r>
              <w:rPr>
                <w:rFonts w:ascii="Arial" w:hAnsi="Arial" w:cs="Arial"/>
                <w:sz w:val="20"/>
                <w:lang w:val="en-GB"/>
              </w:rPr>
              <w:t>Equity</w:t>
            </w:r>
          </w:p>
        </w:tc>
        <w:tc>
          <w:tcPr>
            <w:tcW w:w="1325" w:type="dxa"/>
          </w:tcPr>
          <w:p w14:paraId="4080FF72" w14:textId="77777777" w:rsidR="006B19F3" w:rsidRDefault="006B19F3" w:rsidP="006B19F3">
            <w:pPr>
              <w:jc w:val="center"/>
              <w:rPr>
                <w:rFonts w:ascii="Arial" w:hAnsi="Arial" w:cs="Arial"/>
                <w:sz w:val="20"/>
                <w:lang w:val="en-GB"/>
              </w:rPr>
            </w:pPr>
          </w:p>
        </w:tc>
        <w:tc>
          <w:tcPr>
            <w:tcW w:w="1325" w:type="dxa"/>
          </w:tcPr>
          <w:p w14:paraId="2FD47FAC" w14:textId="77777777" w:rsidR="006B19F3" w:rsidRDefault="006B19F3" w:rsidP="006B19F3">
            <w:pPr>
              <w:jc w:val="center"/>
              <w:rPr>
                <w:rFonts w:ascii="Arial" w:hAnsi="Arial" w:cs="Arial"/>
                <w:sz w:val="20"/>
                <w:lang w:val="en-GB"/>
              </w:rPr>
            </w:pPr>
          </w:p>
        </w:tc>
        <w:tc>
          <w:tcPr>
            <w:tcW w:w="1325" w:type="dxa"/>
          </w:tcPr>
          <w:p w14:paraId="0632B95D" w14:textId="77777777" w:rsidR="006B19F3" w:rsidRDefault="006B19F3" w:rsidP="006B19F3">
            <w:pPr>
              <w:jc w:val="center"/>
              <w:rPr>
                <w:rFonts w:ascii="Arial" w:hAnsi="Arial" w:cs="Arial"/>
                <w:sz w:val="20"/>
                <w:lang w:val="en-GB"/>
              </w:rPr>
            </w:pPr>
          </w:p>
        </w:tc>
        <w:tc>
          <w:tcPr>
            <w:tcW w:w="1325" w:type="dxa"/>
          </w:tcPr>
          <w:p w14:paraId="62FDCA06" w14:textId="77777777" w:rsidR="006B19F3" w:rsidRDefault="006B19F3" w:rsidP="006B19F3">
            <w:pPr>
              <w:jc w:val="center"/>
              <w:rPr>
                <w:rFonts w:ascii="Arial" w:hAnsi="Arial" w:cs="Arial"/>
                <w:sz w:val="20"/>
                <w:lang w:val="en-GB"/>
              </w:rPr>
            </w:pPr>
          </w:p>
        </w:tc>
        <w:tc>
          <w:tcPr>
            <w:tcW w:w="1325" w:type="dxa"/>
          </w:tcPr>
          <w:p w14:paraId="3D3C2C96" w14:textId="77777777" w:rsidR="006B19F3" w:rsidRDefault="006B19F3" w:rsidP="006B19F3">
            <w:pPr>
              <w:jc w:val="center"/>
              <w:rPr>
                <w:rFonts w:ascii="Arial" w:hAnsi="Arial" w:cs="Arial"/>
                <w:sz w:val="20"/>
                <w:lang w:val="en-GB"/>
              </w:rPr>
            </w:pPr>
          </w:p>
        </w:tc>
        <w:tc>
          <w:tcPr>
            <w:tcW w:w="1325" w:type="dxa"/>
          </w:tcPr>
          <w:p w14:paraId="48873941" w14:textId="77777777" w:rsidR="006B19F3" w:rsidRDefault="006B19F3" w:rsidP="006B19F3">
            <w:pPr>
              <w:jc w:val="center"/>
              <w:rPr>
                <w:rFonts w:ascii="Arial" w:hAnsi="Arial" w:cs="Arial"/>
                <w:sz w:val="20"/>
                <w:lang w:val="en-GB"/>
              </w:rPr>
            </w:pPr>
          </w:p>
        </w:tc>
      </w:tr>
      <w:tr w:rsidR="006B19F3" w14:paraId="69A2D5D2" w14:textId="77777777" w:rsidTr="006B19F3">
        <w:tc>
          <w:tcPr>
            <w:tcW w:w="1325" w:type="dxa"/>
          </w:tcPr>
          <w:p w14:paraId="1A14FA4A" w14:textId="37197760" w:rsidR="006B19F3" w:rsidRDefault="006B19F3" w:rsidP="006B19F3">
            <w:pPr>
              <w:jc w:val="center"/>
              <w:rPr>
                <w:rFonts w:ascii="Arial" w:hAnsi="Arial" w:cs="Arial"/>
                <w:sz w:val="20"/>
                <w:lang w:val="en-GB"/>
              </w:rPr>
            </w:pPr>
            <w:r>
              <w:rPr>
                <w:rFonts w:ascii="Arial" w:hAnsi="Arial" w:cs="Arial"/>
                <w:sz w:val="20"/>
                <w:lang w:val="en-GB"/>
              </w:rPr>
              <w:t>3</w:t>
            </w:r>
          </w:p>
        </w:tc>
        <w:tc>
          <w:tcPr>
            <w:tcW w:w="1325" w:type="dxa"/>
          </w:tcPr>
          <w:p w14:paraId="31D2B6CF" w14:textId="29AE83EF" w:rsidR="006B19F3" w:rsidRDefault="006B19F3" w:rsidP="006B19F3">
            <w:pPr>
              <w:jc w:val="center"/>
              <w:rPr>
                <w:rFonts w:ascii="Arial" w:hAnsi="Arial" w:cs="Arial"/>
                <w:sz w:val="20"/>
                <w:lang w:val="en-GB"/>
              </w:rPr>
            </w:pPr>
            <w:proofErr w:type="spellStart"/>
            <w:r>
              <w:rPr>
                <w:rFonts w:ascii="Arial" w:hAnsi="Arial" w:cs="Arial"/>
                <w:sz w:val="20"/>
                <w:lang w:val="en-GB"/>
              </w:rPr>
              <w:t>Sicav</w:t>
            </w:r>
            <w:proofErr w:type="spellEnd"/>
          </w:p>
        </w:tc>
        <w:tc>
          <w:tcPr>
            <w:tcW w:w="1325" w:type="dxa"/>
          </w:tcPr>
          <w:p w14:paraId="7BBBF970" w14:textId="77777777" w:rsidR="006B19F3" w:rsidRDefault="006B19F3" w:rsidP="006B19F3">
            <w:pPr>
              <w:jc w:val="center"/>
              <w:rPr>
                <w:rFonts w:ascii="Arial" w:hAnsi="Arial" w:cs="Arial"/>
                <w:sz w:val="20"/>
                <w:lang w:val="en-GB"/>
              </w:rPr>
            </w:pPr>
          </w:p>
        </w:tc>
        <w:tc>
          <w:tcPr>
            <w:tcW w:w="1325" w:type="dxa"/>
          </w:tcPr>
          <w:p w14:paraId="755D4082" w14:textId="77777777" w:rsidR="006B19F3" w:rsidRDefault="006B19F3" w:rsidP="006B19F3">
            <w:pPr>
              <w:jc w:val="center"/>
              <w:rPr>
                <w:rFonts w:ascii="Arial" w:hAnsi="Arial" w:cs="Arial"/>
                <w:sz w:val="20"/>
                <w:lang w:val="en-GB"/>
              </w:rPr>
            </w:pPr>
          </w:p>
        </w:tc>
        <w:tc>
          <w:tcPr>
            <w:tcW w:w="1325" w:type="dxa"/>
          </w:tcPr>
          <w:p w14:paraId="1580C120" w14:textId="77777777" w:rsidR="006B19F3" w:rsidRDefault="006B19F3" w:rsidP="006B19F3">
            <w:pPr>
              <w:jc w:val="center"/>
              <w:rPr>
                <w:rFonts w:ascii="Arial" w:hAnsi="Arial" w:cs="Arial"/>
                <w:sz w:val="20"/>
                <w:lang w:val="en-GB"/>
              </w:rPr>
            </w:pPr>
          </w:p>
        </w:tc>
        <w:tc>
          <w:tcPr>
            <w:tcW w:w="1325" w:type="dxa"/>
          </w:tcPr>
          <w:p w14:paraId="077DB2E2" w14:textId="77777777" w:rsidR="006B19F3" w:rsidRDefault="006B19F3" w:rsidP="006B19F3">
            <w:pPr>
              <w:jc w:val="center"/>
              <w:rPr>
                <w:rFonts w:ascii="Arial" w:hAnsi="Arial" w:cs="Arial"/>
                <w:sz w:val="20"/>
                <w:lang w:val="en-GB"/>
              </w:rPr>
            </w:pPr>
          </w:p>
        </w:tc>
        <w:tc>
          <w:tcPr>
            <w:tcW w:w="1325" w:type="dxa"/>
          </w:tcPr>
          <w:p w14:paraId="7C443BCC" w14:textId="77777777" w:rsidR="006B19F3" w:rsidRDefault="006B19F3" w:rsidP="006B19F3">
            <w:pPr>
              <w:jc w:val="center"/>
              <w:rPr>
                <w:rFonts w:ascii="Arial" w:hAnsi="Arial" w:cs="Arial"/>
                <w:sz w:val="20"/>
                <w:lang w:val="en-GB"/>
              </w:rPr>
            </w:pPr>
          </w:p>
        </w:tc>
        <w:tc>
          <w:tcPr>
            <w:tcW w:w="1325" w:type="dxa"/>
          </w:tcPr>
          <w:p w14:paraId="60B70E0C" w14:textId="77777777" w:rsidR="006B19F3" w:rsidRDefault="006B19F3" w:rsidP="006B19F3">
            <w:pPr>
              <w:jc w:val="center"/>
              <w:rPr>
                <w:rFonts w:ascii="Arial" w:hAnsi="Arial" w:cs="Arial"/>
                <w:sz w:val="20"/>
                <w:lang w:val="en-GB"/>
              </w:rPr>
            </w:pPr>
          </w:p>
        </w:tc>
      </w:tr>
      <w:tr w:rsidR="006B19F3" w14:paraId="68078389" w14:textId="77777777" w:rsidTr="006B19F3">
        <w:tc>
          <w:tcPr>
            <w:tcW w:w="1325" w:type="dxa"/>
          </w:tcPr>
          <w:p w14:paraId="26F1D5F9" w14:textId="67056BF3" w:rsidR="006B19F3" w:rsidRDefault="006B19F3" w:rsidP="006B19F3">
            <w:pPr>
              <w:jc w:val="center"/>
              <w:rPr>
                <w:rFonts w:ascii="Arial" w:hAnsi="Arial" w:cs="Arial"/>
                <w:sz w:val="20"/>
                <w:lang w:val="en-GB"/>
              </w:rPr>
            </w:pPr>
            <w:r>
              <w:rPr>
                <w:rFonts w:ascii="Arial" w:hAnsi="Arial" w:cs="Arial"/>
                <w:sz w:val="20"/>
                <w:lang w:val="en-GB"/>
              </w:rPr>
              <w:t>4</w:t>
            </w:r>
          </w:p>
        </w:tc>
        <w:tc>
          <w:tcPr>
            <w:tcW w:w="1325" w:type="dxa"/>
          </w:tcPr>
          <w:p w14:paraId="26AA6E87" w14:textId="77777777" w:rsidR="006B19F3" w:rsidRDefault="006B19F3" w:rsidP="006B19F3">
            <w:pPr>
              <w:jc w:val="center"/>
              <w:rPr>
                <w:rFonts w:ascii="Arial" w:hAnsi="Arial" w:cs="Arial"/>
                <w:sz w:val="20"/>
                <w:lang w:val="en-GB"/>
              </w:rPr>
            </w:pPr>
          </w:p>
        </w:tc>
        <w:tc>
          <w:tcPr>
            <w:tcW w:w="1325" w:type="dxa"/>
          </w:tcPr>
          <w:p w14:paraId="735EE5F1" w14:textId="77777777" w:rsidR="006B19F3" w:rsidRDefault="006B19F3" w:rsidP="006B19F3">
            <w:pPr>
              <w:jc w:val="center"/>
              <w:rPr>
                <w:rFonts w:ascii="Arial" w:hAnsi="Arial" w:cs="Arial"/>
                <w:sz w:val="20"/>
                <w:lang w:val="en-GB"/>
              </w:rPr>
            </w:pPr>
          </w:p>
        </w:tc>
        <w:tc>
          <w:tcPr>
            <w:tcW w:w="1325" w:type="dxa"/>
          </w:tcPr>
          <w:p w14:paraId="1AA83189" w14:textId="77777777" w:rsidR="006B19F3" w:rsidRDefault="006B19F3" w:rsidP="006B19F3">
            <w:pPr>
              <w:jc w:val="center"/>
              <w:rPr>
                <w:rFonts w:ascii="Arial" w:hAnsi="Arial" w:cs="Arial"/>
                <w:sz w:val="20"/>
                <w:lang w:val="en-GB"/>
              </w:rPr>
            </w:pPr>
          </w:p>
        </w:tc>
        <w:tc>
          <w:tcPr>
            <w:tcW w:w="1325" w:type="dxa"/>
          </w:tcPr>
          <w:p w14:paraId="4181064C" w14:textId="77777777" w:rsidR="006B19F3" w:rsidRDefault="006B19F3" w:rsidP="006B19F3">
            <w:pPr>
              <w:jc w:val="center"/>
              <w:rPr>
                <w:rFonts w:ascii="Arial" w:hAnsi="Arial" w:cs="Arial"/>
                <w:sz w:val="20"/>
                <w:lang w:val="en-GB"/>
              </w:rPr>
            </w:pPr>
          </w:p>
        </w:tc>
        <w:tc>
          <w:tcPr>
            <w:tcW w:w="1325" w:type="dxa"/>
          </w:tcPr>
          <w:p w14:paraId="0DDB6DED" w14:textId="77777777" w:rsidR="006B19F3" w:rsidRDefault="006B19F3" w:rsidP="006B19F3">
            <w:pPr>
              <w:jc w:val="center"/>
              <w:rPr>
                <w:rFonts w:ascii="Arial" w:hAnsi="Arial" w:cs="Arial"/>
                <w:sz w:val="20"/>
                <w:lang w:val="en-GB"/>
              </w:rPr>
            </w:pPr>
          </w:p>
        </w:tc>
        <w:tc>
          <w:tcPr>
            <w:tcW w:w="1325" w:type="dxa"/>
          </w:tcPr>
          <w:p w14:paraId="3614C82F" w14:textId="77777777" w:rsidR="006B19F3" w:rsidRDefault="006B19F3" w:rsidP="006B19F3">
            <w:pPr>
              <w:jc w:val="center"/>
              <w:rPr>
                <w:rFonts w:ascii="Arial" w:hAnsi="Arial" w:cs="Arial"/>
                <w:sz w:val="20"/>
                <w:lang w:val="en-GB"/>
              </w:rPr>
            </w:pPr>
          </w:p>
        </w:tc>
        <w:tc>
          <w:tcPr>
            <w:tcW w:w="1325" w:type="dxa"/>
          </w:tcPr>
          <w:p w14:paraId="5650778F" w14:textId="77777777" w:rsidR="006B19F3" w:rsidRDefault="006B19F3" w:rsidP="006B19F3">
            <w:pPr>
              <w:jc w:val="center"/>
              <w:rPr>
                <w:rFonts w:ascii="Arial" w:hAnsi="Arial" w:cs="Arial"/>
                <w:sz w:val="20"/>
                <w:lang w:val="en-GB"/>
              </w:rPr>
            </w:pPr>
          </w:p>
        </w:tc>
      </w:tr>
    </w:tbl>
    <w:p w14:paraId="7F695CF3" w14:textId="77777777" w:rsidR="006B19F3" w:rsidRDefault="006B19F3" w:rsidP="006B19F3">
      <w:pPr>
        <w:jc w:val="center"/>
        <w:rPr>
          <w:rFonts w:ascii="Arial" w:hAnsi="Arial" w:cs="Arial"/>
          <w:sz w:val="20"/>
          <w:lang w:val="en-GB"/>
        </w:rPr>
      </w:pPr>
    </w:p>
    <w:p w14:paraId="3C39C514" w14:textId="77777777" w:rsidR="00B85EFC" w:rsidRDefault="00B85EFC">
      <w:pPr>
        <w:rPr>
          <w:rFonts w:ascii="Arial" w:hAnsi="Arial" w:cs="Arial"/>
          <w:sz w:val="20"/>
          <w:lang w:val="en-GB"/>
        </w:rPr>
      </w:pPr>
    </w:p>
    <w:p w14:paraId="0F4A7100" w14:textId="4DB56518" w:rsidR="00B85EFC" w:rsidRDefault="00B50DA1" w:rsidP="00B50DA1">
      <w:pPr>
        <w:jc w:val="center"/>
        <w:rPr>
          <w:rFonts w:ascii="Arial" w:hAnsi="Arial" w:cs="Arial"/>
          <w:sz w:val="20"/>
          <w:lang w:val="en-GB"/>
        </w:rPr>
      </w:pPr>
      <w:r>
        <w:rPr>
          <w:rFonts w:ascii="Arial" w:hAnsi="Arial" w:cs="Arial"/>
          <w:sz w:val="20"/>
          <w:lang w:val="en-GB"/>
        </w:rPr>
        <w:t>Shares</w:t>
      </w:r>
    </w:p>
    <w:p w14:paraId="20BEAB11" w14:textId="77777777" w:rsidR="00B50DA1" w:rsidRDefault="00B50DA1" w:rsidP="00B50DA1">
      <w:pPr>
        <w:jc w:val="center"/>
        <w:rPr>
          <w:rFonts w:ascii="Arial" w:hAnsi="Arial" w:cs="Arial"/>
          <w:sz w:val="20"/>
          <w:lang w:val="en-GB"/>
        </w:rPr>
      </w:pPr>
    </w:p>
    <w:tbl>
      <w:tblPr>
        <w:tblStyle w:val="TableGrid"/>
        <w:tblW w:w="0" w:type="auto"/>
        <w:tblLook w:val="04A0" w:firstRow="1" w:lastRow="0" w:firstColumn="1" w:lastColumn="0" w:noHBand="0" w:noVBand="1"/>
      </w:tblPr>
      <w:tblGrid>
        <w:gridCol w:w="1108"/>
        <w:gridCol w:w="1151"/>
        <w:gridCol w:w="1188"/>
        <w:gridCol w:w="1238"/>
        <w:gridCol w:w="1185"/>
        <w:gridCol w:w="1139"/>
        <w:gridCol w:w="1284"/>
        <w:gridCol w:w="1106"/>
        <w:gridCol w:w="1277"/>
      </w:tblGrid>
      <w:tr w:rsidR="006859D3" w14:paraId="5C31D6CC" w14:textId="77777777" w:rsidTr="006859D3">
        <w:tc>
          <w:tcPr>
            <w:tcW w:w="1112" w:type="dxa"/>
          </w:tcPr>
          <w:p w14:paraId="4E3D1707" w14:textId="77777777" w:rsidR="006859D3" w:rsidRDefault="006859D3" w:rsidP="00B50DA1">
            <w:pPr>
              <w:jc w:val="center"/>
              <w:rPr>
                <w:rFonts w:ascii="Arial" w:hAnsi="Arial" w:cs="Arial"/>
                <w:sz w:val="20"/>
                <w:lang w:val="en-GB"/>
              </w:rPr>
            </w:pPr>
          </w:p>
        </w:tc>
        <w:tc>
          <w:tcPr>
            <w:tcW w:w="1154" w:type="dxa"/>
          </w:tcPr>
          <w:p w14:paraId="18A93C5D" w14:textId="152F06BC" w:rsidR="006859D3" w:rsidRDefault="006859D3" w:rsidP="00B50DA1">
            <w:pPr>
              <w:jc w:val="center"/>
              <w:rPr>
                <w:rFonts w:ascii="Arial" w:hAnsi="Arial" w:cs="Arial"/>
                <w:sz w:val="20"/>
                <w:lang w:val="en-GB"/>
              </w:rPr>
            </w:pPr>
            <w:proofErr w:type="spellStart"/>
            <w:r>
              <w:rPr>
                <w:rFonts w:ascii="Arial" w:hAnsi="Arial" w:cs="Arial"/>
                <w:sz w:val="20"/>
                <w:lang w:val="en-GB"/>
              </w:rPr>
              <w:t>Isin</w:t>
            </w:r>
            <w:proofErr w:type="spellEnd"/>
          </w:p>
        </w:tc>
        <w:tc>
          <w:tcPr>
            <w:tcW w:w="1190" w:type="dxa"/>
          </w:tcPr>
          <w:p w14:paraId="2F7D86F1" w14:textId="35F16EE2" w:rsidR="006859D3" w:rsidRDefault="006859D3" w:rsidP="00B50DA1">
            <w:pPr>
              <w:jc w:val="center"/>
              <w:rPr>
                <w:rFonts w:ascii="Arial" w:hAnsi="Arial" w:cs="Arial"/>
                <w:sz w:val="20"/>
                <w:lang w:val="en-GB"/>
              </w:rPr>
            </w:pPr>
            <w:r>
              <w:rPr>
                <w:rFonts w:ascii="Arial" w:hAnsi="Arial" w:cs="Arial"/>
                <w:sz w:val="20"/>
                <w:lang w:val="en-GB"/>
              </w:rPr>
              <w:t>BBG Code</w:t>
            </w:r>
          </w:p>
        </w:tc>
        <w:tc>
          <w:tcPr>
            <w:tcW w:w="1240" w:type="dxa"/>
          </w:tcPr>
          <w:p w14:paraId="7DAE8624" w14:textId="5158E10C" w:rsidR="006859D3" w:rsidRDefault="006859D3" w:rsidP="00B50DA1">
            <w:pPr>
              <w:jc w:val="center"/>
              <w:rPr>
                <w:rFonts w:ascii="Arial" w:hAnsi="Arial" w:cs="Arial"/>
                <w:sz w:val="20"/>
                <w:lang w:val="en-GB"/>
              </w:rPr>
            </w:pPr>
            <w:r>
              <w:rPr>
                <w:rFonts w:ascii="Arial" w:hAnsi="Arial" w:cs="Arial"/>
                <w:sz w:val="20"/>
                <w:lang w:val="en-GB"/>
              </w:rPr>
              <w:t>Number of Shares in the Basket</w:t>
            </w:r>
          </w:p>
        </w:tc>
        <w:tc>
          <w:tcPr>
            <w:tcW w:w="1187" w:type="dxa"/>
          </w:tcPr>
          <w:p w14:paraId="2B5D14EE" w14:textId="1BCB90E5" w:rsidR="006859D3" w:rsidRDefault="006859D3" w:rsidP="00B50DA1">
            <w:pPr>
              <w:jc w:val="center"/>
              <w:rPr>
                <w:rFonts w:ascii="Arial" w:hAnsi="Arial" w:cs="Arial"/>
                <w:sz w:val="20"/>
                <w:lang w:val="en-GB"/>
              </w:rPr>
            </w:pPr>
            <w:r>
              <w:rPr>
                <w:rFonts w:ascii="Arial" w:hAnsi="Arial" w:cs="Arial"/>
                <w:sz w:val="20"/>
                <w:lang w:val="en-GB"/>
              </w:rPr>
              <w:t>Initial Price</w:t>
            </w:r>
          </w:p>
        </w:tc>
        <w:tc>
          <w:tcPr>
            <w:tcW w:w="1142" w:type="dxa"/>
          </w:tcPr>
          <w:p w14:paraId="2CF8C00F" w14:textId="359AACAC" w:rsidR="006859D3" w:rsidRDefault="006859D3" w:rsidP="00B50DA1">
            <w:pPr>
              <w:jc w:val="center"/>
              <w:rPr>
                <w:rFonts w:ascii="Arial" w:hAnsi="Arial" w:cs="Arial"/>
                <w:sz w:val="20"/>
                <w:lang w:val="en-GB"/>
              </w:rPr>
            </w:pPr>
            <w:r>
              <w:rPr>
                <w:rFonts w:ascii="Arial" w:hAnsi="Arial" w:cs="Arial"/>
                <w:sz w:val="20"/>
                <w:lang w:val="en-GB"/>
              </w:rPr>
              <w:t>FX</w:t>
            </w:r>
          </w:p>
        </w:tc>
        <w:tc>
          <w:tcPr>
            <w:tcW w:w="1285" w:type="dxa"/>
          </w:tcPr>
          <w:p w14:paraId="5DECD1DE" w14:textId="5BE1F57F" w:rsidR="006859D3" w:rsidRDefault="006859D3" w:rsidP="008103D6">
            <w:pPr>
              <w:rPr>
                <w:rFonts w:ascii="Arial" w:hAnsi="Arial" w:cs="Arial"/>
                <w:sz w:val="20"/>
                <w:lang w:val="en-GB"/>
              </w:rPr>
            </w:pPr>
            <w:r>
              <w:rPr>
                <w:rFonts w:ascii="Arial" w:hAnsi="Arial" w:cs="Arial"/>
                <w:sz w:val="20"/>
                <w:lang w:val="en-GB"/>
              </w:rPr>
              <w:t>Reference Price</w:t>
            </w:r>
          </w:p>
        </w:tc>
        <w:tc>
          <w:tcPr>
            <w:tcW w:w="1088" w:type="dxa"/>
          </w:tcPr>
          <w:p w14:paraId="5D8026E3" w14:textId="6E5860A2" w:rsidR="006859D3" w:rsidRDefault="006859D3" w:rsidP="00B50DA1">
            <w:pPr>
              <w:jc w:val="center"/>
              <w:rPr>
                <w:rFonts w:ascii="Arial" w:hAnsi="Arial" w:cs="Arial"/>
                <w:sz w:val="20"/>
                <w:lang w:val="en-GB"/>
              </w:rPr>
            </w:pPr>
            <w:r>
              <w:rPr>
                <w:rFonts w:ascii="Arial" w:hAnsi="Arial" w:cs="Arial"/>
                <w:sz w:val="20"/>
                <w:lang w:val="en-GB"/>
              </w:rPr>
              <w:t>Exchange</w:t>
            </w:r>
          </w:p>
        </w:tc>
        <w:tc>
          <w:tcPr>
            <w:tcW w:w="1278" w:type="dxa"/>
          </w:tcPr>
          <w:p w14:paraId="613C2A5B" w14:textId="7DD24A98" w:rsidR="006859D3" w:rsidRDefault="006859D3" w:rsidP="00B50DA1">
            <w:pPr>
              <w:jc w:val="center"/>
              <w:rPr>
                <w:rFonts w:ascii="Arial" w:hAnsi="Arial" w:cs="Arial"/>
                <w:sz w:val="20"/>
                <w:lang w:val="en-GB"/>
              </w:rPr>
            </w:pPr>
            <w:r>
              <w:rPr>
                <w:rFonts w:ascii="Arial" w:hAnsi="Arial" w:cs="Arial"/>
                <w:sz w:val="20"/>
                <w:lang w:val="en-GB"/>
              </w:rPr>
              <w:t>Relevant Exchange</w:t>
            </w:r>
          </w:p>
        </w:tc>
      </w:tr>
      <w:tr w:rsidR="006859D3" w14:paraId="0109C683" w14:textId="77777777" w:rsidTr="006859D3">
        <w:tc>
          <w:tcPr>
            <w:tcW w:w="1112" w:type="dxa"/>
          </w:tcPr>
          <w:p w14:paraId="7F0A45F8" w14:textId="77777777" w:rsidR="006859D3" w:rsidRDefault="006859D3" w:rsidP="00B50DA1">
            <w:pPr>
              <w:jc w:val="center"/>
              <w:rPr>
                <w:rFonts w:ascii="Arial" w:hAnsi="Arial" w:cs="Arial"/>
                <w:sz w:val="20"/>
                <w:lang w:val="en-GB"/>
              </w:rPr>
            </w:pPr>
            <w:r>
              <w:rPr>
                <w:rFonts w:ascii="Arial" w:hAnsi="Arial" w:cs="Arial"/>
                <w:sz w:val="20"/>
                <w:lang w:val="en-GB"/>
              </w:rPr>
              <w:t>1</w:t>
            </w:r>
          </w:p>
        </w:tc>
        <w:tc>
          <w:tcPr>
            <w:tcW w:w="1154" w:type="dxa"/>
          </w:tcPr>
          <w:p w14:paraId="482B3095" w14:textId="35144A19" w:rsidR="006859D3" w:rsidRDefault="006859D3" w:rsidP="00B50DA1">
            <w:pPr>
              <w:rPr>
                <w:rFonts w:ascii="Arial" w:hAnsi="Arial" w:cs="Arial"/>
                <w:sz w:val="20"/>
                <w:lang w:val="en-GB"/>
              </w:rPr>
            </w:pPr>
          </w:p>
        </w:tc>
        <w:tc>
          <w:tcPr>
            <w:tcW w:w="1190" w:type="dxa"/>
          </w:tcPr>
          <w:p w14:paraId="3BF396C6" w14:textId="77777777" w:rsidR="006859D3" w:rsidRDefault="006859D3" w:rsidP="00B50DA1">
            <w:pPr>
              <w:jc w:val="center"/>
              <w:rPr>
                <w:rFonts w:ascii="Arial" w:hAnsi="Arial" w:cs="Arial"/>
                <w:sz w:val="20"/>
                <w:lang w:val="en-GB"/>
              </w:rPr>
            </w:pPr>
          </w:p>
        </w:tc>
        <w:tc>
          <w:tcPr>
            <w:tcW w:w="1240" w:type="dxa"/>
          </w:tcPr>
          <w:p w14:paraId="0AEC112F" w14:textId="77777777" w:rsidR="006859D3" w:rsidRDefault="006859D3" w:rsidP="00B50DA1">
            <w:pPr>
              <w:jc w:val="center"/>
              <w:rPr>
                <w:rFonts w:ascii="Arial" w:hAnsi="Arial" w:cs="Arial"/>
                <w:sz w:val="20"/>
                <w:lang w:val="en-GB"/>
              </w:rPr>
            </w:pPr>
          </w:p>
        </w:tc>
        <w:tc>
          <w:tcPr>
            <w:tcW w:w="1187" w:type="dxa"/>
          </w:tcPr>
          <w:p w14:paraId="1D5BF717" w14:textId="77777777" w:rsidR="006859D3" w:rsidRDefault="006859D3" w:rsidP="00B50DA1">
            <w:pPr>
              <w:jc w:val="center"/>
              <w:rPr>
                <w:rFonts w:ascii="Arial" w:hAnsi="Arial" w:cs="Arial"/>
                <w:sz w:val="20"/>
                <w:lang w:val="en-GB"/>
              </w:rPr>
            </w:pPr>
          </w:p>
        </w:tc>
        <w:tc>
          <w:tcPr>
            <w:tcW w:w="1142" w:type="dxa"/>
          </w:tcPr>
          <w:p w14:paraId="6C22FDFA" w14:textId="77777777" w:rsidR="006859D3" w:rsidRDefault="006859D3" w:rsidP="00B50DA1">
            <w:pPr>
              <w:jc w:val="center"/>
              <w:rPr>
                <w:rFonts w:ascii="Arial" w:hAnsi="Arial" w:cs="Arial"/>
                <w:sz w:val="20"/>
                <w:lang w:val="en-GB"/>
              </w:rPr>
            </w:pPr>
          </w:p>
        </w:tc>
        <w:tc>
          <w:tcPr>
            <w:tcW w:w="1285" w:type="dxa"/>
          </w:tcPr>
          <w:p w14:paraId="15764ABF" w14:textId="77777777" w:rsidR="006859D3" w:rsidRDefault="006859D3" w:rsidP="00B50DA1">
            <w:pPr>
              <w:jc w:val="center"/>
              <w:rPr>
                <w:rFonts w:ascii="Arial" w:hAnsi="Arial" w:cs="Arial"/>
                <w:sz w:val="20"/>
                <w:lang w:val="en-GB"/>
              </w:rPr>
            </w:pPr>
          </w:p>
        </w:tc>
        <w:tc>
          <w:tcPr>
            <w:tcW w:w="1088" w:type="dxa"/>
          </w:tcPr>
          <w:p w14:paraId="5103CF65" w14:textId="77777777" w:rsidR="006859D3" w:rsidRDefault="006859D3" w:rsidP="00B50DA1">
            <w:pPr>
              <w:jc w:val="center"/>
              <w:rPr>
                <w:rFonts w:ascii="Arial" w:hAnsi="Arial" w:cs="Arial"/>
                <w:sz w:val="20"/>
                <w:lang w:val="en-GB"/>
              </w:rPr>
            </w:pPr>
          </w:p>
        </w:tc>
        <w:tc>
          <w:tcPr>
            <w:tcW w:w="1278" w:type="dxa"/>
          </w:tcPr>
          <w:p w14:paraId="761E3CA7" w14:textId="1860B4C6" w:rsidR="006859D3" w:rsidRDefault="006859D3" w:rsidP="00B50DA1">
            <w:pPr>
              <w:jc w:val="center"/>
              <w:rPr>
                <w:rFonts w:ascii="Arial" w:hAnsi="Arial" w:cs="Arial"/>
                <w:sz w:val="20"/>
                <w:lang w:val="en-GB"/>
              </w:rPr>
            </w:pPr>
          </w:p>
        </w:tc>
      </w:tr>
      <w:tr w:rsidR="006859D3" w14:paraId="224FD9CA" w14:textId="77777777" w:rsidTr="006859D3">
        <w:tc>
          <w:tcPr>
            <w:tcW w:w="1112" w:type="dxa"/>
          </w:tcPr>
          <w:p w14:paraId="6F113C2B" w14:textId="77777777" w:rsidR="006859D3" w:rsidRDefault="006859D3" w:rsidP="00B50DA1">
            <w:pPr>
              <w:jc w:val="center"/>
              <w:rPr>
                <w:rFonts w:ascii="Arial" w:hAnsi="Arial" w:cs="Arial"/>
                <w:sz w:val="20"/>
                <w:lang w:val="en-GB"/>
              </w:rPr>
            </w:pPr>
            <w:r>
              <w:rPr>
                <w:rFonts w:ascii="Arial" w:hAnsi="Arial" w:cs="Arial"/>
                <w:sz w:val="20"/>
                <w:lang w:val="en-GB"/>
              </w:rPr>
              <w:t>2</w:t>
            </w:r>
          </w:p>
        </w:tc>
        <w:tc>
          <w:tcPr>
            <w:tcW w:w="1154" w:type="dxa"/>
          </w:tcPr>
          <w:p w14:paraId="033E40C0" w14:textId="426BF785" w:rsidR="006859D3" w:rsidRDefault="006859D3" w:rsidP="00B50DA1">
            <w:pPr>
              <w:jc w:val="center"/>
              <w:rPr>
                <w:rFonts w:ascii="Arial" w:hAnsi="Arial" w:cs="Arial"/>
                <w:sz w:val="20"/>
                <w:lang w:val="en-GB"/>
              </w:rPr>
            </w:pPr>
          </w:p>
        </w:tc>
        <w:tc>
          <w:tcPr>
            <w:tcW w:w="1190" w:type="dxa"/>
          </w:tcPr>
          <w:p w14:paraId="0646BFD3" w14:textId="77777777" w:rsidR="006859D3" w:rsidRDefault="006859D3" w:rsidP="00B50DA1">
            <w:pPr>
              <w:jc w:val="center"/>
              <w:rPr>
                <w:rFonts w:ascii="Arial" w:hAnsi="Arial" w:cs="Arial"/>
                <w:sz w:val="20"/>
                <w:lang w:val="en-GB"/>
              </w:rPr>
            </w:pPr>
          </w:p>
        </w:tc>
        <w:tc>
          <w:tcPr>
            <w:tcW w:w="1240" w:type="dxa"/>
          </w:tcPr>
          <w:p w14:paraId="6339AC5D" w14:textId="77777777" w:rsidR="006859D3" w:rsidRDefault="006859D3" w:rsidP="00B50DA1">
            <w:pPr>
              <w:jc w:val="center"/>
              <w:rPr>
                <w:rFonts w:ascii="Arial" w:hAnsi="Arial" w:cs="Arial"/>
                <w:sz w:val="20"/>
                <w:lang w:val="en-GB"/>
              </w:rPr>
            </w:pPr>
          </w:p>
        </w:tc>
        <w:tc>
          <w:tcPr>
            <w:tcW w:w="1187" w:type="dxa"/>
          </w:tcPr>
          <w:p w14:paraId="36964AC9" w14:textId="77777777" w:rsidR="006859D3" w:rsidRDefault="006859D3" w:rsidP="00B50DA1">
            <w:pPr>
              <w:jc w:val="center"/>
              <w:rPr>
                <w:rFonts w:ascii="Arial" w:hAnsi="Arial" w:cs="Arial"/>
                <w:sz w:val="20"/>
                <w:lang w:val="en-GB"/>
              </w:rPr>
            </w:pPr>
          </w:p>
        </w:tc>
        <w:tc>
          <w:tcPr>
            <w:tcW w:w="1142" w:type="dxa"/>
          </w:tcPr>
          <w:p w14:paraId="3EBFD7DD" w14:textId="77777777" w:rsidR="006859D3" w:rsidRDefault="006859D3" w:rsidP="00B50DA1">
            <w:pPr>
              <w:jc w:val="center"/>
              <w:rPr>
                <w:rFonts w:ascii="Arial" w:hAnsi="Arial" w:cs="Arial"/>
                <w:sz w:val="20"/>
                <w:lang w:val="en-GB"/>
              </w:rPr>
            </w:pPr>
          </w:p>
        </w:tc>
        <w:tc>
          <w:tcPr>
            <w:tcW w:w="1285" w:type="dxa"/>
          </w:tcPr>
          <w:p w14:paraId="60C900C4" w14:textId="77777777" w:rsidR="006859D3" w:rsidRDefault="006859D3" w:rsidP="00B50DA1">
            <w:pPr>
              <w:jc w:val="center"/>
              <w:rPr>
                <w:rFonts w:ascii="Arial" w:hAnsi="Arial" w:cs="Arial"/>
                <w:sz w:val="20"/>
                <w:lang w:val="en-GB"/>
              </w:rPr>
            </w:pPr>
          </w:p>
        </w:tc>
        <w:tc>
          <w:tcPr>
            <w:tcW w:w="1088" w:type="dxa"/>
          </w:tcPr>
          <w:p w14:paraId="77A6F008" w14:textId="77777777" w:rsidR="006859D3" w:rsidRDefault="006859D3" w:rsidP="00B50DA1">
            <w:pPr>
              <w:jc w:val="center"/>
              <w:rPr>
                <w:rFonts w:ascii="Arial" w:hAnsi="Arial" w:cs="Arial"/>
                <w:sz w:val="20"/>
                <w:lang w:val="en-GB"/>
              </w:rPr>
            </w:pPr>
          </w:p>
        </w:tc>
        <w:tc>
          <w:tcPr>
            <w:tcW w:w="1278" w:type="dxa"/>
          </w:tcPr>
          <w:p w14:paraId="1A2F43FC" w14:textId="1A3829C3" w:rsidR="006859D3" w:rsidRDefault="006859D3" w:rsidP="00B50DA1">
            <w:pPr>
              <w:jc w:val="center"/>
              <w:rPr>
                <w:rFonts w:ascii="Arial" w:hAnsi="Arial" w:cs="Arial"/>
                <w:sz w:val="20"/>
                <w:lang w:val="en-GB"/>
              </w:rPr>
            </w:pPr>
          </w:p>
        </w:tc>
      </w:tr>
      <w:tr w:rsidR="006859D3" w14:paraId="0763134C" w14:textId="77777777" w:rsidTr="006859D3">
        <w:tc>
          <w:tcPr>
            <w:tcW w:w="1112" w:type="dxa"/>
          </w:tcPr>
          <w:p w14:paraId="6C62D98C" w14:textId="77777777" w:rsidR="006859D3" w:rsidRDefault="006859D3" w:rsidP="00B50DA1">
            <w:pPr>
              <w:jc w:val="center"/>
              <w:rPr>
                <w:rFonts w:ascii="Arial" w:hAnsi="Arial" w:cs="Arial"/>
                <w:sz w:val="20"/>
                <w:lang w:val="en-GB"/>
              </w:rPr>
            </w:pPr>
            <w:r>
              <w:rPr>
                <w:rFonts w:ascii="Arial" w:hAnsi="Arial" w:cs="Arial"/>
                <w:sz w:val="20"/>
                <w:lang w:val="en-GB"/>
              </w:rPr>
              <w:t>3</w:t>
            </w:r>
          </w:p>
        </w:tc>
        <w:tc>
          <w:tcPr>
            <w:tcW w:w="1154" w:type="dxa"/>
          </w:tcPr>
          <w:p w14:paraId="2740AE6C" w14:textId="7AD96F88" w:rsidR="006859D3" w:rsidRDefault="006859D3" w:rsidP="00B50DA1">
            <w:pPr>
              <w:jc w:val="center"/>
              <w:rPr>
                <w:rFonts w:ascii="Arial" w:hAnsi="Arial" w:cs="Arial"/>
                <w:sz w:val="20"/>
                <w:lang w:val="en-GB"/>
              </w:rPr>
            </w:pPr>
          </w:p>
        </w:tc>
        <w:tc>
          <w:tcPr>
            <w:tcW w:w="1190" w:type="dxa"/>
          </w:tcPr>
          <w:p w14:paraId="777021B3" w14:textId="77777777" w:rsidR="006859D3" w:rsidRDefault="006859D3" w:rsidP="00B50DA1">
            <w:pPr>
              <w:jc w:val="center"/>
              <w:rPr>
                <w:rFonts w:ascii="Arial" w:hAnsi="Arial" w:cs="Arial"/>
                <w:sz w:val="20"/>
                <w:lang w:val="en-GB"/>
              </w:rPr>
            </w:pPr>
          </w:p>
        </w:tc>
        <w:tc>
          <w:tcPr>
            <w:tcW w:w="1240" w:type="dxa"/>
          </w:tcPr>
          <w:p w14:paraId="23C9C046" w14:textId="77777777" w:rsidR="006859D3" w:rsidRDefault="006859D3" w:rsidP="00B50DA1">
            <w:pPr>
              <w:jc w:val="center"/>
              <w:rPr>
                <w:rFonts w:ascii="Arial" w:hAnsi="Arial" w:cs="Arial"/>
                <w:sz w:val="20"/>
                <w:lang w:val="en-GB"/>
              </w:rPr>
            </w:pPr>
          </w:p>
        </w:tc>
        <w:tc>
          <w:tcPr>
            <w:tcW w:w="1187" w:type="dxa"/>
          </w:tcPr>
          <w:p w14:paraId="0DE1F4CE" w14:textId="77777777" w:rsidR="006859D3" w:rsidRDefault="006859D3" w:rsidP="00B50DA1">
            <w:pPr>
              <w:jc w:val="center"/>
              <w:rPr>
                <w:rFonts w:ascii="Arial" w:hAnsi="Arial" w:cs="Arial"/>
                <w:sz w:val="20"/>
                <w:lang w:val="en-GB"/>
              </w:rPr>
            </w:pPr>
          </w:p>
        </w:tc>
        <w:tc>
          <w:tcPr>
            <w:tcW w:w="1142" w:type="dxa"/>
          </w:tcPr>
          <w:p w14:paraId="30793F3B" w14:textId="77777777" w:rsidR="006859D3" w:rsidRDefault="006859D3" w:rsidP="00B50DA1">
            <w:pPr>
              <w:jc w:val="center"/>
              <w:rPr>
                <w:rFonts w:ascii="Arial" w:hAnsi="Arial" w:cs="Arial"/>
                <w:sz w:val="20"/>
                <w:lang w:val="en-GB"/>
              </w:rPr>
            </w:pPr>
          </w:p>
        </w:tc>
        <w:tc>
          <w:tcPr>
            <w:tcW w:w="1285" w:type="dxa"/>
          </w:tcPr>
          <w:p w14:paraId="367B7D58" w14:textId="77777777" w:rsidR="006859D3" w:rsidRDefault="006859D3" w:rsidP="00B50DA1">
            <w:pPr>
              <w:jc w:val="center"/>
              <w:rPr>
                <w:rFonts w:ascii="Arial" w:hAnsi="Arial" w:cs="Arial"/>
                <w:sz w:val="20"/>
                <w:lang w:val="en-GB"/>
              </w:rPr>
            </w:pPr>
          </w:p>
        </w:tc>
        <w:tc>
          <w:tcPr>
            <w:tcW w:w="1088" w:type="dxa"/>
          </w:tcPr>
          <w:p w14:paraId="4D8C49A5" w14:textId="77777777" w:rsidR="006859D3" w:rsidRDefault="006859D3" w:rsidP="00B50DA1">
            <w:pPr>
              <w:jc w:val="center"/>
              <w:rPr>
                <w:rFonts w:ascii="Arial" w:hAnsi="Arial" w:cs="Arial"/>
                <w:sz w:val="20"/>
                <w:lang w:val="en-GB"/>
              </w:rPr>
            </w:pPr>
          </w:p>
        </w:tc>
        <w:tc>
          <w:tcPr>
            <w:tcW w:w="1278" w:type="dxa"/>
          </w:tcPr>
          <w:p w14:paraId="3A847AAD" w14:textId="5A536D13" w:rsidR="006859D3" w:rsidRDefault="006859D3" w:rsidP="00B50DA1">
            <w:pPr>
              <w:jc w:val="center"/>
              <w:rPr>
                <w:rFonts w:ascii="Arial" w:hAnsi="Arial" w:cs="Arial"/>
                <w:sz w:val="20"/>
                <w:lang w:val="en-GB"/>
              </w:rPr>
            </w:pPr>
          </w:p>
        </w:tc>
      </w:tr>
      <w:tr w:rsidR="006859D3" w14:paraId="48FD208A" w14:textId="77777777" w:rsidTr="006859D3">
        <w:tc>
          <w:tcPr>
            <w:tcW w:w="1112" w:type="dxa"/>
          </w:tcPr>
          <w:p w14:paraId="7EE7F2EB" w14:textId="77777777" w:rsidR="006859D3" w:rsidRDefault="006859D3" w:rsidP="00B50DA1">
            <w:pPr>
              <w:jc w:val="center"/>
              <w:rPr>
                <w:rFonts w:ascii="Arial" w:hAnsi="Arial" w:cs="Arial"/>
                <w:sz w:val="20"/>
                <w:lang w:val="en-GB"/>
              </w:rPr>
            </w:pPr>
            <w:r>
              <w:rPr>
                <w:rFonts w:ascii="Arial" w:hAnsi="Arial" w:cs="Arial"/>
                <w:sz w:val="20"/>
                <w:lang w:val="en-GB"/>
              </w:rPr>
              <w:t>4</w:t>
            </w:r>
          </w:p>
        </w:tc>
        <w:tc>
          <w:tcPr>
            <w:tcW w:w="1154" w:type="dxa"/>
          </w:tcPr>
          <w:p w14:paraId="235F16F0" w14:textId="77777777" w:rsidR="006859D3" w:rsidRDefault="006859D3" w:rsidP="00B50DA1">
            <w:pPr>
              <w:jc w:val="center"/>
              <w:rPr>
                <w:rFonts w:ascii="Arial" w:hAnsi="Arial" w:cs="Arial"/>
                <w:sz w:val="20"/>
                <w:lang w:val="en-GB"/>
              </w:rPr>
            </w:pPr>
          </w:p>
        </w:tc>
        <w:tc>
          <w:tcPr>
            <w:tcW w:w="1190" w:type="dxa"/>
          </w:tcPr>
          <w:p w14:paraId="11FFA884" w14:textId="77777777" w:rsidR="006859D3" w:rsidRDefault="006859D3" w:rsidP="00B50DA1">
            <w:pPr>
              <w:jc w:val="center"/>
              <w:rPr>
                <w:rFonts w:ascii="Arial" w:hAnsi="Arial" w:cs="Arial"/>
                <w:sz w:val="20"/>
                <w:lang w:val="en-GB"/>
              </w:rPr>
            </w:pPr>
          </w:p>
        </w:tc>
        <w:tc>
          <w:tcPr>
            <w:tcW w:w="1240" w:type="dxa"/>
          </w:tcPr>
          <w:p w14:paraId="17F093B1" w14:textId="77777777" w:rsidR="006859D3" w:rsidRDefault="006859D3" w:rsidP="00B50DA1">
            <w:pPr>
              <w:jc w:val="center"/>
              <w:rPr>
                <w:rFonts w:ascii="Arial" w:hAnsi="Arial" w:cs="Arial"/>
                <w:sz w:val="20"/>
                <w:lang w:val="en-GB"/>
              </w:rPr>
            </w:pPr>
          </w:p>
        </w:tc>
        <w:tc>
          <w:tcPr>
            <w:tcW w:w="1187" w:type="dxa"/>
          </w:tcPr>
          <w:p w14:paraId="035EA893" w14:textId="77777777" w:rsidR="006859D3" w:rsidRDefault="006859D3" w:rsidP="00B50DA1">
            <w:pPr>
              <w:jc w:val="center"/>
              <w:rPr>
                <w:rFonts w:ascii="Arial" w:hAnsi="Arial" w:cs="Arial"/>
                <w:sz w:val="20"/>
                <w:lang w:val="en-GB"/>
              </w:rPr>
            </w:pPr>
          </w:p>
        </w:tc>
        <w:tc>
          <w:tcPr>
            <w:tcW w:w="1142" w:type="dxa"/>
          </w:tcPr>
          <w:p w14:paraId="6175B683" w14:textId="77777777" w:rsidR="006859D3" w:rsidRDefault="006859D3" w:rsidP="00B50DA1">
            <w:pPr>
              <w:jc w:val="center"/>
              <w:rPr>
                <w:rFonts w:ascii="Arial" w:hAnsi="Arial" w:cs="Arial"/>
                <w:sz w:val="20"/>
                <w:lang w:val="en-GB"/>
              </w:rPr>
            </w:pPr>
          </w:p>
        </w:tc>
        <w:tc>
          <w:tcPr>
            <w:tcW w:w="1285" w:type="dxa"/>
          </w:tcPr>
          <w:p w14:paraId="7BE7B8BF" w14:textId="77777777" w:rsidR="006859D3" w:rsidRDefault="006859D3" w:rsidP="00B50DA1">
            <w:pPr>
              <w:jc w:val="center"/>
              <w:rPr>
                <w:rFonts w:ascii="Arial" w:hAnsi="Arial" w:cs="Arial"/>
                <w:sz w:val="20"/>
                <w:lang w:val="en-GB"/>
              </w:rPr>
            </w:pPr>
          </w:p>
        </w:tc>
        <w:tc>
          <w:tcPr>
            <w:tcW w:w="1088" w:type="dxa"/>
          </w:tcPr>
          <w:p w14:paraId="75F5B61D" w14:textId="77777777" w:rsidR="006859D3" w:rsidRDefault="006859D3" w:rsidP="00B50DA1">
            <w:pPr>
              <w:jc w:val="center"/>
              <w:rPr>
                <w:rFonts w:ascii="Arial" w:hAnsi="Arial" w:cs="Arial"/>
                <w:sz w:val="20"/>
                <w:lang w:val="en-GB"/>
              </w:rPr>
            </w:pPr>
          </w:p>
        </w:tc>
        <w:tc>
          <w:tcPr>
            <w:tcW w:w="1278" w:type="dxa"/>
          </w:tcPr>
          <w:p w14:paraId="03A76C94" w14:textId="19F20D52" w:rsidR="006859D3" w:rsidRDefault="006859D3" w:rsidP="00B50DA1">
            <w:pPr>
              <w:jc w:val="center"/>
              <w:rPr>
                <w:rFonts w:ascii="Arial" w:hAnsi="Arial" w:cs="Arial"/>
                <w:sz w:val="20"/>
                <w:lang w:val="en-GB"/>
              </w:rPr>
            </w:pPr>
          </w:p>
        </w:tc>
      </w:tr>
    </w:tbl>
    <w:p w14:paraId="42F43338" w14:textId="77777777" w:rsidR="00B50DA1" w:rsidRDefault="00B50DA1" w:rsidP="00B50DA1">
      <w:pPr>
        <w:jc w:val="center"/>
        <w:rPr>
          <w:rFonts w:ascii="Arial" w:hAnsi="Arial" w:cs="Arial"/>
          <w:sz w:val="20"/>
          <w:lang w:val="en-GB"/>
        </w:rPr>
      </w:pPr>
    </w:p>
    <w:p w14:paraId="36BAF716" w14:textId="77777777" w:rsidR="00415395" w:rsidRDefault="00415395">
      <w:pPr>
        <w:rPr>
          <w:rFonts w:ascii="Arial" w:hAnsi="Arial" w:cs="Arial"/>
          <w:sz w:val="20"/>
          <w:lang w:val="en-GB"/>
        </w:rPr>
      </w:pPr>
    </w:p>
    <w:p w14:paraId="1314B100" w14:textId="07618630" w:rsidR="00B50DA1" w:rsidRDefault="006859D3" w:rsidP="006859D3">
      <w:pPr>
        <w:jc w:val="center"/>
        <w:rPr>
          <w:rFonts w:ascii="Arial" w:hAnsi="Arial" w:cs="Arial"/>
          <w:sz w:val="20"/>
          <w:lang w:val="en-GB"/>
        </w:rPr>
      </w:pPr>
      <w:r>
        <w:rPr>
          <w:rFonts w:ascii="Arial" w:hAnsi="Arial" w:cs="Arial"/>
          <w:sz w:val="20"/>
          <w:lang w:val="en-GB"/>
        </w:rPr>
        <w:t>Bond and Convertible Bond</w:t>
      </w:r>
    </w:p>
    <w:p w14:paraId="0784A95A" w14:textId="77777777" w:rsidR="006859D3" w:rsidRDefault="006859D3" w:rsidP="006859D3">
      <w:pPr>
        <w:jc w:val="center"/>
        <w:rPr>
          <w:rFonts w:ascii="Arial" w:hAnsi="Arial" w:cs="Arial"/>
          <w:sz w:val="20"/>
          <w:lang w:val="en-GB"/>
        </w:rPr>
      </w:pPr>
    </w:p>
    <w:p w14:paraId="4365A486" w14:textId="77777777" w:rsidR="006859D3" w:rsidRDefault="006859D3" w:rsidP="006859D3">
      <w:pPr>
        <w:jc w:val="center"/>
        <w:rPr>
          <w:rFonts w:ascii="Arial" w:hAnsi="Arial" w:cs="Arial"/>
          <w:sz w:val="20"/>
          <w:lang w:val="en-GB"/>
        </w:rPr>
      </w:pPr>
    </w:p>
    <w:p w14:paraId="2D656E4A" w14:textId="77777777" w:rsidR="006859D3" w:rsidRDefault="006859D3" w:rsidP="006859D3">
      <w:pPr>
        <w:jc w:val="center"/>
        <w:rPr>
          <w:rFonts w:ascii="Arial" w:hAnsi="Arial" w:cs="Arial"/>
          <w:sz w:val="20"/>
          <w:lang w:val="en-GB"/>
        </w:rPr>
      </w:pPr>
    </w:p>
    <w:p w14:paraId="2744DCE8" w14:textId="77777777" w:rsidR="006859D3" w:rsidRDefault="006859D3" w:rsidP="006859D3">
      <w:pPr>
        <w:jc w:val="center"/>
        <w:rPr>
          <w:rFonts w:ascii="Arial" w:hAnsi="Arial" w:cs="Arial"/>
          <w:sz w:val="20"/>
          <w:lang w:val="en-GB"/>
        </w:rPr>
      </w:pPr>
    </w:p>
    <w:p w14:paraId="17DB89D3" w14:textId="15343AA7" w:rsidR="006859D3" w:rsidRDefault="006859D3" w:rsidP="006859D3">
      <w:pPr>
        <w:jc w:val="center"/>
        <w:rPr>
          <w:rFonts w:ascii="Arial" w:hAnsi="Arial" w:cs="Arial"/>
          <w:sz w:val="20"/>
          <w:lang w:val="en-GB"/>
        </w:rPr>
      </w:pPr>
      <w:r>
        <w:rPr>
          <w:rFonts w:ascii="Arial" w:hAnsi="Arial" w:cs="Arial"/>
          <w:sz w:val="20"/>
          <w:lang w:val="en-GB"/>
        </w:rPr>
        <w:t>Scrips</w:t>
      </w:r>
    </w:p>
    <w:p w14:paraId="5C431973" w14:textId="77777777" w:rsidR="006859D3" w:rsidRDefault="006859D3" w:rsidP="006859D3">
      <w:pPr>
        <w:jc w:val="center"/>
        <w:rPr>
          <w:rFonts w:ascii="Arial" w:hAnsi="Arial" w:cs="Arial"/>
          <w:sz w:val="20"/>
          <w:lang w:val="en-GB"/>
        </w:rPr>
      </w:pPr>
    </w:p>
    <w:p w14:paraId="0FBAE566" w14:textId="77777777" w:rsidR="006859D3" w:rsidRDefault="006859D3" w:rsidP="006859D3">
      <w:pPr>
        <w:jc w:val="center"/>
        <w:rPr>
          <w:rFonts w:ascii="Arial" w:hAnsi="Arial" w:cs="Arial"/>
          <w:sz w:val="20"/>
          <w:lang w:val="en-GB"/>
        </w:rPr>
      </w:pPr>
    </w:p>
    <w:p w14:paraId="0FFF2D89" w14:textId="6A44B4A7" w:rsidR="006859D3" w:rsidRDefault="006859D3" w:rsidP="006859D3">
      <w:pPr>
        <w:jc w:val="center"/>
        <w:rPr>
          <w:rFonts w:ascii="Arial" w:hAnsi="Arial" w:cs="Arial"/>
          <w:sz w:val="20"/>
          <w:lang w:val="en-GB"/>
        </w:rPr>
      </w:pPr>
      <w:r>
        <w:rPr>
          <w:rFonts w:ascii="Arial" w:hAnsi="Arial" w:cs="Arial"/>
          <w:sz w:val="20"/>
          <w:lang w:val="en-GB"/>
        </w:rPr>
        <w:t>Fund Interests</w:t>
      </w:r>
    </w:p>
    <w:p w14:paraId="4B828C14" w14:textId="77777777" w:rsidR="006859D3" w:rsidRDefault="006859D3" w:rsidP="006859D3">
      <w:pPr>
        <w:jc w:val="center"/>
        <w:rPr>
          <w:rFonts w:ascii="Arial" w:hAnsi="Arial" w:cs="Arial"/>
          <w:sz w:val="20"/>
          <w:lang w:val="en-GB"/>
        </w:rPr>
      </w:pPr>
    </w:p>
    <w:p w14:paraId="68D35F41" w14:textId="77777777" w:rsidR="006859D3" w:rsidRDefault="006859D3" w:rsidP="006859D3">
      <w:pPr>
        <w:jc w:val="center"/>
        <w:rPr>
          <w:rFonts w:ascii="Arial" w:hAnsi="Arial" w:cs="Arial"/>
          <w:sz w:val="20"/>
          <w:lang w:val="en-GB"/>
        </w:rPr>
      </w:pPr>
    </w:p>
    <w:p w14:paraId="0FFA32BB" w14:textId="63985028" w:rsidR="00EA1838" w:rsidRDefault="00EA1838">
      <w:pPr>
        <w:rPr>
          <w:rFonts w:ascii="Arial" w:hAnsi="Arial" w:cs="Arial"/>
          <w:sz w:val="20"/>
          <w:lang w:val="en-GB"/>
        </w:rPr>
      </w:pPr>
      <w:r>
        <w:rPr>
          <w:rFonts w:ascii="Arial" w:hAnsi="Arial" w:cs="Arial"/>
          <w:sz w:val="20"/>
          <w:lang w:val="en-GB"/>
        </w:rPr>
        <w:br w:type="page"/>
      </w:r>
    </w:p>
    <w:p w14:paraId="6547EF7D" w14:textId="17DA6E14" w:rsidR="006859D3" w:rsidRDefault="00EA1838" w:rsidP="006859D3">
      <w:pPr>
        <w:jc w:val="center"/>
        <w:rPr>
          <w:rFonts w:ascii="Arial" w:hAnsi="Arial" w:cs="Arial"/>
          <w:sz w:val="20"/>
          <w:lang w:val="en-GB"/>
        </w:rPr>
      </w:pPr>
      <w:r>
        <w:rPr>
          <w:rFonts w:ascii="Arial" w:hAnsi="Arial" w:cs="Arial"/>
          <w:sz w:val="20"/>
          <w:lang w:val="en-GB"/>
        </w:rPr>
        <w:lastRenderedPageBreak/>
        <w:t>ANNEX 2</w:t>
      </w:r>
    </w:p>
    <w:p w14:paraId="13BB69E7" w14:textId="77777777" w:rsidR="00EA1838" w:rsidRDefault="00EA1838" w:rsidP="006859D3">
      <w:pPr>
        <w:jc w:val="center"/>
        <w:rPr>
          <w:rFonts w:ascii="Arial" w:hAnsi="Arial" w:cs="Arial"/>
          <w:sz w:val="20"/>
          <w:lang w:val="en-GB"/>
        </w:rPr>
      </w:pPr>
    </w:p>
    <w:p w14:paraId="31BDC0B8" w14:textId="5D18AD10" w:rsidR="00EA1838" w:rsidRDefault="00EA1838" w:rsidP="006859D3">
      <w:pPr>
        <w:jc w:val="center"/>
        <w:rPr>
          <w:rFonts w:ascii="Arial" w:hAnsi="Arial" w:cs="Arial"/>
          <w:sz w:val="20"/>
          <w:lang w:val="en-GB"/>
        </w:rPr>
      </w:pPr>
      <w:r>
        <w:rPr>
          <w:rFonts w:ascii="Arial" w:hAnsi="Arial" w:cs="Arial"/>
          <w:sz w:val="20"/>
          <w:lang w:val="en-GB"/>
        </w:rPr>
        <w:t>SHARES</w:t>
      </w:r>
    </w:p>
    <w:p w14:paraId="5797294F" w14:textId="77777777" w:rsidR="00EA1838" w:rsidRDefault="00EA1838" w:rsidP="006859D3">
      <w:pPr>
        <w:jc w:val="center"/>
        <w:rPr>
          <w:rFonts w:ascii="Arial" w:hAnsi="Arial" w:cs="Arial"/>
          <w:sz w:val="20"/>
          <w:lang w:val="en-GB"/>
        </w:rPr>
      </w:pPr>
    </w:p>
    <w:p w14:paraId="16B43833" w14:textId="1EF3C438" w:rsidR="00EA1838" w:rsidRDefault="00EA1838" w:rsidP="00EA1838">
      <w:pPr>
        <w:pStyle w:val="ListParagraph"/>
        <w:numPr>
          <w:ilvl w:val="0"/>
          <w:numId w:val="28"/>
        </w:numPr>
        <w:jc w:val="both"/>
        <w:rPr>
          <w:rFonts w:ascii="Arial" w:hAnsi="Arial" w:cs="Arial"/>
          <w:sz w:val="20"/>
          <w:lang w:val="en-GB"/>
        </w:rPr>
      </w:pPr>
      <w:r>
        <w:rPr>
          <w:rFonts w:ascii="Arial" w:hAnsi="Arial" w:cs="Arial"/>
          <w:sz w:val="20"/>
          <w:lang w:val="en-GB"/>
        </w:rPr>
        <w:t>Definitions</w:t>
      </w:r>
    </w:p>
    <w:p w14:paraId="08BB4F7F" w14:textId="68813D74" w:rsidR="00EA1838" w:rsidRDefault="00EA1838" w:rsidP="00EA1838">
      <w:pPr>
        <w:pStyle w:val="ListParagraph"/>
        <w:numPr>
          <w:ilvl w:val="1"/>
          <w:numId w:val="28"/>
        </w:numPr>
        <w:jc w:val="both"/>
        <w:rPr>
          <w:rFonts w:ascii="Arial" w:hAnsi="Arial" w:cs="Arial"/>
          <w:sz w:val="20"/>
          <w:lang w:val="en-GB"/>
        </w:rPr>
      </w:pPr>
      <w:r>
        <w:rPr>
          <w:rFonts w:ascii="Arial" w:hAnsi="Arial" w:cs="Arial"/>
          <w:sz w:val="20"/>
          <w:lang w:val="en-GB"/>
        </w:rPr>
        <w:t>The definitions an provisions contained in the 2002 Equity Definitions as published by ISDA</w:t>
      </w:r>
    </w:p>
    <w:p w14:paraId="14E562A0" w14:textId="74C7EC39" w:rsidR="00EA1838" w:rsidRDefault="00EA1838" w:rsidP="00EA1838">
      <w:pPr>
        <w:pStyle w:val="ListParagraph"/>
        <w:numPr>
          <w:ilvl w:val="1"/>
          <w:numId w:val="28"/>
        </w:numPr>
        <w:jc w:val="both"/>
        <w:rPr>
          <w:rFonts w:ascii="Arial" w:hAnsi="Arial" w:cs="Arial"/>
          <w:sz w:val="20"/>
          <w:lang w:val="en-GB"/>
        </w:rPr>
      </w:pPr>
      <w:r>
        <w:rPr>
          <w:rFonts w:ascii="Arial" w:hAnsi="Arial" w:cs="Arial"/>
          <w:sz w:val="20"/>
          <w:lang w:val="en-GB"/>
        </w:rPr>
        <w:t>For the purposes of this annex 2:</w:t>
      </w:r>
    </w:p>
    <w:p w14:paraId="4CC320A3" w14:textId="7ECAD765" w:rsidR="00EA1838" w:rsidRDefault="00EA1838" w:rsidP="00EA1838">
      <w:pPr>
        <w:pStyle w:val="ListParagraph"/>
        <w:numPr>
          <w:ilvl w:val="0"/>
          <w:numId w:val="28"/>
        </w:numPr>
        <w:jc w:val="both"/>
        <w:rPr>
          <w:rFonts w:ascii="Arial" w:hAnsi="Arial" w:cs="Arial"/>
          <w:sz w:val="20"/>
          <w:lang w:val="en-GB"/>
        </w:rPr>
      </w:pPr>
      <w:r>
        <w:rPr>
          <w:rFonts w:ascii="Arial" w:hAnsi="Arial" w:cs="Arial"/>
          <w:sz w:val="20"/>
          <w:lang w:val="en-GB"/>
        </w:rPr>
        <w:t>Share Final Price</w:t>
      </w:r>
    </w:p>
    <w:p w14:paraId="34BE2CD6" w14:textId="55DF09A1" w:rsidR="00EA1838" w:rsidRDefault="00EA1838" w:rsidP="00EA1838">
      <w:pPr>
        <w:pStyle w:val="ListParagraph"/>
        <w:numPr>
          <w:ilvl w:val="0"/>
          <w:numId w:val="28"/>
        </w:numPr>
        <w:jc w:val="both"/>
        <w:rPr>
          <w:rFonts w:ascii="Arial" w:hAnsi="Arial" w:cs="Arial"/>
          <w:sz w:val="20"/>
          <w:lang w:val="en-GB"/>
        </w:rPr>
      </w:pPr>
      <w:r>
        <w:rPr>
          <w:rFonts w:ascii="Arial" w:hAnsi="Arial" w:cs="Arial"/>
          <w:sz w:val="20"/>
          <w:lang w:val="en-GB"/>
        </w:rPr>
        <w:t>Share Event</w:t>
      </w:r>
    </w:p>
    <w:p w14:paraId="46B62CBC" w14:textId="6DDBF28F" w:rsidR="00EA1838" w:rsidRDefault="00EA1838" w:rsidP="00EA1838">
      <w:pPr>
        <w:pStyle w:val="ListParagraph"/>
        <w:numPr>
          <w:ilvl w:val="1"/>
          <w:numId w:val="28"/>
        </w:numPr>
        <w:jc w:val="both"/>
        <w:rPr>
          <w:rFonts w:ascii="Arial" w:hAnsi="Arial" w:cs="Arial"/>
          <w:sz w:val="20"/>
          <w:lang w:val="en-GB"/>
        </w:rPr>
      </w:pPr>
      <w:r>
        <w:rPr>
          <w:rFonts w:ascii="Arial" w:hAnsi="Arial" w:cs="Arial"/>
          <w:sz w:val="20"/>
          <w:lang w:val="en-GB"/>
        </w:rPr>
        <w:t>Definitions</w:t>
      </w:r>
    </w:p>
    <w:p w14:paraId="411F6E6C" w14:textId="411EC620" w:rsidR="00EA1838" w:rsidRDefault="00EA1838" w:rsidP="00EA1838">
      <w:pPr>
        <w:pStyle w:val="ListParagraph"/>
        <w:numPr>
          <w:ilvl w:val="1"/>
          <w:numId w:val="28"/>
        </w:numPr>
        <w:jc w:val="both"/>
        <w:rPr>
          <w:rFonts w:ascii="Arial" w:hAnsi="Arial" w:cs="Arial"/>
          <w:sz w:val="20"/>
          <w:lang w:val="en-GB"/>
        </w:rPr>
      </w:pPr>
      <w:r>
        <w:rPr>
          <w:rFonts w:ascii="Arial" w:hAnsi="Arial" w:cs="Arial"/>
          <w:sz w:val="20"/>
          <w:lang w:val="en-GB"/>
        </w:rPr>
        <w:t>Consequences</w:t>
      </w:r>
    </w:p>
    <w:p w14:paraId="29F5432C" w14:textId="77777777" w:rsidR="00EA1838" w:rsidRDefault="00EA1838" w:rsidP="00EA1838">
      <w:pPr>
        <w:jc w:val="both"/>
        <w:rPr>
          <w:rFonts w:ascii="Arial" w:hAnsi="Arial" w:cs="Arial"/>
          <w:sz w:val="20"/>
          <w:lang w:val="en-GB"/>
        </w:rPr>
      </w:pPr>
    </w:p>
    <w:p w14:paraId="35B40F4B" w14:textId="23F1D4A3" w:rsidR="00EA1838" w:rsidRDefault="00EA1838">
      <w:pPr>
        <w:rPr>
          <w:rFonts w:ascii="Arial" w:hAnsi="Arial" w:cs="Arial"/>
          <w:sz w:val="20"/>
          <w:lang w:val="en-GB"/>
        </w:rPr>
      </w:pPr>
      <w:r>
        <w:rPr>
          <w:rFonts w:ascii="Arial" w:hAnsi="Arial" w:cs="Arial"/>
          <w:sz w:val="20"/>
          <w:lang w:val="en-GB"/>
        </w:rPr>
        <w:br w:type="page"/>
      </w:r>
    </w:p>
    <w:p w14:paraId="0F774151" w14:textId="52980B14" w:rsidR="00EA1838" w:rsidRDefault="00EA1838" w:rsidP="00EA1838">
      <w:pPr>
        <w:jc w:val="center"/>
        <w:rPr>
          <w:rFonts w:ascii="Arial" w:hAnsi="Arial" w:cs="Arial"/>
          <w:sz w:val="20"/>
          <w:lang w:val="en-GB"/>
        </w:rPr>
      </w:pPr>
      <w:r>
        <w:rPr>
          <w:rFonts w:ascii="Arial" w:hAnsi="Arial" w:cs="Arial"/>
          <w:sz w:val="20"/>
          <w:lang w:val="en-GB"/>
        </w:rPr>
        <w:lastRenderedPageBreak/>
        <w:t>ANNEX 3</w:t>
      </w:r>
    </w:p>
    <w:p w14:paraId="6D117A91" w14:textId="77777777" w:rsidR="00EA1838" w:rsidRDefault="00EA1838" w:rsidP="00EA1838">
      <w:pPr>
        <w:jc w:val="center"/>
        <w:rPr>
          <w:rFonts w:ascii="Arial" w:hAnsi="Arial" w:cs="Arial"/>
          <w:sz w:val="20"/>
          <w:lang w:val="en-GB"/>
        </w:rPr>
      </w:pPr>
    </w:p>
    <w:p w14:paraId="2DEDE897" w14:textId="05C72906" w:rsidR="00EA1838" w:rsidRDefault="00EA1838" w:rsidP="00EA1838">
      <w:pPr>
        <w:jc w:val="center"/>
        <w:rPr>
          <w:rFonts w:ascii="Arial" w:hAnsi="Arial" w:cs="Arial"/>
          <w:sz w:val="20"/>
          <w:lang w:val="en-GB"/>
        </w:rPr>
      </w:pPr>
      <w:r>
        <w:rPr>
          <w:rFonts w:ascii="Arial" w:hAnsi="Arial" w:cs="Arial"/>
          <w:sz w:val="20"/>
          <w:lang w:val="en-GB"/>
        </w:rPr>
        <w:t>BONDS AND CONVERTIBLE BONDS</w:t>
      </w:r>
    </w:p>
    <w:p w14:paraId="1B00B908" w14:textId="77777777" w:rsidR="00EA1838" w:rsidRDefault="00EA1838" w:rsidP="00EA1838">
      <w:pPr>
        <w:jc w:val="center"/>
        <w:rPr>
          <w:rFonts w:ascii="Arial" w:hAnsi="Arial" w:cs="Arial"/>
          <w:sz w:val="20"/>
          <w:lang w:val="en-GB"/>
        </w:rPr>
      </w:pPr>
    </w:p>
    <w:p w14:paraId="447D78BC" w14:textId="77777777" w:rsidR="00EA1838" w:rsidRDefault="00EA1838" w:rsidP="00EA1838">
      <w:pPr>
        <w:jc w:val="center"/>
        <w:rPr>
          <w:rFonts w:ascii="Arial" w:hAnsi="Arial" w:cs="Arial"/>
          <w:sz w:val="20"/>
          <w:lang w:val="en-GB"/>
        </w:rPr>
      </w:pPr>
    </w:p>
    <w:p w14:paraId="4622A3C9" w14:textId="77777777" w:rsidR="00EA1838" w:rsidRDefault="00EA1838" w:rsidP="00EA1838">
      <w:pPr>
        <w:pStyle w:val="ListParagraph"/>
        <w:numPr>
          <w:ilvl w:val="0"/>
          <w:numId w:val="30"/>
        </w:numPr>
        <w:jc w:val="both"/>
        <w:rPr>
          <w:rFonts w:ascii="Arial" w:hAnsi="Arial" w:cs="Arial"/>
          <w:sz w:val="20"/>
          <w:lang w:val="en-GB"/>
        </w:rPr>
      </w:pPr>
      <w:r>
        <w:rPr>
          <w:rFonts w:ascii="Arial" w:hAnsi="Arial" w:cs="Arial"/>
          <w:sz w:val="20"/>
          <w:lang w:val="en-GB"/>
        </w:rPr>
        <w:t>Definitions</w:t>
      </w:r>
    </w:p>
    <w:p w14:paraId="552F0801" w14:textId="1A6DC4BE" w:rsidR="00EA1838" w:rsidRPr="00EA1838" w:rsidRDefault="00EA1838" w:rsidP="00EA1838">
      <w:pPr>
        <w:pStyle w:val="ListParagraph"/>
        <w:numPr>
          <w:ilvl w:val="0"/>
          <w:numId w:val="30"/>
        </w:numPr>
        <w:jc w:val="both"/>
        <w:rPr>
          <w:rFonts w:ascii="Arial" w:hAnsi="Arial" w:cs="Arial"/>
          <w:sz w:val="20"/>
          <w:lang w:val="en-GB"/>
        </w:rPr>
      </w:pPr>
      <w:r>
        <w:rPr>
          <w:rFonts w:ascii="Arial" w:hAnsi="Arial" w:cs="Arial"/>
          <w:sz w:val="20"/>
          <w:lang w:val="en-GB"/>
        </w:rPr>
        <w:t xml:space="preserve">Transaction Bond </w:t>
      </w:r>
      <w:r w:rsidRPr="00EA1838">
        <w:rPr>
          <w:rFonts w:ascii="Arial" w:hAnsi="Arial" w:cs="Arial"/>
          <w:sz w:val="20"/>
          <w:lang w:val="en-GB"/>
        </w:rPr>
        <w:t>Final Price</w:t>
      </w:r>
    </w:p>
    <w:p w14:paraId="0852F29F" w14:textId="4839E510" w:rsidR="00EA1838" w:rsidRDefault="00EA1838" w:rsidP="00EA1838">
      <w:pPr>
        <w:pStyle w:val="ListParagraph"/>
        <w:numPr>
          <w:ilvl w:val="0"/>
          <w:numId w:val="30"/>
        </w:numPr>
        <w:jc w:val="both"/>
        <w:rPr>
          <w:rFonts w:ascii="Arial" w:hAnsi="Arial" w:cs="Arial"/>
          <w:sz w:val="20"/>
          <w:lang w:val="en-GB"/>
        </w:rPr>
      </w:pPr>
      <w:r>
        <w:rPr>
          <w:rFonts w:ascii="Arial" w:hAnsi="Arial" w:cs="Arial"/>
          <w:sz w:val="20"/>
          <w:lang w:val="en-GB"/>
        </w:rPr>
        <w:t>Equivalent Transaction Bonds</w:t>
      </w:r>
    </w:p>
    <w:p w14:paraId="1FD84E20" w14:textId="70156AF4" w:rsidR="00EA1838" w:rsidRDefault="00EA1838" w:rsidP="00EA1838">
      <w:pPr>
        <w:pStyle w:val="ListParagraph"/>
        <w:numPr>
          <w:ilvl w:val="0"/>
          <w:numId w:val="30"/>
        </w:numPr>
        <w:jc w:val="both"/>
        <w:rPr>
          <w:rFonts w:ascii="Arial" w:hAnsi="Arial" w:cs="Arial"/>
          <w:sz w:val="20"/>
          <w:lang w:val="en-GB"/>
        </w:rPr>
      </w:pPr>
      <w:r>
        <w:rPr>
          <w:rFonts w:ascii="Arial" w:hAnsi="Arial" w:cs="Arial"/>
          <w:sz w:val="20"/>
          <w:lang w:val="en-GB"/>
        </w:rPr>
        <w:t>Bond Event</w:t>
      </w:r>
    </w:p>
    <w:p w14:paraId="71327295" w14:textId="3D86DB74" w:rsidR="00EA1838" w:rsidRDefault="00EA1838" w:rsidP="00EA1838">
      <w:pPr>
        <w:pStyle w:val="ListParagraph"/>
        <w:numPr>
          <w:ilvl w:val="1"/>
          <w:numId w:val="30"/>
        </w:numPr>
        <w:jc w:val="both"/>
        <w:rPr>
          <w:rFonts w:ascii="Arial" w:hAnsi="Arial" w:cs="Arial"/>
          <w:sz w:val="20"/>
          <w:lang w:val="en-GB"/>
        </w:rPr>
      </w:pPr>
      <w:r>
        <w:rPr>
          <w:rFonts w:ascii="Arial" w:hAnsi="Arial" w:cs="Arial"/>
          <w:sz w:val="20"/>
          <w:lang w:val="en-GB"/>
        </w:rPr>
        <w:t>A Bond Event</w:t>
      </w:r>
    </w:p>
    <w:p w14:paraId="3762C081" w14:textId="6266737D" w:rsidR="00EA1838" w:rsidRDefault="00EA1838" w:rsidP="00EA1838">
      <w:pPr>
        <w:pStyle w:val="ListParagraph"/>
        <w:numPr>
          <w:ilvl w:val="1"/>
          <w:numId w:val="30"/>
        </w:numPr>
        <w:jc w:val="both"/>
        <w:rPr>
          <w:rFonts w:ascii="Arial" w:hAnsi="Arial" w:cs="Arial"/>
          <w:sz w:val="20"/>
          <w:lang w:val="en-GB"/>
        </w:rPr>
      </w:pPr>
      <w:r>
        <w:rPr>
          <w:rFonts w:ascii="Arial" w:hAnsi="Arial" w:cs="Arial"/>
          <w:sz w:val="20"/>
          <w:lang w:val="en-GB"/>
        </w:rPr>
        <w:t>Credit Event</w:t>
      </w:r>
    </w:p>
    <w:p w14:paraId="3755673D" w14:textId="77777777" w:rsidR="00EA1838" w:rsidRDefault="00EA1838" w:rsidP="00EA1838">
      <w:pPr>
        <w:jc w:val="both"/>
        <w:rPr>
          <w:rFonts w:ascii="Arial" w:hAnsi="Arial" w:cs="Arial"/>
          <w:sz w:val="20"/>
          <w:lang w:val="en-GB"/>
        </w:rPr>
      </w:pPr>
    </w:p>
    <w:p w14:paraId="597C5EDE" w14:textId="77777777" w:rsidR="00EA1838" w:rsidRDefault="00EA1838" w:rsidP="00EA1838">
      <w:pPr>
        <w:jc w:val="both"/>
        <w:rPr>
          <w:rFonts w:ascii="Arial" w:hAnsi="Arial" w:cs="Arial"/>
          <w:sz w:val="20"/>
          <w:lang w:val="en-GB"/>
        </w:rPr>
      </w:pPr>
    </w:p>
    <w:p w14:paraId="13505BA5" w14:textId="77777777" w:rsidR="00EA1838" w:rsidRDefault="00EA1838" w:rsidP="00EA1838">
      <w:pPr>
        <w:jc w:val="both"/>
        <w:rPr>
          <w:rFonts w:ascii="Arial" w:hAnsi="Arial" w:cs="Arial"/>
          <w:sz w:val="20"/>
          <w:lang w:val="en-GB"/>
        </w:rPr>
      </w:pPr>
    </w:p>
    <w:p w14:paraId="0CD87920" w14:textId="77777777" w:rsidR="00EA1838" w:rsidRDefault="00EA1838" w:rsidP="00EA1838">
      <w:pPr>
        <w:jc w:val="both"/>
        <w:rPr>
          <w:rFonts w:ascii="Arial" w:hAnsi="Arial" w:cs="Arial"/>
          <w:sz w:val="20"/>
          <w:lang w:val="en-GB"/>
        </w:rPr>
      </w:pPr>
    </w:p>
    <w:p w14:paraId="67AB6C3B" w14:textId="77777777" w:rsidR="00EA1838" w:rsidRDefault="00EA1838" w:rsidP="00EA1838">
      <w:pPr>
        <w:jc w:val="both"/>
        <w:rPr>
          <w:rFonts w:ascii="Arial" w:hAnsi="Arial" w:cs="Arial"/>
          <w:sz w:val="20"/>
          <w:lang w:val="en-GB"/>
        </w:rPr>
      </w:pPr>
    </w:p>
    <w:p w14:paraId="366408B3" w14:textId="27E5AE92" w:rsidR="004C1213" w:rsidRDefault="004C1213">
      <w:pPr>
        <w:rPr>
          <w:rFonts w:ascii="Arial" w:hAnsi="Arial" w:cs="Arial"/>
          <w:sz w:val="20"/>
          <w:lang w:val="en-GB"/>
        </w:rPr>
      </w:pPr>
      <w:r>
        <w:rPr>
          <w:rFonts w:ascii="Arial" w:hAnsi="Arial" w:cs="Arial"/>
          <w:sz w:val="20"/>
          <w:lang w:val="en-GB"/>
        </w:rPr>
        <w:br w:type="page"/>
      </w:r>
    </w:p>
    <w:p w14:paraId="3166CC9D" w14:textId="3F3C9774" w:rsidR="00EA1838" w:rsidRDefault="004C1213" w:rsidP="004C1213">
      <w:pPr>
        <w:jc w:val="center"/>
        <w:rPr>
          <w:rFonts w:ascii="Arial" w:hAnsi="Arial" w:cs="Arial"/>
          <w:sz w:val="20"/>
          <w:lang w:val="en-GB"/>
        </w:rPr>
      </w:pPr>
      <w:r>
        <w:rPr>
          <w:rFonts w:ascii="Arial" w:hAnsi="Arial" w:cs="Arial"/>
          <w:sz w:val="20"/>
          <w:lang w:val="en-GB"/>
        </w:rPr>
        <w:lastRenderedPageBreak/>
        <w:t>ANNEX 4</w:t>
      </w:r>
    </w:p>
    <w:p w14:paraId="4FC47801" w14:textId="77777777" w:rsidR="004C1213" w:rsidRDefault="004C1213" w:rsidP="004C1213">
      <w:pPr>
        <w:jc w:val="center"/>
        <w:rPr>
          <w:rFonts w:ascii="Arial" w:hAnsi="Arial" w:cs="Arial"/>
          <w:sz w:val="20"/>
          <w:lang w:val="en-GB"/>
        </w:rPr>
      </w:pPr>
    </w:p>
    <w:p w14:paraId="128B15DC" w14:textId="2B25B297" w:rsidR="004C1213" w:rsidRDefault="004C1213" w:rsidP="004C1213">
      <w:pPr>
        <w:jc w:val="center"/>
        <w:rPr>
          <w:rFonts w:ascii="Arial" w:hAnsi="Arial" w:cs="Arial"/>
          <w:sz w:val="20"/>
          <w:lang w:val="en-GB"/>
        </w:rPr>
      </w:pPr>
      <w:r>
        <w:rPr>
          <w:rFonts w:ascii="Arial" w:hAnsi="Arial" w:cs="Arial"/>
          <w:sz w:val="20"/>
          <w:lang w:val="en-GB"/>
        </w:rPr>
        <w:t>SCRIPS</w:t>
      </w:r>
    </w:p>
    <w:p w14:paraId="7CD24ECB" w14:textId="77777777" w:rsidR="004C1213" w:rsidRDefault="004C1213" w:rsidP="004C1213">
      <w:pPr>
        <w:jc w:val="center"/>
        <w:rPr>
          <w:rFonts w:ascii="Arial" w:hAnsi="Arial" w:cs="Arial"/>
          <w:sz w:val="20"/>
          <w:lang w:val="en-GB"/>
        </w:rPr>
      </w:pPr>
    </w:p>
    <w:p w14:paraId="6041139C" w14:textId="77777777" w:rsidR="004C1213" w:rsidRPr="00EA1838" w:rsidRDefault="004C1213" w:rsidP="004C1213">
      <w:pPr>
        <w:jc w:val="center"/>
        <w:rPr>
          <w:rFonts w:ascii="Arial" w:hAnsi="Arial" w:cs="Arial"/>
          <w:sz w:val="20"/>
          <w:lang w:val="en-GB"/>
        </w:rPr>
      </w:pPr>
    </w:p>
    <w:p w14:paraId="78860F1F" w14:textId="77777777" w:rsidR="004C1213" w:rsidRDefault="004C1213" w:rsidP="004C1213">
      <w:pPr>
        <w:pStyle w:val="ListParagraph"/>
        <w:numPr>
          <w:ilvl w:val="0"/>
          <w:numId w:val="32"/>
        </w:numPr>
        <w:jc w:val="both"/>
        <w:rPr>
          <w:rFonts w:ascii="Arial" w:hAnsi="Arial" w:cs="Arial"/>
          <w:sz w:val="20"/>
          <w:lang w:val="en-GB"/>
        </w:rPr>
      </w:pPr>
      <w:r>
        <w:rPr>
          <w:rFonts w:ascii="Arial" w:hAnsi="Arial" w:cs="Arial"/>
          <w:sz w:val="20"/>
          <w:lang w:val="en-GB"/>
        </w:rPr>
        <w:t>Definitions</w:t>
      </w:r>
    </w:p>
    <w:p w14:paraId="49FF1A69" w14:textId="70E50CB9" w:rsidR="004C1213" w:rsidRPr="00EA1838" w:rsidRDefault="00427F7D" w:rsidP="004C1213">
      <w:pPr>
        <w:pStyle w:val="ListParagraph"/>
        <w:numPr>
          <w:ilvl w:val="0"/>
          <w:numId w:val="32"/>
        </w:numPr>
        <w:jc w:val="both"/>
        <w:rPr>
          <w:rFonts w:ascii="Arial" w:hAnsi="Arial" w:cs="Arial"/>
          <w:sz w:val="20"/>
          <w:lang w:val="en-GB"/>
        </w:rPr>
      </w:pPr>
      <w:r>
        <w:rPr>
          <w:rFonts w:ascii="Arial" w:hAnsi="Arial" w:cs="Arial"/>
          <w:sz w:val="20"/>
          <w:lang w:val="en-GB"/>
        </w:rPr>
        <w:t>Scrip</w:t>
      </w:r>
      <w:r w:rsidR="004C1213">
        <w:rPr>
          <w:rFonts w:ascii="Arial" w:hAnsi="Arial" w:cs="Arial"/>
          <w:sz w:val="20"/>
          <w:lang w:val="en-GB"/>
        </w:rPr>
        <w:t xml:space="preserve"> </w:t>
      </w:r>
      <w:r w:rsidR="004C1213" w:rsidRPr="00EA1838">
        <w:rPr>
          <w:rFonts w:ascii="Arial" w:hAnsi="Arial" w:cs="Arial"/>
          <w:sz w:val="20"/>
          <w:lang w:val="en-GB"/>
        </w:rPr>
        <w:t>Final Price</w:t>
      </w:r>
    </w:p>
    <w:p w14:paraId="0B213E57" w14:textId="4869BD34" w:rsidR="004C1213" w:rsidRDefault="00427F7D" w:rsidP="00427F7D">
      <w:pPr>
        <w:pStyle w:val="ListParagraph"/>
        <w:numPr>
          <w:ilvl w:val="0"/>
          <w:numId w:val="32"/>
        </w:numPr>
        <w:jc w:val="both"/>
        <w:rPr>
          <w:rFonts w:ascii="Arial" w:hAnsi="Arial" w:cs="Arial"/>
          <w:sz w:val="20"/>
          <w:lang w:val="en-GB"/>
        </w:rPr>
      </w:pPr>
      <w:r>
        <w:rPr>
          <w:rFonts w:ascii="Arial" w:hAnsi="Arial" w:cs="Arial"/>
          <w:sz w:val="20"/>
          <w:lang w:val="en-GB"/>
        </w:rPr>
        <w:t>Scrip</w:t>
      </w:r>
      <w:r w:rsidR="004C1213" w:rsidRPr="00427F7D">
        <w:rPr>
          <w:rFonts w:ascii="Arial" w:hAnsi="Arial" w:cs="Arial"/>
          <w:sz w:val="20"/>
          <w:lang w:val="en-GB"/>
        </w:rPr>
        <w:t xml:space="preserve"> Event</w:t>
      </w:r>
    </w:p>
    <w:p w14:paraId="1E260C6C" w14:textId="77777777" w:rsidR="00427F7D" w:rsidRDefault="00427F7D" w:rsidP="00427F7D">
      <w:pPr>
        <w:jc w:val="both"/>
        <w:rPr>
          <w:rFonts w:ascii="Arial" w:hAnsi="Arial" w:cs="Arial"/>
          <w:sz w:val="20"/>
          <w:lang w:val="en-GB"/>
        </w:rPr>
      </w:pPr>
    </w:p>
    <w:p w14:paraId="5F7009C3" w14:textId="77777777" w:rsidR="00427F7D" w:rsidRDefault="00427F7D" w:rsidP="00427F7D">
      <w:pPr>
        <w:jc w:val="both"/>
        <w:rPr>
          <w:rFonts w:ascii="Arial" w:hAnsi="Arial" w:cs="Arial"/>
          <w:sz w:val="20"/>
          <w:lang w:val="en-GB"/>
        </w:rPr>
      </w:pPr>
    </w:p>
    <w:p w14:paraId="6833579A" w14:textId="77777777" w:rsidR="00427F7D" w:rsidRDefault="00427F7D" w:rsidP="00427F7D">
      <w:pPr>
        <w:jc w:val="both"/>
        <w:rPr>
          <w:rFonts w:ascii="Arial" w:hAnsi="Arial" w:cs="Arial"/>
          <w:sz w:val="20"/>
          <w:lang w:val="en-GB"/>
        </w:rPr>
      </w:pPr>
    </w:p>
    <w:p w14:paraId="14B4A004" w14:textId="4FC631BB" w:rsidR="00427F7D" w:rsidRDefault="00427F7D">
      <w:pPr>
        <w:rPr>
          <w:rFonts w:ascii="Arial" w:hAnsi="Arial" w:cs="Arial"/>
          <w:sz w:val="20"/>
          <w:lang w:val="en-GB"/>
        </w:rPr>
      </w:pPr>
      <w:r>
        <w:rPr>
          <w:rFonts w:ascii="Arial" w:hAnsi="Arial" w:cs="Arial"/>
          <w:sz w:val="20"/>
          <w:lang w:val="en-GB"/>
        </w:rPr>
        <w:br w:type="page"/>
      </w:r>
    </w:p>
    <w:p w14:paraId="10485E30" w14:textId="77777777" w:rsidR="00427F7D" w:rsidRDefault="00427F7D" w:rsidP="00427F7D">
      <w:pPr>
        <w:jc w:val="center"/>
        <w:rPr>
          <w:rFonts w:ascii="Arial" w:hAnsi="Arial" w:cs="Arial"/>
          <w:sz w:val="20"/>
          <w:lang w:val="en-GB"/>
        </w:rPr>
      </w:pPr>
      <w:r>
        <w:rPr>
          <w:rFonts w:ascii="Arial" w:hAnsi="Arial" w:cs="Arial"/>
          <w:sz w:val="20"/>
          <w:lang w:val="en-GB"/>
        </w:rPr>
        <w:lastRenderedPageBreak/>
        <w:t>ANNEX 4</w:t>
      </w:r>
    </w:p>
    <w:p w14:paraId="43521328" w14:textId="77777777" w:rsidR="00427F7D" w:rsidRDefault="00427F7D" w:rsidP="00427F7D">
      <w:pPr>
        <w:jc w:val="center"/>
        <w:rPr>
          <w:rFonts w:ascii="Arial" w:hAnsi="Arial" w:cs="Arial"/>
          <w:sz w:val="20"/>
          <w:lang w:val="en-GB"/>
        </w:rPr>
      </w:pPr>
    </w:p>
    <w:p w14:paraId="3EB5C1F5" w14:textId="23D468BC" w:rsidR="00427F7D" w:rsidRDefault="00427F7D" w:rsidP="00427F7D">
      <w:pPr>
        <w:jc w:val="center"/>
        <w:rPr>
          <w:rFonts w:ascii="Arial" w:hAnsi="Arial" w:cs="Arial"/>
          <w:sz w:val="20"/>
          <w:lang w:val="en-GB"/>
        </w:rPr>
      </w:pPr>
      <w:r>
        <w:rPr>
          <w:rFonts w:ascii="Arial" w:hAnsi="Arial" w:cs="Arial"/>
          <w:sz w:val="20"/>
          <w:lang w:val="en-GB"/>
        </w:rPr>
        <w:t>FUND INTEREST UNITS</w:t>
      </w:r>
    </w:p>
    <w:p w14:paraId="5DDE9CAF" w14:textId="77777777" w:rsidR="00427F7D" w:rsidRDefault="00427F7D" w:rsidP="00427F7D">
      <w:pPr>
        <w:jc w:val="center"/>
        <w:rPr>
          <w:rFonts w:ascii="Arial" w:hAnsi="Arial" w:cs="Arial"/>
          <w:sz w:val="20"/>
          <w:lang w:val="en-GB"/>
        </w:rPr>
      </w:pPr>
    </w:p>
    <w:p w14:paraId="402DC6C2" w14:textId="77777777" w:rsidR="00427F7D" w:rsidRPr="00EA1838" w:rsidRDefault="00427F7D" w:rsidP="00427F7D">
      <w:pPr>
        <w:jc w:val="center"/>
        <w:rPr>
          <w:rFonts w:ascii="Arial" w:hAnsi="Arial" w:cs="Arial"/>
          <w:sz w:val="20"/>
          <w:lang w:val="en-GB"/>
        </w:rPr>
      </w:pPr>
    </w:p>
    <w:p w14:paraId="372ECA82" w14:textId="77777777" w:rsidR="00427F7D" w:rsidRDefault="00427F7D" w:rsidP="00427F7D">
      <w:pPr>
        <w:pStyle w:val="ListParagraph"/>
        <w:numPr>
          <w:ilvl w:val="0"/>
          <w:numId w:val="34"/>
        </w:numPr>
        <w:jc w:val="both"/>
        <w:rPr>
          <w:rFonts w:ascii="Arial" w:hAnsi="Arial" w:cs="Arial"/>
          <w:sz w:val="20"/>
          <w:lang w:val="en-GB"/>
        </w:rPr>
      </w:pPr>
      <w:r>
        <w:rPr>
          <w:rFonts w:ascii="Arial" w:hAnsi="Arial" w:cs="Arial"/>
          <w:sz w:val="20"/>
          <w:lang w:val="en-GB"/>
        </w:rPr>
        <w:t>Definitions</w:t>
      </w:r>
    </w:p>
    <w:p w14:paraId="191BA263" w14:textId="6F4BAEF7" w:rsidR="00427F7D" w:rsidRPr="00EA1838" w:rsidRDefault="00427F7D" w:rsidP="00427F7D">
      <w:pPr>
        <w:pStyle w:val="ListParagraph"/>
        <w:numPr>
          <w:ilvl w:val="0"/>
          <w:numId w:val="34"/>
        </w:numPr>
        <w:jc w:val="both"/>
        <w:rPr>
          <w:rFonts w:ascii="Arial" w:hAnsi="Arial" w:cs="Arial"/>
          <w:sz w:val="20"/>
          <w:lang w:val="en-GB"/>
        </w:rPr>
      </w:pPr>
      <w:r>
        <w:rPr>
          <w:rFonts w:ascii="Arial" w:hAnsi="Arial" w:cs="Arial"/>
          <w:sz w:val="20"/>
          <w:lang w:val="en-GB"/>
        </w:rPr>
        <w:t xml:space="preserve">Fund Interest </w:t>
      </w:r>
      <w:r w:rsidRPr="00EA1838">
        <w:rPr>
          <w:rFonts w:ascii="Arial" w:hAnsi="Arial" w:cs="Arial"/>
          <w:sz w:val="20"/>
          <w:lang w:val="en-GB"/>
        </w:rPr>
        <w:t>Final Price</w:t>
      </w:r>
    </w:p>
    <w:p w14:paraId="54317C8A" w14:textId="7B030AEA" w:rsidR="00427F7D" w:rsidRDefault="00427F7D" w:rsidP="00427F7D">
      <w:pPr>
        <w:pStyle w:val="ListParagraph"/>
        <w:numPr>
          <w:ilvl w:val="0"/>
          <w:numId w:val="34"/>
        </w:numPr>
        <w:jc w:val="both"/>
        <w:rPr>
          <w:rFonts w:ascii="Arial" w:hAnsi="Arial" w:cs="Arial"/>
          <w:sz w:val="20"/>
          <w:lang w:val="en-GB"/>
        </w:rPr>
      </w:pPr>
      <w:r>
        <w:rPr>
          <w:rFonts w:ascii="Arial" w:hAnsi="Arial" w:cs="Arial"/>
          <w:sz w:val="20"/>
          <w:lang w:val="en-GB"/>
        </w:rPr>
        <w:t>Fund Interest</w:t>
      </w:r>
      <w:r w:rsidRPr="00427F7D">
        <w:rPr>
          <w:rFonts w:ascii="Arial" w:hAnsi="Arial" w:cs="Arial"/>
          <w:sz w:val="20"/>
          <w:lang w:val="en-GB"/>
        </w:rPr>
        <w:t xml:space="preserve"> Event</w:t>
      </w:r>
    </w:p>
    <w:p w14:paraId="0983AC67" w14:textId="77777777" w:rsidR="00427F7D" w:rsidRDefault="00427F7D" w:rsidP="00427F7D">
      <w:pPr>
        <w:jc w:val="both"/>
        <w:rPr>
          <w:rFonts w:ascii="Arial" w:hAnsi="Arial" w:cs="Arial"/>
          <w:sz w:val="20"/>
          <w:lang w:val="en-GB"/>
        </w:rPr>
      </w:pPr>
    </w:p>
    <w:p w14:paraId="016EBCA9" w14:textId="77777777" w:rsidR="00427F7D" w:rsidRDefault="00427F7D" w:rsidP="00427F7D">
      <w:pPr>
        <w:jc w:val="both"/>
        <w:rPr>
          <w:rFonts w:ascii="Arial" w:hAnsi="Arial" w:cs="Arial"/>
          <w:sz w:val="20"/>
          <w:lang w:val="en-GB"/>
        </w:rPr>
      </w:pPr>
    </w:p>
    <w:p w14:paraId="3EC69A8F" w14:textId="77777777" w:rsidR="00427F7D" w:rsidRDefault="00427F7D" w:rsidP="00427F7D">
      <w:pPr>
        <w:jc w:val="both"/>
        <w:rPr>
          <w:rFonts w:ascii="Arial" w:hAnsi="Arial" w:cs="Arial"/>
          <w:sz w:val="20"/>
          <w:lang w:val="en-GB"/>
        </w:rPr>
      </w:pPr>
    </w:p>
    <w:p w14:paraId="64243AFC" w14:textId="5CF7C9FC" w:rsidR="00427F7D" w:rsidRDefault="00427F7D">
      <w:pPr>
        <w:rPr>
          <w:rFonts w:ascii="Arial" w:hAnsi="Arial" w:cs="Arial"/>
          <w:sz w:val="20"/>
          <w:lang w:val="en-GB"/>
        </w:rPr>
      </w:pPr>
      <w:r>
        <w:rPr>
          <w:rFonts w:ascii="Arial" w:hAnsi="Arial" w:cs="Arial"/>
          <w:sz w:val="20"/>
          <w:lang w:val="en-GB"/>
        </w:rPr>
        <w:br w:type="page"/>
      </w:r>
    </w:p>
    <w:p w14:paraId="290CACBA" w14:textId="6D753883" w:rsidR="00427F7D" w:rsidRDefault="00427F7D" w:rsidP="00427F7D">
      <w:pPr>
        <w:jc w:val="center"/>
        <w:rPr>
          <w:rFonts w:ascii="Arial" w:hAnsi="Arial" w:cs="Arial"/>
          <w:sz w:val="20"/>
          <w:lang w:val="en-GB"/>
        </w:rPr>
      </w:pPr>
      <w:r>
        <w:rPr>
          <w:rFonts w:ascii="Arial" w:hAnsi="Arial" w:cs="Arial"/>
          <w:sz w:val="20"/>
          <w:lang w:val="en-GB"/>
        </w:rPr>
        <w:lastRenderedPageBreak/>
        <w:t>ANNEX 6</w:t>
      </w:r>
    </w:p>
    <w:p w14:paraId="664B2FCA" w14:textId="77777777" w:rsidR="00427F7D" w:rsidRDefault="00427F7D" w:rsidP="00427F7D">
      <w:pPr>
        <w:jc w:val="center"/>
        <w:rPr>
          <w:rFonts w:ascii="Arial" w:hAnsi="Arial" w:cs="Arial"/>
          <w:sz w:val="20"/>
          <w:lang w:val="en-GB"/>
        </w:rPr>
      </w:pPr>
    </w:p>
    <w:p w14:paraId="4505FB84" w14:textId="2EBECF7D" w:rsidR="00427F7D" w:rsidRDefault="00427F7D" w:rsidP="00427F7D">
      <w:pPr>
        <w:jc w:val="center"/>
        <w:rPr>
          <w:rFonts w:ascii="Arial" w:hAnsi="Arial" w:cs="Arial"/>
          <w:sz w:val="20"/>
          <w:lang w:val="en-GB"/>
        </w:rPr>
      </w:pPr>
      <w:r>
        <w:rPr>
          <w:rFonts w:ascii="Arial" w:hAnsi="Arial" w:cs="Arial"/>
          <w:sz w:val="20"/>
          <w:lang w:val="en-GB"/>
        </w:rPr>
        <w:t>INDICATIVE FORM OF AMENDMENT</w:t>
      </w:r>
    </w:p>
    <w:p w14:paraId="118ECF99" w14:textId="77777777" w:rsidR="00427F7D" w:rsidRDefault="00427F7D" w:rsidP="00427F7D">
      <w:pPr>
        <w:jc w:val="center"/>
        <w:rPr>
          <w:rFonts w:ascii="Arial" w:hAnsi="Arial" w:cs="Arial"/>
          <w:sz w:val="20"/>
          <w:lang w:val="en-GB"/>
        </w:rPr>
      </w:pPr>
    </w:p>
    <w:p w14:paraId="692ABD02" w14:textId="27A1E453" w:rsidR="00427F7D" w:rsidRDefault="00427F7D" w:rsidP="00427F7D">
      <w:pPr>
        <w:jc w:val="center"/>
        <w:rPr>
          <w:rFonts w:ascii="Arial" w:hAnsi="Arial" w:cs="Arial"/>
          <w:sz w:val="20"/>
          <w:lang w:val="en-GB"/>
        </w:rPr>
      </w:pPr>
      <w:r>
        <w:rPr>
          <w:rFonts w:ascii="Arial" w:hAnsi="Arial" w:cs="Arial"/>
          <w:sz w:val="20"/>
          <w:lang w:val="en-GB"/>
        </w:rPr>
        <w:t>AMENDMENT N° TO CONFIRMATION OF A CASH-SETTLED SHARES BASKET SWAP TRANSACTION</w:t>
      </w:r>
    </w:p>
    <w:p w14:paraId="1ECEDF46" w14:textId="77777777" w:rsidR="0094149A" w:rsidRDefault="0094149A" w:rsidP="00427F7D">
      <w:pPr>
        <w:jc w:val="center"/>
        <w:rPr>
          <w:rFonts w:ascii="Arial" w:hAnsi="Arial" w:cs="Arial"/>
          <w:sz w:val="20"/>
          <w:lang w:val="en-GB"/>
        </w:rPr>
      </w:pPr>
    </w:p>
    <w:p w14:paraId="015851F5" w14:textId="77777777" w:rsidR="0094149A" w:rsidRDefault="0094149A" w:rsidP="00427F7D">
      <w:pPr>
        <w:jc w:val="center"/>
        <w:rPr>
          <w:rFonts w:ascii="Arial" w:hAnsi="Arial" w:cs="Arial"/>
          <w:sz w:val="20"/>
          <w:lang w:val="en-GB"/>
        </w:rPr>
      </w:pPr>
    </w:p>
    <w:p w14:paraId="344CC918" w14:textId="00CB7431" w:rsidR="0094149A" w:rsidRDefault="0094149A">
      <w:pPr>
        <w:rPr>
          <w:rFonts w:ascii="Arial" w:hAnsi="Arial" w:cs="Arial"/>
          <w:sz w:val="20"/>
          <w:lang w:val="en-GB"/>
        </w:rPr>
      </w:pPr>
      <w:r>
        <w:rPr>
          <w:rFonts w:ascii="Arial" w:hAnsi="Arial" w:cs="Arial"/>
          <w:sz w:val="20"/>
          <w:lang w:val="en-GB"/>
        </w:rPr>
        <w:br w:type="page"/>
      </w:r>
    </w:p>
    <w:p w14:paraId="77A71285" w14:textId="18BCDACC" w:rsidR="0094149A" w:rsidRDefault="0094149A" w:rsidP="0094149A">
      <w:pPr>
        <w:jc w:val="center"/>
        <w:rPr>
          <w:rFonts w:ascii="Arial" w:hAnsi="Arial" w:cs="Arial"/>
          <w:sz w:val="20"/>
          <w:lang w:val="en-GB"/>
        </w:rPr>
      </w:pPr>
      <w:r>
        <w:rPr>
          <w:rFonts w:ascii="Arial" w:hAnsi="Arial" w:cs="Arial"/>
          <w:sz w:val="20"/>
          <w:lang w:val="en-GB"/>
        </w:rPr>
        <w:lastRenderedPageBreak/>
        <w:t>ANNEX 7</w:t>
      </w:r>
    </w:p>
    <w:p w14:paraId="5F7E6629" w14:textId="77777777" w:rsidR="0094149A" w:rsidRDefault="0094149A" w:rsidP="0094149A">
      <w:pPr>
        <w:jc w:val="center"/>
        <w:rPr>
          <w:rFonts w:ascii="Arial" w:hAnsi="Arial" w:cs="Arial"/>
          <w:sz w:val="20"/>
          <w:lang w:val="en-GB"/>
        </w:rPr>
      </w:pPr>
    </w:p>
    <w:p w14:paraId="0F2217D4" w14:textId="77777777" w:rsidR="0094149A" w:rsidRDefault="0094149A" w:rsidP="0094149A">
      <w:pPr>
        <w:jc w:val="center"/>
        <w:rPr>
          <w:rFonts w:ascii="Arial" w:hAnsi="Arial" w:cs="Arial"/>
          <w:sz w:val="20"/>
          <w:lang w:val="en-GB"/>
        </w:rPr>
      </w:pPr>
      <w:r>
        <w:rPr>
          <w:rFonts w:ascii="Arial" w:hAnsi="Arial" w:cs="Arial"/>
          <w:sz w:val="20"/>
          <w:lang w:val="en-GB"/>
        </w:rPr>
        <w:t>INDICATIVE FORM OF AMENDMENT</w:t>
      </w:r>
    </w:p>
    <w:p w14:paraId="29F8C6D5" w14:textId="77777777" w:rsidR="0094149A" w:rsidRDefault="0094149A" w:rsidP="0094149A">
      <w:pPr>
        <w:jc w:val="center"/>
        <w:rPr>
          <w:rFonts w:ascii="Arial" w:hAnsi="Arial" w:cs="Arial"/>
          <w:sz w:val="20"/>
          <w:lang w:val="en-GB"/>
        </w:rPr>
      </w:pPr>
    </w:p>
    <w:p w14:paraId="47F0904D" w14:textId="20227D48" w:rsidR="0094149A" w:rsidRDefault="0094149A" w:rsidP="0094149A">
      <w:pPr>
        <w:jc w:val="center"/>
        <w:rPr>
          <w:rFonts w:ascii="Arial" w:hAnsi="Arial" w:cs="Arial"/>
          <w:sz w:val="20"/>
          <w:lang w:val="en-GB"/>
        </w:rPr>
      </w:pPr>
      <w:r>
        <w:rPr>
          <w:rFonts w:ascii="Arial" w:hAnsi="Arial" w:cs="Arial"/>
          <w:sz w:val="20"/>
          <w:lang w:val="en-GB"/>
        </w:rPr>
        <w:t>AMENDMENT N° TO CONFIRMATION OF A BASKET SWAP TRANSACTION</w:t>
      </w:r>
    </w:p>
    <w:p w14:paraId="662CFD55" w14:textId="77777777" w:rsidR="0094149A" w:rsidRDefault="0094149A" w:rsidP="0094149A">
      <w:pPr>
        <w:jc w:val="center"/>
        <w:rPr>
          <w:rFonts w:ascii="Arial" w:hAnsi="Arial" w:cs="Arial"/>
          <w:sz w:val="20"/>
          <w:lang w:val="en-GB"/>
        </w:rPr>
      </w:pPr>
    </w:p>
    <w:p w14:paraId="66FF9F56" w14:textId="77777777" w:rsidR="0094149A" w:rsidRDefault="0094149A" w:rsidP="0094149A">
      <w:pPr>
        <w:jc w:val="center"/>
        <w:rPr>
          <w:rFonts w:ascii="Arial" w:hAnsi="Arial" w:cs="Arial"/>
          <w:sz w:val="20"/>
          <w:lang w:val="en-GB"/>
        </w:rPr>
      </w:pPr>
    </w:p>
    <w:p w14:paraId="4966AFD6" w14:textId="03748182" w:rsidR="0094149A" w:rsidRDefault="0094149A" w:rsidP="0094149A">
      <w:pPr>
        <w:rPr>
          <w:rFonts w:ascii="Arial" w:hAnsi="Arial" w:cs="Arial"/>
          <w:sz w:val="20"/>
          <w:lang w:val="en-GB"/>
        </w:rPr>
      </w:pPr>
      <w:r>
        <w:rPr>
          <w:rFonts w:ascii="Arial" w:hAnsi="Arial" w:cs="Arial"/>
          <w:sz w:val="20"/>
          <w:lang w:val="en-GB"/>
        </w:rPr>
        <w:br w:type="page"/>
      </w:r>
    </w:p>
    <w:p w14:paraId="18352BF2" w14:textId="77777777" w:rsidR="0094149A" w:rsidRDefault="0094149A" w:rsidP="00427F7D">
      <w:pPr>
        <w:jc w:val="center"/>
        <w:rPr>
          <w:rFonts w:ascii="Arial" w:hAnsi="Arial" w:cs="Arial"/>
          <w:sz w:val="20"/>
          <w:lang w:val="en-GB"/>
        </w:rPr>
      </w:pPr>
    </w:p>
    <w:p w14:paraId="706B7099" w14:textId="77777777" w:rsidR="00427F7D" w:rsidRPr="00427F7D" w:rsidRDefault="00427F7D" w:rsidP="00427F7D">
      <w:pPr>
        <w:jc w:val="both"/>
        <w:rPr>
          <w:rFonts w:ascii="Arial" w:hAnsi="Arial" w:cs="Arial"/>
          <w:sz w:val="20"/>
          <w:lang w:val="en-GB"/>
        </w:rPr>
      </w:pPr>
    </w:p>
    <w:p w14:paraId="1C8DAEEC" w14:textId="77777777" w:rsidR="00EA1838" w:rsidRPr="00EA1838" w:rsidRDefault="00EA1838" w:rsidP="00EA1838">
      <w:pPr>
        <w:jc w:val="center"/>
        <w:rPr>
          <w:rFonts w:ascii="Arial" w:hAnsi="Arial" w:cs="Arial"/>
          <w:sz w:val="20"/>
          <w:lang w:val="en-GB"/>
        </w:rPr>
      </w:pPr>
    </w:p>
    <w:p w14:paraId="1BD6F696" w14:textId="77777777" w:rsidR="00B50DA1" w:rsidRPr="00312DC2" w:rsidRDefault="00B50DA1">
      <w:pPr>
        <w:rPr>
          <w:rFonts w:ascii="Arial" w:hAnsi="Arial" w:cs="Arial"/>
          <w:sz w:val="20"/>
          <w:lang w:val="en-GB"/>
        </w:rPr>
      </w:pPr>
    </w:p>
    <w:sectPr w:rsidR="00B50DA1" w:rsidRPr="00312DC2" w:rsidSect="00356F41">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727B5" w14:textId="77777777" w:rsidR="00C3331E" w:rsidRDefault="00C3331E" w:rsidP="00AA224A">
      <w:r>
        <w:separator/>
      </w:r>
    </w:p>
  </w:endnote>
  <w:endnote w:type="continuationSeparator" w:id="0">
    <w:p w14:paraId="688C0C60" w14:textId="77777777" w:rsidR="00C3331E" w:rsidRDefault="00C3331E" w:rsidP="00AA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46B57" w14:textId="77777777" w:rsidR="002E3695" w:rsidRDefault="002E3695" w:rsidP="00356F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06A3B9" w14:textId="77777777" w:rsidR="002E3695" w:rsidRDefault="002E3695" w:rsidP="00AA22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9CB37" w14:textId="77777777" w:rsidR="002E3695" w:rsidRDefault="002E3695" w:rsidP="00356F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11A5">
      <w:rPr>
        <w:rStyle w:val="PageNumber"/>
        <w:noProof/>
      </w:rPr>
      <w:t>1</w:t>
    </w:r>
    <w:r>
      <w:rPr>
        <w:rStyle w:val="PageNumber"/>
      </w:rPr>
      <w:fldChar w:fldCharType="end"/>
    </w:r>
  </w:p>
  <w:p w14:paraId="7CF5A4B0" w14:textId="77777777" w:rsidR="002E3695" w:rsidRDefault="002E3695" w:rsidP="00AA22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8802E" w14:textId="77777777" w:rsidR="00C3331E" w:rsidRDefault="00C3331E" w:rsidP="00AA224A">
      <w:r>
        <w:separator/>
      </w:r>
    </w:p>
  </w:footnote>
  <w:footnote w:type="continuationSeparator" w:id="0">
    <w:p w14:paraId="643F71A6" w14:textId="77777777" w:rsidR="00C3331E" w:rsidRDefault="00C3331E" w:rsidP="00AA2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02C3"/>
    <w:multiLevelType w:val="hybridMultilevel"/>
    <w:tmpl w:val="7716EB6C"/>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EE7D5E"/>
    <w:multiLevelType w:val="multilevel"/>
    <w:tmpl w:val="E506D4DC"/>
    <w:lvl w:ilvl="0">
      <w:start w:val="2"/>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D3BC5"/>
    <w:multiLevelType w:val="multilevel"/>
    <w:tmpl w:val="8D2A1BBE"/>
    <w:lvl w:ilvl="0">
      <w:start w:val="2"/>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662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831F8F"/>
    <w:multiLevelType w:val="multilevel"/>
    <w:tmpl w:val="668EF024"/>
    <w:lvl w:ilvl="0">
      <w:start w:val="2"/>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B85748"/>
    <w:multiLevelType w:val="multilevel"/>
    <w:tmpl w:val="44F86146"/>
    <w:lvl w:ilvl="0">
      <w:start w:val="2"/>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39117B"/>
    <w:multiLevelType w:val="hybridMultilevel"/>
    <w:tmpl w:val="02641FC4"/>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793118B"/>
    <w:multiLevelType w:val="hybridMultilevel"/>
    <w:tmpl w:val="8D2A1BBE"/>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BC4308"/>
    <w:multiLevelType w:val="hybridMultilevel"/>
    <w:tmpl w:val="A5866D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ADC20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705F8F"/>
    <w:multiLevelType w:val="hybridMultilevel"/>
    <w:tmpl w:val="44F86146"/>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D23926"/>
    <w:multiLevelType w:val="hybridMultilevel"/>
    <w:tmpl w:val="54281AE2"/>
    <w:lvl w:ilvl="0" w:tplc="E62E2BB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5E31C7B"/>
    <w:multiLevelType w:val="hybridMultilevel"/>
    <w:tmpl w:val="E506D4DC"/>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9D7C2B"/>
    <w:multiLevelType w:val="hybridMultilevel"/>
    <w:tmpl w:val="1A94E1BA"/>
    <w:lvl w:ilvl="0" w:tplc="DAB8501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B64C2F"/>
    <w:multiLevelType w:val="hybridMultilevel"/>
    <w:tmpl w:val="184C806C"/>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FDA0D8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7C7D6E"/>
    <w:multiLevelType w:val="hybridMultilevel"/>
    <w:tmpl w:val="457C2078"/>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E40304"/>
    <w:multiLevelType w:val="hybridMultilevel"/>
    <w:tmpl w:val="C002C5CA"/>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FF20C7"/>
    <w:multiLevelType w:val="multilevel"/>
    <w:tmpl w:val="184C806C"/>
    <w:lvl w:ilvl="0">
      <w:start w:val="2"/>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874B2F"/>
    <w:multiLevelType w:val="multilevel"/>
    <w:tmpl w:val="BF0820B8"/>
    <w:lvl w:ilvl="0">
      <w:start w:val="1"/>
      <w:numFmt w:val="lowerRoman"/>
      <w:lvlText w:val="(%1)"/>
      <w:lvlJc w:val="left"/>
      <w:pPr>
        <w:ind w:left="720" w:hanging="720"/>
      </w:pPr>
      <w:rPr>
        <w:rFonts w:ascii="Arial" w:eastAsiaTheme="minorEastAsia" w:hAnsi="Arial" w:cs="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B4D0AB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803FD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E75E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A1213"/>
    <w:multiLevelType w:val="hybridMultilevel"/>
    <w:tmpl w:val="B35ED154"/>
    <w:lvl w:ilvl="0" w:tplc="1584AD1A">
      <w:start w:val="1"/>
      <w:numFmt w:val="lowerRoman"/>
      <w:lvlText w:val="(%1)"/>
      <w:lvlJc w:val="left"/>
      <w:pPr>
        <w:ind w:left="720" w:hanging="720"/>
      </w:pPr>
      <w:rPr>
        <w:rFonts w:ascii="Arial" w:eastAsiaTheme="minorEastAsia" w:hAnsi="Arial" w:cs="Arial"/>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3CE57F7"/>
    <w:multiLevelType w:val="hybridMultilevel"/>
    <w:tmpl w:val="BF0820B8"/>
    <w:lvl w:ilvl="0" w:tplc="B38475AE">
      <w:start w:val="1"/>
      <w:numFmt w:val="lowerRoman"/>
      <w:lvlText w:val="(%1)"/>
      <w:lvlJc w:val="left"/>
      <w:pPr>
        <w:ind w:left="720" w:hanging="720"/>
      </w:pPr>
      <w:rPr>
        <w:rFonts w:ascii="Arial" w:eastAsiaTheme="minorEastAsia" w:hAnsi="Arial" w:cs="Arial"/>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56FC4F1B"/>
    <w:multiLevelType w:val="hybridMultilevel"/>
    <w:tmpl w:val="2C56346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9BF4815"/>
    <w:multiLevelType w:val="multilevel"/>
    <w:tmpl w:val="457C2078"/>
    <w:lvl w:ilvl="0">
      <w:start w:val="2"/>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CF16116"/>
    <w:multiLevelType w:val="hybridMultilevel"/>
    <w:tmpl w:val="50064F5A"/>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1B12C3"/>
    <w:multiLevelType w:val="hybridMultilevel"/>
    <w:tmpl w:val="FE2C980C"/>
    <w:lvl w:ilvl="0" w:tplc="82BCF74E">
      <w:start w:val="8"/>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EF26D3"/>
    <w:multiLevelType w:val="multilevel"/>
    <w:tmpl w:val="7716EB6C"/>
    <w:lvl w:ilvl="0">
      <w:start w:val="2"/>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7403D32"/>
    <w:multiLevelType w:val="hybridMultilevel"/>
    <w:tmpl w:val="668EF024"/>
    <w:lvl w:ilvl="0" w:tplc="2D88448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9FE7592"/>
    <w:multiLevelType w:val="multilevel"/>
    <w:tmpl w:val="C002C5CA"/>
    <w:lvl w:ilvl="0">
      <w:start w:val="2"/>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D617B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D836CA"/>
    <w:multiLevelType w:val="multilevel"/>
    <w:tmpl w:val="F2462396"/>
    <w:lvl w:ilvl="0">
      <w:start w:val="1"/>
      <w:numFmt w:val="low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8"/>
  </w:num>
  <w:num w:numId="2">
    <w:abstractNumId w:val="25"/>
  </w:num>
  <w:num w:numId="3">
    <w:abstractNumId w:val="27"/>
  </w:num>
  <w:num w:numId="4">
    <w:abstractNumId w:val="6"/>
  </w:num>
  <w:num w:numId="5">
    <w:abstractNumId w:val="23"/>
  </w:num>
  <w:num w:numId="6">
    <w:abstractNumId w:val="33"/>
  </w:num>
  <w:num w:numId="7">
    <w:abstractNumId w:val="24"/>
  </w:num>
  <w:num w:numId="8">
    <w:abstractNumId w:val="19"/>
  </w:num>
  <w:num w:numId="9">
    <w:abstractNumId w:val="13"/>
  </w:num>
  <w:num w:numId="10">
    <w:abstractNumId w:val="11"/>
  </w:num>
  <w:num w:numId="11">
    <w:abstractNumId w:val="17"/>
  </w:num>
  <w:num w:numId="12">
    <w:abstractNumId w:val="31"/>
  </w:num>
  <w:num w:numId="13">
    <w:abstractNumId w:val="30"/>
  </w:num>
  <w:num w:numId="14">
    <w:abstractNumId w:val="4"/>
  </w:num>
  <w:num w:numId="15">
    <w:abstractNumId w:val="12"/>
  </w:num>
  <w:num w:numId="16">
    <w:abstractNumId w:val="1"/>
  </w:num>
  <w:num w:numId="17">
    <w:abstractNumId w:val="7"/>
  </w:num>
  <w:num w:numId="18">
    <w:abstractNumId w:val="2"/>
  </w:num>
  <w:num w:numId="19">
    <w:abstractNumId w:val="16"/>
  </w:num>
  <w:num w:numId="20">
    <w:abstractNumId w:val="26"/>
  </w:num>
  <w:num w:numId="21">
    <w:abstractNumId w:val="28"/>
  </w:num>
  <w:num w:numId="22">
    <w:abstractNumId w:val="14"/>
  </w:num>
  <w:num w:numId="23">
    <w:abstractNumId w:val="18"/>
  </w:num>
  <w:num w:numId="24">
    <w:abstractNumId w:val="0"/>
  </w:num>
  <w:num w:numId="25">
    <w:abstractNumId w:val="29"/>
  </w:num>
  <w:num w:numId="26">
    <w:abstractNumId w:val="10"/>
  </w:num>
  <w:num w:numId="27">
    <w:abstractNumId w:val="5"/>
  </w:num>
  <w:num w:numId="28">
    <w:abstractNumId w:val="9"/>
  </w:num>
  <w:num w:numId="29">
    <w:abstractNumId w:val="21"/>
  </w:num>
  <w:num w:numId="30">
    <w:abstractNumId w:val="22"/>
  </w:num>
  <w:num w:numId="31">
    <w:abstractNumId w:val="32"/>
  </w:num>
  <w:num w:numId="32">
    <w:abstractNumId w:val="3"/>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6D1"/>
    <w:rsid w:val="00052C39"/>
    <w:rsid w:val="0005506A"/>
    <w:rsid w:val="00074087"/>
    <w:rsid w:val="00086C69"/>
    <w:rsid w:val="00096D49"/>
    <w:rsid w:val="000B1FB9"/>
    <w:rsid w:val="000F052D"/>
    <w:rsid w:val="00160CE3"/>
    <w:rsid w:val="00167BC5"/>
    <w:rsid w:val="00172E6B"/>
    <w:rsid w:val="00173E5A"/>
    <w:rsid w:val="00177749"/>
    <w:rsid w:val="00191D8D"/>
    <w:rsid w:val="001D0DBC"/>
    <w:rsid w:val="001D25A0"/>
    <w:rsid w:val="001E4C26"/>
    <w:rsid w:val="00203A2B"/>
    <w:rsid w:val="00262741"/>
    <w:rsid w:val="00280F41"/>
    <w:rsid w:val="002946D7"/>
    <w:rsid w:val="00297673"/>
    <w:rsid w:val="002A78EB"/>
    <w:rsid w:val="002E3695"/>
    <w:rsid w:val="002E501F"/>
    <w:rsid w:val="00312DC2"/>
    <w:rsid w:val="003449EC"/>
    <w:rsid w:val="00345F2D"/>
    <w:rsid w:val="00356F41"/>
    <w:rsid w:val="00415395"/>
    <w:rsid w:val="004212C2"/>
    <w:rsid w:val="004262F6"/>
    <w:rsid w:val="00427F7D"/>
    <w:rsid w:val="00466860"/>
    <w:rsid w:val="004737DF"/>
    <w:rsid w:val="00485022"/>
    <w:rsid w:val="004948B7"/>
    <w:rsid w:val="004B446C"/>
    <w:rsid w:val="004C1213"/>
    <w:rsid w:val="004C656A"/>
    <w:rsid w:val="005777F0"/>
    <w:rsid w:val="00582307"/>
    <w:rsid w:val="005B679C"/>
    <w:rsid w:val="005F4733"/>
    <w:rsid w:val="00604830"/>
    <w:rsid w:val="00634D21"/>
    <w:rsid w:val="0066152F"/>
    <w:rsid w:val="00676D8C"/>
    <w:rsid w:val="00680E4A"/>
    <w:rsid w:val="006859D3"/>
    <w:rsid w:val="006B19F3"/>
    <w:rsid w:val="006B3741"/>
    <w:rsid w:val="0070705F"/>
    <w:rsid w:val="00751CC1"/>
    <w:rsid w:val="00784E1D"/>
    <w:rsid w:val="00803E76"/>
    <w:rsid w:val="008103D6"/>
    <w:rsid w:val="00811A28"/>
    <w:rsid w:val="008506D1"/>
    <w:rsid w:val="00882AD3"/>
    <w:rsid w:val="0088310B"/>
    <w:rsid w:val="008A104D"/>
    <w:rsid w:val="00916ED1"/>
    <w:rsid w:val="009242DE"/>
    <w:rsid w:val="0094149A"/>
    <w:rsid w:val="00943DA5"/>
    <w:rsid w:val="0097014E"/>
    <w:rsid w:val="00976FA6"/>
    <w:rsid w:val="00993B83"/>
    <w:rsid w:val="009B35AD"/>
    <w:rsid w:val="009D322A"/>
    <w:rsid w:val="009F2683"/>
    <w:rsid w:val="00A26B79"/>
    <w:rsid w:val="00A32654"/>
    <w:rsid w:val="00A402F5"/>
    <w:rsid w:val="00A57FBE"/>
    <w:rsid w:val="00AA224A"/>
    <w:rsid w:val="00AB6095"/>
    <w:rsid w:val="00AD11A5"/>
    <w:rsid w:val="00AD591D"/>
    <w:rsid w:val="00AD5FD9"/>
    <w:rsid w:val="00AE4E09"/>
    <w:rsid w:val="00B10240"/>
    <w:rsid w:val="00B50DA1"/>
    <w:rsid w:val="00B663F0"/>
    <w:rsid w:val="00B70FC2"/>
    <w:rsid w:val="00B82B4F"/>
    <w:rsid w:val="00B85EFC"/>
    <w:rsid w:val="00B938E5"/>
    <w:rsid w:val="00BA3F75"/>
    <w:rsid w:val="00BE0E35"/>
    <w:rsid w:val="00BE3FED"/>
    <w:rsid w:val="00C3331E"/>
    <w:rsid w:val="00C658ED"/>
    <w:rsid w:val="00CA7DDC"/>
    <w:rsid w:val="00CB0C20"/>
    <w:rsid w:val="00CD6C5A"/>
    <w:rsid w:val="00D4293E"/>
    <w:rsid w:val="00DF7EC8"/>
    <w:rsid w:val="00E5289C"/>
    <w:rsid w:val="00E6333C"/>
    <w:rsid w:val="00E6390D"/>
    <w:rsid w:val="00E72998"/>
    <w:rsid w:val="00EA1838"/>
    <w:rsid w:val="00EA594E"/>
    <w:rsid w:val="00EB2DEC"/>
    <w:rsid w:val="00EE1B3F"/>
    <w:rsid w:val="00EE3D91"/>
    <w:rsid w:val="00F03EC3"/>
    <w:rsid w:val="00FD025C"/>
    <w:rsid w:val="00FE142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08AE3"/>
  <w14:defaultImageDpi w14:val="300"/>
  <w15:docId w15:val="{997BA02E-0052-4D76-9626-3956FC32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224A"/>
    <w:pPr>
      <w:tabs>
        <w:tab w:val="center" w:pos="4536"/>
        <w:tab w:val="right" w:pos="9072"/>
      </w:tabs>
    </w:pPr>
  </w:style>
  <w:style w:type="character" w:customStyle="1" w:styleId="FooterChar">
    <w:name w:val="Footer Char"/>
    <w:basedOn w:val="DefaultParagraphFont"/>
    <w:link w:val="Footer"/>
    <w:uiPriority w:val="99"/>
    <w:rsid w:val="00AA224A"/>
  </w:style>
  <w:style w:type="character" w:styleId="PageNumber">
    <w:name w:val="page number"/>
    <w:basedOn w:val="DefaultParagraphFont"/>
    <w:uiPriority w:val="99"/>
    <w:semiHidden/>
    <w:unhideWhenUsed/>
    <w:rsid w:val="00AA224A"/>
  </w:style>
  <w:style w:type="paragraph" w:styleId="Revision">
    <w:name w:val="Revision"/>
    <w:hidden/>
    <w:uiPriority w:val="99"/>
    <w:semiHidden/>
    <w:rsid w:val="00356F41"/>
  </w:style>
  <w:style w:type="paragraph" w:styleId="BalloonText">
    <w:name w:val="Balloon Text"/>
    <w:basedOn w:val="Normal"/>
    <w:link w:val="BalloonTextChar"/>
    <w:uiPriority w:val="99"/>
    <w:semiHidden/>
    <w:unhideWhenUsed/>
    <w:rsid w:val="00356F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6F41"/>
    <w:rPr>
      <w:rFonts w:ascii="Lucida Grande" w:hAnsi="Lucida Grande" w:cs="Lucida Grande"/>
      <w:sz w:val="18"/>
      <w:szCs w:val="18"/>
    </w:rPr>
  </w:style>
  <w:style w:type="table" w:styleId="TableGrid">
    <w:name w:val="Table Grid"/>
    <w:basedOn w:val="TableNormal"/>
    <w:uiPriority w:val="59"/>
    <w:rsid w:val="00356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41"/>
    <w:rPr>
      <w:color w:val="808080"/>
    </w:rPr>
  </w:style>
  <w:style w:type="paragraph" w:styleId="ListParagraph">
    <w:name w:val="List Paragraph"/>
    <w:basedOn w:val="Normal"/>
    <w:uiPriority w:val="34"/>
    <w:qFormat/>
    <w:rsid w:val="00FD0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956C9-CB69-0243-BB8B-D745063F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2602</Words>
  <Characters>14836</Characters>
  <Application>Microsoft Office Word</Application>
  <DocSecurity>0</DocSecurity>
  <Lines>123</Lines>
  <Paragraphs>34</Paragraphs>
  <ScaleCrop>false</ScaleCrop>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Natacha Pavlovic</dc:creator>
  <cp:keywords/>
  <dc:description/>
  <cp:lastModifiedBy>Ismail Laachir</cp:lastModifiedBy>
  <cp:revision>72</cp:revision>
  <dcterms:created xsi:type="dcterms:W3CDTF">2020-04-26T12:55:00Z</dcterms:created>
  <dcterms:modified xsi:type="dcterms:W3CDTF">2020-06-17T16:34:00Z</dcterms:modified>
</cp:coreProperties>
</file>