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200" w:before="360"/>
      </w:pPr>
      <w:r>
        <w:rPr>
          <w:rFonts w:ascii="Times New Roman" w:cs="Times New Roman" w:eastAsia="Times New Roman" w:hAnsi="Times New Roman"/>
          <w:b/>
          <w:bCs/>
          <w:color w:val="1F3864"/>
          <w:sz w:val="30"/>
          <w:szCs w:val="30"/>
        </w:rPr>
        <w:t xml:space="preserve">7.6  Interface web</w:t>
      </w:r>
    </w:p>
    <w:p>
      <w:pPr>
        <w:spacing w:after="160" w:line="276"/>
        <w:jc w:val="both"/>
      </w:pPr>
      <w:r>
        <w:rPr>
          <w:rFonts w:ascii="Times New Roman" w:cs="Times New Roman" w:eastAsia="Times New Roman" w:hAnsi="Times New Roman"/>
          <w:b w:val="false"/>
          <w:bCs w:val="false"/>
          <w:i w:val="false"/>
          <w:iCs w:val="false"/>
          <w:sz w:val="24"/>
          <w:szCs w:val="24"/>
        </w:rPr>
        <w:t xml:space="preserve">Une interface web complète le service applicatif. Elle ne figurait pas au périmètre initial du plan directeur : je l'ai ajoutée en cours de projet, et cet écart demande d'être justifié plutôt que constaté.</w:t>
      </w:r>
    </w:p>
    <w:p>
      <w:pPr>
        <w:pStyle w:val="Heading3"/>
        <w:spacing w:after="140" w:before="260"/>
      </w:pPr>
      <w:r>
        <w:rPr>
          <w:rFonts w:ascii="Times New Roman" w:cs="Times New Roman" w:eastAsia="Times New Roman" w:hAnsi="Times New Roman"/>
          <w:b/>
          <w:bCs/>
          <w:color w:val="1F3864"/>
          <w:sz w:val="26"/>
          <w:szCs w:val="26"/>
        </w:rPr>
        <w:t xml:space="preserve">7.6.1  Pourquoi une interface, et non la seule interface applicative</w:t>
      </w:r>
    </w:p>
    <w:p>
      <w:pPr>
        <w:spacing w:after="160" w:line="276"/>
        <w:jc w:val="both"/>
      </w:pPr>
      <w:r>
        <w:rPr>
          <w:rFonts w:ascii="Times New Roman" w:cs="Times New Roman" w:eastAsia="Times New Roman" w:hAnsi="Times New Roman"/>
          <w:b w:val="false"/>
          <w:bCs w:val="false"/>
          <w:i w:val="false"/>
          <w:iCs w:val="false"/>
          <w:sz w:val="24"/>
          <w:szCs w:val="24"/>
        </w:rPr>
        <w:t>Le premier motif est fonctionnel et remonte à l'analyse du besoin. La bête à cornes désigne quatre bénéficiaires du système : responsables d'atelier, chefs de production, ordonnanceurs, intégrateurs SI. Seul le dernier profil correspond à un développeur ; les trois autres n'ont pas vocation à programmer. Une interface applicative seule, si documentée soit-elle, ne sert que l'intégrateur : elle laisse sans moyen d'accès direct les trois autres bénéficiaires que l'analyse fonctionnelle nomme elle-même.</w:t>
      </w:r>
    </w:p>
    <w:p>
      <w:pPr>
        <w:spacing w:after="160" w:line="276"/>
        <w:jc w:val="both"/>
      </w:pPr>
      <w:r>
        <w:rPr>
          <w:rFonts w:ascii="Times New Roman" w:cs="Times New Roman" w:eastAsia="Times New Roman" w:hAnsi="Times New Roman"/>
          <w:b w:val="false"/>
          <w:bCs w:val="false"/>
          <w:i w:val="false"/>
          <w:iCs w:val="false"/>
          <w:sz w:val="24"/>
          <w:szCs w:val="24"/>
        </w:rPr>
        <w:t xml:space="preserve">Le second motif est plus déterminant, et c'est celui qui a emporté la décision. L'objectif de la mission est de produire un solveur sans mobiliser d'expertise en recherche opérationnelle. Or l'acte le plus exigeant demandé à l'utilisateur n'est pas de lancer une génération, mais de déclarer son contexte : décrire ses tâches, ses ressources, ses contraintes et ses objectifs dans le modèle pivot. Sans interface, cette déclaration suppose de rédiger une structure de données conforme au schéma, ce qui réintroduit par une autre porte l'expertise technique que le projet vise précisément à supprimer. Le gain obtenu sur la construction du solveur serait alors annulé par le coût de la saisie.</w:t>
      </w:r>
    </w:p>
    <w:p>
      <w:pPr>
        <w:spacing w:after="160" w:line="276"/>
        <w:jc w:val="both"/>
      </w:pPr>
      <w:r>
        <w:rPr>
          <w:rFonts w:ascii="Times New Roman" w:cs="Times New Roman" w:eastAsia="Times New Roman" w:hAnsi="Times New Roman"/>
          <w:b w:val="false"/>
          <w:bCs w:val="false"/>
          <w:i w:val="false"/>
          <w:iCs w:val="false"/>
          <w:sz w:val="24"/>
          <w:szCs w:val="24"/>
        </w:rPr>
        <w:t>Une interface guidée déplace cette difficulté : les champs attendus sont présentés sous une forme structurée, par axe du modèle pivot, et l'utilisateur n'a jamais à rédiger ni à connaître la forme sérialisée attendue par le service. La contrainte de validation croisée décrite en 7.2.1 continue de s'appliquer au moment de la soumission ; la faire remonter avant, au niveau du formulaire lui-même, reste une amélioration possible plutôt qu'un acquis du dispositif actuel.</w:t>
      </w:r>
    </w:p>
    <w:p>
      <w:pPr>
        <w:spacing w:after="160" w:line="276"/>
        <w:jc w:val="both"/>
      </w:pPr>
      <w:r>
        <w:rPr>
          <w:rFonts w:ascii="Times New Roman" w:cs="Times New Roman" w:eastAsia="Times New Roman" w:hAnsi="Times New Roman"/>
          <w:b w:val="false"/>
          <w:bCs w:val="false"/>
          <w:i w:val="false"/>
          <w:iCs w:val="false"/>
          <w:sz w:val="24"/>
          <w:szCs w:val="24"/>
        </w:rPr>
        <w:t xml:space="preserve">Le troisième motif tient à la démonstration elle-même. Tant que le système n'est accessible que par appels applicatifs, toute démonstration passe par moi, ce qui invalide le test d'utilisabilité : montrer qu'un système est utilisable en l'utilisant soi-même ne prouve rien. L'interface est la condition pour qu'un utilisateur manipule le système sans intermédiaire, donc pour que l'exigence posée à l'analyse fonctionnelle puisse être vérifiée et non seulement affirmée.</w:t>
      </w:r>
    </w:p>
    <w:p>
      <w:pPr>
        <w:spacing w:after="200" w:line="276"/>
        <w:jc w:val="both"/>
      </w:pPr>
      <w:r>
        <w:rPr>
          <w:rFonts w:ascii="Times New Roman" w:cs="Times New Roman" w:eastAsia="Times New Roman" w:hAnsi="Times New Roman"/>
          <w:b w:val="false"/>
          <w:bCs w:val="false"/>
          <w:i w:val="false"/>
          <w:iCs w:val="false"/>
          <w:sz w:val="24"/>
          <w:szCs w:val="24"/>
        </w:rPr>
        <w:t>L'interface s'appuie sur TanStack Start et Vite, choisis pour leur rapidité d'itération en développement et leur système de routage par fichiers. Le partage de typage avec les schémas exposés par le service n'a en revanche pas été mis en place : aucun pont de génération n'existe entre les modèles Pydantic du backend et le TypeScript du frontend, dont les structures — dont celles du modèle pivot — sont dupliquées à la main. Une évolution du schéma exige donc une mise à jour manuelle côté interface, point de friction que le calendrier du stage n'a pas permis de traiter.</w:t>
      </w:r>
    </w:p>
    <w:p>
      <w:pPr>
        <w:pStyle w:val="Heading3"/>
        <w:spacing w:after="140" w:before="260"/>
      </w:pPr>
      <w:r>
        <w:rPr>
          <w:rFonts w:ascii="Times New Roman" w:cs="Times New Roman" w:eastAsia="Times New Roman" w:hAnsi="Times New Roman"/>
          <w:b/>
          <w:bCs/>
          <w:color w:val="1F3864"/>
          <w:sz w:val="26"/>
          <w:szCs w:val="26"/>
        </w:rPr>
        <w:t xml:space="preserve">7.6.2  Les écrans et le parcours utilisateur</w:t>
      </w:r>
    </w:p>
    <w:p>
      <w:pPr>
        <w:spacing w:after="200" w:line="276"/>
        <w:jc w:val="both"/>
      </w:pPr>
      <w:r>
        <w:rPr>
          <w:rFonts w:ascii="Times New Roman" w:cs="Times New Roman" w:eastAsia="Times New Roman" w:hAnsi="Times New Roman"/>
          <w:b w:val="false"/>
          <w:bCs w:val="false"/>
          <w:i w:val="false"/>
          <w:iCs w:val="false"/>
          <w:sz w:val="24"/>
          <w:szCs w:val="24"/>
        </w:rPr>
        <w:t xml:space="preserve">L'interface couvre cinq usages, qui suivent l'ordre du parcours réel d'un utilisateur.</w:t>
      </w:r>
    </w:p>
    <w:tbl>
      <w:tblPr>
        <w:tblW w:type="dxa" w:w="9070"/>
        <w:tblBorders>
          <w:top w:val="single" w:color="8496B0" w:sz="4"/>
          <w:left w:val="single" w:color="8496B0" w:sz="4"/>
          <w:bottom w:val="single" w:color="8496B0" w:sz="4"/>
          <w:right w:val="single" w:color="8496B0" w:sz="4"/>
          <w:insideH w:val="single" w:color="8496B0" w:sz="2"/>
          <w:insideV w:val="single" w:color="8496B0" w:sz="2"/>
        </w:tblBorders>
      </w:tblPr>
      <w:tblGrid>
        <w:gridCol w:w="2350"/>
        <w:gridCol w:w="3400"/>
        <w:gridCol w:w="3320"/>
      </w:tblGrid>
      <w:tr>
        <w:trPr>
          <w:tblHeader/>
        </w:trPr>
        <w:tc>
          <w:tcPr>
            <w:tcW w:type="dxa" w:w="2350"/>
            <w:shd w:fill="1F3864" w:color="auto" w:val="clear"/>
            <w:tcMar>
              <w:top w:type="dxa" w:w="70"/>
              <w:left w:type="dxa" w:w="90"/>
              <w:bottom w:type="dxa" w:w="70"/>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Écran</w:t>
            </w:r>
          </w:p>
        </w:tc>
        <w:tc>
          <w:tcPr>
            <w:tcW w:type="dxa" w:w="3400"/>
            <w:shd w:fill="1F3864" w:color="auto" w:val="clear"/>
            <w:tcMar>
              <w:top w:type="dxa" w:w="70"/>
              <w:left w:type="dxa" w:w="90"/>
              <w:bottom w:type="dxa" w:w="70"/>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Fonction couverte</w:t>
            </w:r>
          </w:p>
        </w:tc>
        <w:tc>
          <w:tcPr>
            <w:tcW w:type="dxa" w:w="3320"/>
            <w:shd w:fill="1F3864" w:color="auto" w:val="clear"/>
            <w:tcMar>
              <w:top w:type="dxa" w:w="70"/>
              <w:left w:type="dxa" w:w="90"/>
              <w:bottom w:type="dxa" w:w="70"/>
              <w:right w:type="dxa" w:w="90"/>
            </w:tcMar>
            <w:vAlign w:val="center"/>
          </w:tcPr>
          <w:p>
            <w:pPr>
              <w:spacing w:after="0" w:line="230"/>
              <w:jc w:val="center"/>
            </w:pPr>
            <w:r>
              <w:rPr>
                <w:rFonts w:ascii="Times New Roman" w:cs="Times New Roman" w:eastAsia="Times New Roman" w:hAnsi="Times New Roman"/>
                <w:b/>
                <w:bCs/>
                <w:color w:val="FFFFFF"/>
                <w:sz w:val="19"/>
                <w:szCs w:val="19"/>
              </w:rPr>
              <w:t xml:space="preserve">Ce qu'il rend possible sans expertise technique</w:t>
            </w:r>
          </w:p>
        </w:tc>
      </w:tr>
      <w:tr>
        <w:tc>
          <w:tcPr>
            <w:tcW w:type="dxa" w:w="2350"/>
            <w:shd w:fill="FFFFFF"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bCs/>
                <w:color w:val="000000"/>
                <w:sz w:val="19"/>
                <w:szCs w:val="19"/>
              </w:rPr>
              <w:t xml:space="preserve">Authentification et gestion des clients</w:t>
            </w:r>
          </w:p>
        </w:tc>
        <w:tc>
          <w:tcPr>
            <w:tcW w:type="dxa" w:w="3400"/>
            <w:shd w:fill="FFFFFF"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val="false"/>
                <w:bCs w:val="false"/>
                <w:color w:val="000000"/>
                <w:sz w:val="19"/>
                <w:szCs w:val="19"/>
              </w:rPr>
              <w:t xml:space="preserve">Cloisonnement multi-locataire</w:t>
            </w:r>
          </w:p>
        </w:tc>
        <w:tc>
          <w:tcPr>
            <w:tcW w:type="dxa" w:w="3320"/>
            <w:shd w:fill="FFFFFF"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val="false"/>
                <w:bCs w:val="false"/>
                <w:color w:val="000000"/>
                <w:sz w:val="19"/>
                <w:szCs w:val="19"/>
              </w:rPr>
              <w:t xml:space="preserve">Séparer les contextes et les solveurs de plusieurs organisations sur une même instance.</w:t>
            </w:r>
          </w:p>
        </w:tc>
      </w:tr>
      <w:tr>
        <w:tc>
          <w:tcPr>
            <w:tcW w:type="dxa" w:w="2350"/>
            <w:shd w:fill="EDF0F7"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bCs/>
                <w:color w:val="000000"/>
                <w:sz w:val="19"/>
                <w:szCs w:val="19"/>
              </w:rPr>
              <w:t xml:space="preserve">Déclaration d'un contexte</w:t>
            </w:r>
          </w:p>
        </w:tc>
        <w:tc>
          <w:tcPr>
            <w:tcW w:type="dxa" w:w="3400"/>
            <w:shd w:fill="EDF0F7"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val="false"/>
                <w:bCs w:val="false"/>
                <w:color w:val="000000"/>
                <w:sz w:val="19"/>
                <w:szCs w:val="19"/>
              </w:rPr>
              <w:t xml:space="preserve">Saisie du modèle pivot T-R-C-O</w:t>
            </w:r>
          </w:p>
        </w:tc>
        <w:tc>
          <w:tcPr>
            <w:tcW w:type="dxa" w:w="3320"/>
            <w:shd w:fill="EDF0F7"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val="false"/>
                <w:bCs w:val="false"/>
                <w:color w:val="000000"/>
                <w:sz w:val="19"/>
                <w:szCs w:val="19"/>
              </w:rPr>
              <w:t xml:space="preserve">Décrire tâches, ressources, contraintes et objectifs sans rédiger de structure de données.</w:t>
            </w:r>
          </w:p>
        </w:tc>
      </w:tr>
      <w:tr>
        <w:tc>
          <w:tcPr>
            <w:tcW w:type="dxa" w:w="2350"/>
            <w:shd w:fill="FFFFFF"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bCs/>
                <w:color w:val="000000"/>
                <w:sz w:val="19"/>
                <w:szCs w:val="19"/>
              </w:rPr>
              <w:t xml:space="preserve">Génération avec suivi en flux</w:t>
            </w:r>
          </w:p>
        </w:tc>
        <w:tc>
          <w:tcPr>
            <w:tcW w:type="dxa" w:w="3400"/>
            <w:shd w:fill="FFFFFF"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val="false"/>
                <w:bCs w:val="false"/>
                <w:color w:val="000000"/>
                <w:sz w:val="19"/>
                <w:szCs w:val="19"/>
              </w:rPr>
              <w:t xml:space="preserve">Lancement de la chaîne d'agents</w:t>
            </w:r>
          </w:p>
        </w:tc>
        <w:tc>
          <w:tcPr>
            <w:tcW w:type="dxa" w:w="3320"/>
            <w:shd w:fill="FFFFFF"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val="false"/>
                <w:bCs w:val="false"/>
                <w:color w:val="000000"/>
                <w:sz w:val="19"/>
                <w:szCs w:val="19"/>
              </w:rPr>
              <w:t xml:space="preserve">Suivre l'avancement agent par agent et localiser un échec sans lire de journal.</w:t>
            </w:r>
          </w:p>
        </w:tc>
      </w:tr>
      <w:tr>
        <w:tc>
          <w:tcPr>
            <w:tcW w:type="dxa" w:w="2350"/>
            <w:shd w:fill="EDF0F7"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bCs/>
                <w:color w:val="000000"/>
                <w:sz w:val="19"/>
                <w:szCs w:val="19"/>
              </w:rPr>
              <w:t xml:space="preserve">Consultation des exécutions et plannings</w:t>
            </w:r>
          </w:p>
        </w:tc>
        <w:tc>
          <w:tcPr>
            <w:tcW w:type="dxa" w:w="3400"/>
            <w:shd w:fill="EDF0F7"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val="false"/>
                <w:bCs w:val="false"/>
                <w:color w:val="000000"/>
                <w:sz w:val="19"/>
                <w:szCs w:val="19"/>
              </w:rPr>
              <w:t xml:space="preserve">Restitution des résultats</w:t>
            </w:r>
          </w:p>
        </w:tc>
        <w:tc>
          <w:tcPr>
            <w:tcW w:type="dxa" w:w="3320"/>
            <w:shd w:fill="EDF0F7"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val="false"/>
                <w:bCs w:val="false"/>
                <w:color w:val="000000"/>
                <w:sz w:val="19"/>
                <w:szCs w:val="19"/>
              </w:rPr>
              <w:t xml:space="preserve">Lire un planning et ses indicateurs, et comparer plusieurs exécutions.</w:t>
            </w:r>
          </w:p>
        </w:tc>
      </w:tr>
      <w:tr>
        <w:tc>
          <w:tcPr>
            <w:tcW w:type="dxa" w:w="2350"/>
            <w:shd w:fill="FFFFFF"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bCs/>
                <w:color w:val="000000"/>
                <w:sz w:val="19"/>
                <w:szCs w:val="19"/>
              </w:rPr>
              <w:t xml:space="preserve">Supervision</w:t>
            </w:r>
          </w:p>
        </w:tc>
        <w:tc>
          <w:tcPr>
            <w:tcW w:type="dxa" w:w="3400"/>
            <w:shd w:fill="FFFFFF"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val="false"/>
                <w:bCs w:val="false"/>
                <w:color w:val="000000"/>
                <w:sz w:val="19"/>
                <w:szCs w:val="19"/>
              </w:rPr>
              <w:t xml:space="preserve">Signaux opérationnels du pipeline</w:t>
            </w:r>
          </w:p>
        </w:tc>
        <w:tc>
          <w:tcPr>
            <w:tcW w:type="dxa" w:w="3320"/>
            <w:shd w:fill="FFFFFF" w:color="auto" w:val="clear"/>
            <w:tcMar>
              <w:top w:type="dxa" w:w="70"/>
              <w:left w:type="dxa" w:w="90"/>
              <w:bottom w:type="dxa" w:w="70"/>
              <w:right w:type="dxa" w:w="90"/>
            </w:tcMar>
            <w:vAlign w:val="center"/>
          </w:tcPr>
          <w:p>
            <w:pPr>
              <w:spacing w:after="0" w:line="230"/>
              <w:jc w:val="left"/>
            </w:pPr>
            <w:r>
              <w:rPr>
                <w:rFonts w:ascii="Times New Roman" w:cs="Times New Roman" w:eastAsia="Times New Roman" w:hAnsi="Times New Roman"/>
                <w:b w:val="false"/>
                <w:bCs w:val="false"/>
                <w:color w:val="000000"/>
                <w:sz w:val="19"/>
                <w:szCs w:val="19"/>
              </w:rPr>
              <w:t xml:space="preserve">Prendre connaissance des signaux détectés et des actions proposées, avant décision.</w:t>
            </w:r>
          </w:p>
        </w:tc>
      </w:tr>
    </w:tbl>
    <w:p>
      <w:pPr>
        <w:spacing w:after="240" w:before="100"/>
        <w:jc w:val="center"/>
      </w:pPr>
      <w:r>
        <w:rPr>
          <w:rFonts w:ascii="Times New Roman" w:cs="Times New Roman" w:eastAsia="Times New Roman" w:hAnsi="Times New Roman"/>
          <w:i/>
          <w:iCs/>
          <w:sz w:val="20"/>
          <w:szCs w:val="20"/>
        </w:rPr>
        <w:t xml:space="preserve">Tableau 20 : Écrans de l'interface web et fonction couverte</w:t>
      </w:r>
    </w:p>
    <w:p>
      <w:pPr>
        <w:spacing w:after="100" w:line="276"/>
        <w:jc w:val="both"/>
      </w:pPr>
      <w:r>
        <w:rPr>
          <w:rFonts w:ascii="Times New Roman" w:cs="Times New Roman" w:eastAsia="Times New Roman" w:hAnsi="Times New Roman"/>
          <w:b w:val="false"/>
          <w:bCs w:val="false"/>
          <w:i w:val="false"/>
          <w:iCs w:val="false"/>
          <w:sz w:val="24"/>
          <w:szCs w:val="24"/>
        </w:rPr>
        <w:t xml:space="preserve">Le parcours commence par l'authentification, qui conditionne le cloisonnement : chaque contexte et chaque solveur appartiennent à un locataire identifié.</w:t>
      </w:r>
    </w:p>
    <w:p>
      <w:pPr>
        <w:pBdr>
          <w:top w:val="dashed" w:color="C00000" w:sz="6" w:space="14"/>
          <w:bottom w:val="dashed" w:color="C00000" w:sz="6" w:space="14"/>
          <w:left w:val="dashed" w:color="C00000" w:sz="6" w:space="14"/>
          <w:right w:val="dashed" w:color="C00000" w:sz="6" w:space="14"/>
        </w:pBdr>
        <w:spacing w:after="60" w:before="160" w:line="276"/>
        <w:ind w:left="900" w:right="900"/>
        <w:jc w:val="center"/>
      </w:pPr>
      <w:r>
        <w:rPr>
          <w:rFonts w:ascii="Times New Roman" w:cs="Times New Roman" w:eastAsia="Times New Roman" w:hAnsi="Times New Roman"/>
          <w:i/>
          <w:iCs/>
          <w:color w:val="C00000"/>
          <w:sz w:val="19"/>
          <w:szCs w:val="19"/>
        </w:rPr>
        <w:t xml:space="preserve">[ CAPTURE À INSÉRER — authentification et gestion des clients ]</w:t>
      </w:r>
    </w:p>
    <w:p>
      <w:pPr>
        <w:spacing w:after="240" w:before="100"/>
        <w:jc w:val="center"/>
      </w:pPr>
      <w:r>
        <w:rPr>
          <w:rFonts w:ascii="Times New Roman" w:cs="Times New Roman" w:eastAsia="Times New Roman" w:hAnsi="Times New Roman"/>
          <w:i/>
          <w:iCs/>
          <w:sz w:val="20"/>
          <w:szCs w:val="20"/>
        </w:rPr>
        <w:t xml:space="preserve">Figure 13 : Gestion des clients — cloisonnement des contextes et des solveurs par locataire</w:t>
      </w:r>
    </w:p>
    <w:p>
      <w:pPr>
        <w:spacing w:after="100" w:line="276"/>
        <w:jc w:val="both"/>
      </w:pPr>
      <w:r>
        <w:rPr>
          <w:rFonts w:ascii="Times New Roman" w:cs="Times New Roman" w:eastAsia="Times New Roman" w:hAnsi="Times New Roman"/>
          <w:b w:val="false"/>
          <w:bCs w:val="false"/>
          <w:i w:val="false"/>
          <w:iCs w:val="false"/>
          <w:sz w:val="24"/>
          <w:szCs w:val="24"/>
        </w:rPr>
        <w:t>La déclaration d'un contexte constitue l'écran central du dispositif, pour les raisons exposées ci-dessus. Les quatre axes du modèle pivot y sont présentés comme des sections distinctes ; les contrôles croisés — une précédence qui référence une tâche inexistante, une compatibilité qui désigne une ressource absente — restent portés par la validation du service au moment de la soumission, pas encore par le formulaire lui-même.</w:t>
      </w:r>
    </w:p>
    <w:p>
      <w:pPr>
        <w:pBdr>
          <w:top w:val="dashed" w:color="C00000" w:sz="6" w:space="14"/>
          <w:bottom w:val="dashed" w:color="C00000" w:sz="6" w:space="14"/>
          <w:left w:val="dashed" w:color="C00000" w:sz="6" w:space="14"/>
          <w:right w:val="dashed" w:color="C00000" w:sz="6" w:space="14"/>
        </w:pBdr>
        <w:spacing w:after="60" w:before="160" w:line="276"/>
        <w:ind w:left="900" w:right="900"/>
        <w:jc w:val="center"/>
      </w:pPr>
      <w:r>
        <w:rPr>
          <w:rFonts w:ascii="Times New Roman" w:cs="Times New Roman" w:eastAsia="Times New Roman" w:hAnsi="Times New Roman"/>
          <w:i/>
          <w:iCs/>
          <w:color w:val="C00000"/>
          <w:sz w:val="19"/>
          <w:szCs w:val="19"/>
        </w:rPr>
        <w:t xml:space="preserve">[ CAPTURE À INSÉRER — déclaration d'un contexte T-R-C-O ]</w:t>
      </w:r>
    </w:p>
    <w:p>
      <w:pPr>
        <w:spacing w:after="240" w:before="100"/>
        <w:jc w:val="center"/>
      </w:pPr>
      <w:r>
        <w:rPr>
          <w:rFonts w:ascii="Times New Roman" w:cs="Times New Roman" w:eastAsia="Times New Roman" w:hAnsi="Times New Roman"/>
          <w:i/>
          <w:iCs/>
          <w:sz w:val="20"/>
          <w:szCs w:val="20"/>
        </w:rPr>
        <w:t xml:space="preserve">Figure 14 : Déclaration d'un contexte — ce qu'un utilisateur non développeur doit réellement saisir</w:t>
      </w:r>
    </w:p>
    <w:p>
      <w:pPr>
        <w:spacing w:after="100" w:line="276"/>
        <w:jc w:val="both"/>
      </w:pPr>
      <w:r>
        <w:rPr>
          <w:rFonts w:ascii="Times New Roman" w:cs="Times New Roman" w:eastAsia="Times New Roman" w:hAnsi="Times New Roman"/>
          <w:b w:val="false"/>
          <w:bCs w:val="false"/>
          <w:i w:val="false"/>
          <w:iCs w:val="false"/>
          <w:sz w:val="24"/>
          <w:szCs w:val="24"/>
        </w:rPr>
        <w:t xml:space="preserve">Le lancement d'une génération donne lieu à un suivi en flux. Ce point n'est pas un agrément d'interface mais une nécessité fonctionnelle : une génération en mode chaîné dure de l'ordre d'une minute et demie et mobilise sept agents successifs. Sans restitution progressive, l'utilisateur ferait face à une attente muette dont il ne pourrait distinguer le fonctionnement normal d'un blocage. Le flux d'événements émis par la chaîne, un par agent, transforme cette attente en information, et permet en outre de localiser immédiatement l'étape en échec sans consulter de journal.</w:t>
      </w:r>
    </w:p>
    <w:p>
      <w:pPr>
        <w:pBdr>
          <w:top w:val="dashed" w:color="C00000" w:sz="6" w:space="14"/>
          <w:bottom w:val="dashed" w:color="C00000" w:sz="6" w:space="14"/>
          <w:left w:val="dashed" w:color="C00000" w:sz="6" w:space="14"/>
          <w:right w:val="dashed" w:color="C00000" w:sz="6" w:space="14"/>
        </w:pBdr>
        <w:spacing w:after="60" w:before="160" w:line="276"/>
        <w:ind w:left="900" w:right="900"/>
        <w:jc w:val="center"/>
      </w:pPr>
      <w:r>
        <w:rPr>
          <w:rFonts w:ascii="Times New Roman" w:cs="Times New Roman" w:eastAsia="Times New Roman" w:hAnsi="Times New Roman"/>
          <w:i/>
          <w:iCs/>
          <w:color w:val="C00000"/>
          <w:sz w:val="19"/>
          <w:szCs w:val="19"/>
        </w:rPr>
        <w:t xml:space="preserve">[ CAPTURE À INSÉRER — génération en cours, avec les sept agents et leur état ]</w:t>
      </w:r>
    </w:p>
    <w:p>
      <w:pPr>
        <w:spacing w:after="240" w:before="100"/>
        <w:jc w:val="center"/>
      </w:pPr>
      <w:r>
        <w:rPr>
          <w:rFonts w:ascii="Times New Roman" w:cs="Times New Roman" w:eastAsia="Times New Roman" w:hAnsi="Times New Roman"/>
          <w:i/>
          <w:iCs/>
          <w:sz w:val="20"/>
          <w:szCs w:val="20"/>
        </w:rPr>
        <w:t xml:space="preserve">Figure 15 : Suivi en flux d'une génération — un événement par agent de la chaîne</w:t>
      </w:r>
    </w:p>
    <w:p>
      <w:pPr>
        <w:spacing w:after="100" w:line="276"/>
        <w:jc w:val="both"/>
      </w:pPr>
      <w:r>
        <w:rPr>
          <w:rFonts w:ascii="Times New Roman" w:cs="Times New Roman" w:eastAsia="Times New Roman" w:hAnsi="Times New Roman"/>
          <w:b w:val="false"/>
          <w:bCs w:val="false"/>
          <w:i w:val="false"/>
          <w:iCs w:val="false"/>
          <w:sz w:val="24"/>
          <w:szCs w:val="24"/>
        </w:rPr>
        <w:t xml:space="preserve">La consultation des exécutions restitue les plannings produits et leurs indicateurs, et permet de comparer plusieurs exécutions d'un même solveur sur des données différentes.</w:t>
      </w:r>
    </w:p>
    <w:p>
      <w:pPr>
        <w:pBdr>
          <w:top w:val="dashed" w:color="C00000" w:sz="6" w:space="14"/>
          <w:bottom w:val="dashed" w:color="C00000" w:sz="6" w:space="14"/>
          <w:left w:val="dashed" w:color="C00000" w:sz="6" w:space="14"/>
          <w:right w:val="dashed" w:color="C00000" w:sz="6" w:space="14"/>
        </w:pBdr>
        <w:spacing w:after="60" w:before="160" w:line="276"/>
        <w:ind w:left="900" w:right="900"/>
        <w:jc w:val="center"/>
      </w:pPr>
      <w:r>
        <w:rPr>
          <w:rFonts w:ascii="Times New Roman" w:cs="Times New Roman" w:eastAsia="Times New Roman" w:hAnsi="Times New Roman"/>
          <w:i/>
          <w:iCs/>
          <w:color w:val="C00000"/>
          <w:sz w:val="19"/>
          <w:szCs w:val="19"/>
        </w:rPr>
        <w:t xml:space="preserve">[ CAPTURE À INSÉRER — planning produit avec ses indicateurs ]</w:t>
      </w:r>
    </w:p>
    <w:p>
      <w:pPr>
        <w:spacing w:after="240" w:before="100"/>
        <w:jc w:val="center"/>
      </w:pPr>
      <w:r>
        <w:rPr>
          <w:rFonts w:ascii="Times New Roman" w:cs="Times New Roman" w:eastAsia="Times New Roman" w:hAnsi="Times New Roman"/>
          <w:i/>
          <w:iCs/>
          <w:sz w:val="20"/>
          <w:szCs w:val="20"/>
        </w:rPr>
        <w:t xml:space="preserve">Figure 16 : Planning produit et indicateurs associés</w:t>
      </w:r>
    </w:p>
    <w:p>
      <w:pPr>
        <w:pStyle w:val="Heading3"/>
        <w:spacing w:after="140" w:before="260"/>
      </w:pPr>
      <w:r>
        <w:rPr>
          <w:rFonts w:ascii="Times New Roman" w:cs="Times New Roman" w:eastAsia="Times New Roman" w:hAnsi="Times New Roman"/>
          <w:b/>
          <w:bCs/>
          <w:color w:val="1F3864"/>
          <w:sz w:val="26"/>
          <w:szCs w:val="26"/>
        </w:rPr>
        <w:t xml:space="preserve">7.6.3  La page de supervision</w:t>
      </w:r>
    </w:p>
    <w:p>
      <w:pPr>
        <w:spacing w:after="160" w:line="276"/>
        <w:jc w:val="both"/>
      </w:pPr>
      <w:r>
        <w:rPr>
          <w:rFonts w:ascii="Times New Roman" w:cs="Times New Roman" w:eastAsia="Times New Roman" w:hAnsi="Times New Roman"/>
          <w:b w:val="false"/>
          <w:bCs w:val="false"/>
          <w:i w:val="false"/>
          <w:iCs w:val="false"/>
          <w:sz w:val="24"/>
          <w:szCs w:val="24"/>
        </w:rPr>
        <w:t xml:space="preserve">Une page dédiée restitue les signaux détectés sur le fonctionnement du système. La détection repose sur trois détecteurs déterministes portant sur des signaux opérationnels du pipeline : une signature de solveur devenue orpheline, une instance nécessitant une replanification, une série d'échecs répétés. Un agent complète ce dispositif en proposant une action à partir du signal détecté.</w:t>
      </w:r>
    </w:p>
    <w:p>
      <w:pPr>
        <w:spacing w:after="100" w:line="276"/>
        <w:jc w:val="both"/>
      </w:pPr>
      <w:r>
        <w:rPr>
          <w:rFonts w:ascii="Times New Roman" w:cs="Times New Roman" w:eastAsia="Times New Roman" w:hAnsi="Times New Roman"/>
          <w:b w:val="false"/>
          <w:bCs w:val="false"/>
          <w:i w:val="false"/>
          <w:iCs w:val="false"/>
          <w:sz w:val="24"/>
          <w:szCs w:val="24"/>
        </w:rPr>
        <w:t xml:space="preserve">Deux précisions s'imposent sur ce que fait exactement cette page, car c'est un point où un système de ce type est facilement surévalué. La proposition d'action n'est jamais appliquée automatiquement : elle est soumise à l'utilisateur, conformément au principe posé à la note de cadrage selon lequel le système assiste la décision sans s'y substituer. Et la détection porte sur des signaux du pipeline, non sur une dérive du planning en temps réel : le système constate qu'un solveur ne correspond plus à son contexte ou qu'une instance demande à être replanifiée, il ne mesure pas l'écart entre un planning et son exécution réelle sur le terrain. Cette seconde capacité supposerait plusieurs cycles de production documentés, ressource que le calendrier n'a pas permis de constituer.</w:t>
      </w:r>
    </w:p>
    <w:p>
      <w:pPr>
        <w:pBdr>
          <w:top w:val="dashed" w:color="C00000" w:sz="6" w:space="14"/>
          <w:bottom w:val="dashed" w:color="C00000" w:sz="6" w:space="14"/>
          <w:left w:val="dashed" w:color="C00000" w:sz="6" w:space="14"/>
          <w:right w:val="dashed" w:color="C00000" w:sz="6" w:space="14"/>
        </w:pBdr>
        <w:spacing w:after="60" w:before="160" w:line="276"/>
        <w:ind w:left="900" w:right="900"/>
        <w:jc w:val="center"/>
      </w:pPr>
      <w:r>
        <w:rPr>
          <w:rFonts w:ascii="Times New Roman" w:cs="Times New Roman" w:eastAsia="Times New Roman" w:hAnsi="Times New Roman"/>
          <w:i/>
          <w:iCs/>
          <w:color w:val="C00000"/>
          <w:sz w:val="19"/>
          <w:szCs w:val="19"/>
        </w:rPr>
        <w:t xml:space="preserve">[ CAPTURE À INSÉRER — page de supervision — signaux détectés et actions proposées ]</w:t>
      </w:r>
    </w:p>
    <w:p>
      <w:pPr>
        <w:spacing w:after="240" w:before="100"/>
        <w:jc w:val="center"/>
      </w:pPr>
      <w:r>
        <w:rPr>
          <w:rFonts w:ascii="Times New Roman" w:cs="Times New Roman" w:eastAsia="Times New Roman" w:hAnsi="Times New Roman"/>
          <w:i/>
          <w:iCs/>
          <w:sz w:val="20"/>
          <w:szCs w:val="20"/>
        </w:rPr>
        <w:t xml:space="preserve">Figure 17 : Page de supervision — signaux détectés par les détecteurs déterministes et propositions soumises à validation</w:t>
      </w:r>
    </w:p>
    <w:p>
      <w:pPr>
        <w:spacing w:after="0" w:line="276"/>
        <w:jc w:val="both"/>
      </w:pPr>
      <w:r>
        <w:rPr>
          <w:rFonts w:ascii="Times New Roman" w:cs="Times New Roman" w:eastAsia="Times New Roman" w:hAnsi="Times New Roman"/>
          <w:b w:val="false"/>
          <w:bCs w:val="false"/>
          <w:i w:val="false"/>
          <w:iCs w:val="false"/>
          <w:sz w:val="24"/>
          <w:szCs w:val="24"/>
        </w:rPr>
        <w:t xml:space="preserve">Cette reformulation par rapport au plan directeur, qui prévoyait une détection de dérive de planning, est analysée au chapitre VI. Elle constitue un changement de nature de la fonction et non son abandon : ce qui est livré détecte et propose, mais sur des signaux internes au système plutôt que sur des écarts observés en atelier.</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2026-09-02T09:07:48.472Z</dcterms:created>
  <dcterms:modified xsi:type="dcterms:W3CDTF">2026-09-02T09:07:48.485Z</dcterms:modified>
</cp:coreProperties>
</file>

<file path=docProps/custom.xml><?xml version="1.0" encoding="utf-8"?>
<Properties xmlns="http://schemas.openxmlformats.org/officeDocument/2006/custom-properties" xmlns:vt="http://schemas.openxmlformats.org/officeDocument/2006/docPropsVTypes"/>
</file>