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8" w:val="single"/>
          <w:left w:space="0" w:sz="0" w:val="nil"/>
          <w:bottom w:space="0" w:sz="0" w:val="nil"/>
          <w:right w:space="0" w:sz="0" w:val="nil"/>
          <w:between w:space="0" w:sz="0" w:val="nil"/>
        </w:pBdr>
        <w:shd w:fill="auto" w:val="clear"/>
        <w:spacing w:after="0" w:before="96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i5r64ca09avj" w:id="0"/>
      <w:bookmarkEnd w:id="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02">
      <w:pPr>
        <w:pStyle w:val="Title"/>
        <w:spacing w:after="720" w:lineRule="auto"/>
        <w:rPr>
          <w:sz w:val="40"/>
          <w:szCs w:val="40"/>
        </w:rPr>
      </w:pPr>
      <w:bookmarkStart w:colFirst="0" w:colLast="0" w:name="_yxc3j67h1hu9" w:id="1"/>
      <w:bookmarkEnd w:id="1"/>
      <w:r w:rsidDel="00000000" w:rsidR="00000000" w:rsidRPr="00000000">
        <w:rPr>
          <w:rFonts w:ascii="Calibri" w:cs="Calibri" w:eastAsia="Calibri" w:hAnsi="Calibri"/>
          <w:sz w:val="72"/>
          <w:szCs w:val="72"/>
          <w:rtl w:val="0"/>
        </w:rPr>
        <w:t xml:space="preserve">Guía de definición del proyecto</w:t>
      </w:r>
      <w:r w:rsidDel="00000000" w:rsidR="00000000" w:rsidRPr="00000000">
        <w:rPr>
          <w:sz w:val="72"/>
          <w:szCs w:val="72"/>
          <w:rtl w:val="0"/>
        </w:rPr>
        <w:br w:type="textWrapping"/>
        <w:br w:type="textWrapping"/>
      </w:r>
      <w:r w:rsidDel="00000000" w:rsidR="00000000" w:rsidRPr="00000000">
        <w:rPr>
          <w:color w:val="8064a2"/>
          <w:sz w:val="40"/>
          <w:szCs w:val="40"/>
          <w:rtl w:val="0"/>
        </w:rPr>
        <w:t xml:space="preserve">NETZA-TANK</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Versión </w:t>
      </w:r>
      <w:r w:rsidDel="00000000" w:rsidR="00000000" w:rsidRPr="00000000">
        <w:rPr>
          <w:rFonts w:ascii="Arial" w:cs="Arial" w:eastAsia="Arial" w:hAnsi="Arial"/>
          <w:b w:val="1"/>
          <w:bCs w:val="1"/>
          <w:color w:val="8064a2"/>
          <w:sz w:val="28"/>
          <w:szCs w:val="28"/>
          <w:rtl w:val="0"/>
        </w:rPr>
        <w:t xml:space="preserve">1</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Elaborado por: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color w:val="8064a2"/>
          <w:sz w:val="28"/>
          <w:szCs w:val="28"/>
        </w:rPr>
      </w:pPr>
      <w:r w:rsidDel="00000000" w:rsidR="00000000" w:rsidRPr="00000000">
        <w:rPr>
          <w:rFonts w:ascii="Arial" w:cs="Arial" w:eastAsia="Arial" w:hAnsi="Arial"/>
          <w:b w:val="1"/>
          <w:bCs w:val="1"/>
          <w:color w:val="8064a2"/>
          <w:sz w:val="28"/>
          <w:szCs w:val="28"/>
          <w:rtl w:val="0"/>
        </w:rPr>
        <w:t xml:space="preserve">Chan torres Guiseph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color w:val="8064a2"/>
          <w:sz w:val="28"/>
          <w:szCs w:val="28"/>
        </w:rPr>
      </w:pPr>
      <w:r w:rsidDel="00000000" w:rsidR="00000000" w:rsidRPr="00000000">
        <w:rPr>
          <w:rFonts w:ascii="Arial" w:cs="Arial" w:eastAsia="Arial" w:hAnsi="Arial"/>
          <w:b w:val="1"/>
          <w:bCs w:val="1"/>
          <w:color w:val="8064a2"/>
          <w:sz w:val="28"/>
          <w:szCs w:val="28"/>
          <w:rtl w:val="0"/>
        </w:rPr>
        <w:t xml:space="preserve">DeMartino Ricci Cristian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color w:val="8064a2"/>
          <w:sz w:val="28"/>
          <w:szCs w:val="28"/>
          <w:rtl w:val="0"/>
        </w:rPr>
        <w:t xml:space="preserve">Romero Poot Carlos Emmanuel</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sz w:val="28"/>
          <w:szCs w:val="28"/>
          <w:shd w:fill="auto" w:val="clear"/>
          <w:vertAlign w:val="baseline"/>
        </w:rPr>
      </w:pPr>
      <w:r w:rsidDel="00000000" w:rsidR="00000000" w:rsidRPr="00000000">
        <w:rPr>
          <w:rFonts w:ascii="Arial" w:cs="Arial" w:eastAsia="Arial" w:hAnsi="Arial"/>
          <w:b w:val="1"/>
          <w:bCs w:val="1"/>
          <w:color w:val="8064a2"/>
          <w:sz w:val="28"/>
          <w:szCs w:val="28"/>
          <w:rtl w:val="0"/>
        </w:rPr>
        <w:t xml:space="preserve"> </w:t>
      </w:r>
      <w:r w:rsidDel="00000000" w:rsidR="00000000" w:rsidRPr="00000000">
        <w:rPr>
          <w:rFonts w:ascii="Arial" w:cs="Arial" w:eastAsia="Arial" w:hAnsi="Arial"/>
          <w:b w:val="1"/>
          <w:bCs w:val="1"/>
          <w:color w:val="8064a2"/>
          <w:sz w:val="28"/>
          <w:szCs w:val="28"/>
          <w:rtl w:val="0"/>
        </w:rPr>
        <w:t xml:space="preserve"> Novelo Góngora Aldrin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8064a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64a2"/>
          <w:sz w:val="28"/>
          <w:szCs w:val="28"/>
          <w:u w:val="none"/>
          <w:shd w:fill="auto" w:val="clear"/>
          <w:vertAlign w:val="baseline"/>
          <w:rtl w:val="0"/>
        </w:rPr>
        <w:t xml:space="preserve"> </w:t>
      </w:r>
      <w:r w:rsidDel="00000000" w:rsidR="00000000" w:rsidRPr="00000000">
        <w:rPr>
          <w:rFonts w:ascii="Arial" w:cs="Arial" w:eastAsia="Arial" w:hAnsi="Arial"/>
          <w:b w:val="1"/>
          <w:bCs w:val="1"/>
          <w:color w:val="8064a2"/>
          <w:sz w:val="28"/>
          <w:szCs w:val="28"/>
          <w:rtl w:val="0"/>
        </w:rPr>
        <w:t xml:space="preserve">Vega Nolasco Erick Ricardo</w:t>
      </w: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sectPr>
          <w:headerReference r:id="rId6" w:type="default"/>
          <w:footerReference r:id="rId7" w:type="default"/>
          <w:footerReference r:id="rId8" w:type="even"/>
          <w:pgSz w:h="15840" w:w="12240" w:orient="portrait"/>
          <w:pgMar w:bottom="1440" w:top="1806" w:left="1440" w:right="1440" w:header="720" w:footer="720"/>
          <w:pgNumType w:start="1"/>
        </w:sect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Contenido</w:t>
      </w:r>
    </w:p>
    <w:sdt>
      <w:sdtPr>
        <w:id w:val="-1312357320"/>
        <w:docPartObj>
          <w:docPartGallery w:val="Table of Contents"/>
          <w:docPartUnique w:val="1"/>
        </w:docPartObj>
      </w:sdtPr>
      <w:sdtContent>
        <w:p w:rsidR="00000000" w:rsidDel="00000000" w:rsidP="00000000" w:rsidRDefault="00000000" w:rsidRPr="00000000" w14:paraId="0000000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ieax82z3d2u">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_7ieax82z3d2u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after="0" w:before="60" w:line="240" w:lineRule="auto"/>
            <w:rPr>
              <w:b w:val="1"/>
              <w:bCs w:val="1"/>
              <w:color w:val="000000"/>
              <w:u w:val="none"/>
            </w:rPr>
          </w:pPr>
          <w:hyperlink w:anchor="_mvkpp1aobo5f">
            <w:r w:rsidDel="00000000" w:rsidR="00000000" w:rsidRPr="00000000">
              <w:rPr>
                <w:b w:val="1"/>
                <w:bCs w:val="1"/>
                <w:color w:val="000000"/>
                <w:u w:val="none"/>
                <w:rtl w:val="0"/>
              </w:rPr>
              <w:t xml:space="preserve">Propósito</w:t>
              <w:tab/>
            </w:r>
          </w:hyperlink>
          <w:r w:rsidDel="00000000" w:rsidR="00000000" w:rsidRPr="00000000">
            <w:fldChar w:fldCharType="begin"/>
            <w:instrText xml:space="preserve"> PAGEREF _mvkpp1aobo5f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after="0" w:before="60" w:line="240" w:lineRule="auto"/>
            <w:rPr>
              <w:b w:val="1"/>
              <w:bCs w:val="1"/>
              <w:color w:val="000000"/>
              <w:u w:val="none"/>
            </w:rPr>
          </w:pPr>
          <w:hyperlink w:anchor="_b7jmhp4mcl48">
            <w:r w:rsidDel="00000000" w:rsidR="00000000" w:rsidRPr="00000000">
              <w:rPr>
                <w:b w:val="1"/>
                <w:bCs w:val="1"/>
                <w:color w:val="000000"/>
                <w:u w:val="none"/>
                <w:rtl w:val="0"/>
              </w:rPr>
              <w:t xml:space="preserve">Justificación</w:t>
              <w:tab/>
            </w:r>
          </w:hyperlink>
          <w:r w:rsidDel="00000000" w:rsidR="00000000" w:rsidRPr="00000000">
            <w:fldChar w:fldCharType="begin"/>
            <w:instrText xml:space="preserve"> PAGEREF _b7jmhp4mcl48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after="0" w:before="60" w:line="240" w:lineRule="auto"/>
            <w:rPr>
              <w:b w:val="1"/>
              <w:bCs w:val="1"/>
              <w:color w:val="000000"/>
              <w:u w:val="none"/>
            </w:rPr>
          </w:pPr>
          <w:hyperlink w:anchor="_wgym9rjsd6uq">
            <w:r w:rsidDel="00000000" w:rsidR="00000000" w:rsidRPr="00000000">
              <w:rPr>
                <w:b w:val="1"/>
                <w:bCs w:val="1"/>
                <w:color w:val="000000"/>
                <w:u w:val="none"/>
                <w:rtl w:val="0"/>
              </w:rPr>
              <w:t xml:space="preserve">Beneficios</w:t>
              <w:tab/>
            </w:r>
          </w:hyperlink>
          <w:r w:rsidDel="00000000" w:rsidR="00000000" w:rsidRPr="00000000">
            <w:fldChar w:fldCharType="begin"/>
            <w:instrText xml:space="preserve"> PAGEREF _wgym9rjsd6uq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after="0" w:before="60" w:line="240" w:lineRule="auto"/>
            <w:rPr>
              <w:b w:val="1"/>
              <w:bCs w:val="1"/>
              <w:color w:val="000000"/>
              <w:u w:val="none"/>
            </w:rPr>
          </w:pPr>
          <w:hyperlink w:anchor="_38lob638kf6b">
            <w:r w:rsidDel="00000000" w:rsidR="00000000" w:rsidRPr="00000000">
              <w:rPr>
                <w:b w:val="1"/>
                <w:bCs w:val="1"/>
                <w:color w:val="000000"/>
                <w:u w:val="none"/>
                <w:rtl w:val="0"/>
              </w:rPr>
              <w:t xml:space="preserve">Funcionalidades</w:t>
              <w:tab/>
            </w:r>
          </w:hyperlink>
          <w:r w:rsidDel="00000000" w:rsidR="00000000" w:rsidRPr="00000000">
            <w:fldChar w:fldCharType="begin"/>
            <w:instrText xml:space="preserve"> PAGEREF _38lob638kf6b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after="0" w:before="60" w:line="240" w:lineRule="auto"/>
            <w:rPr>
              <w:b w:val="1"/>
              <w:bCs w:val="1"/>
              <w:color w:val="000000"/>
              <w:u w:val="none"/>
            </w:rPr>
          </w:pPr>
          <w:hyperlink w:anchor="_qmd4j0ks7xdy">
            <w:r w:rsidDel="00000000" w:rsidR="00000000" w:rsidRPr="00000000">
              <w:rPr>
                <w:b w:val="1"/>
                <w:bCs w:val="1"/>
                <w:color w:val="000000"/>
                <w:u w:val="none"/>
                <w:rtl w:val="0"/>
              </w:rPr>
              <w:t xml:space="preserve">Trabajos relacionados</w:t>
              <w:tab/>
            </w:r>
          </w:hyperlink>
          <w:r w:rsidDel="00000000" w:rsidR="00000000" w:rsidRPr="00000000">
            <w:fldChar w:fldCharType="begin"/>
            <w:instrText xml:space="preserve"> PAGEREF _qmd4j0ks7xdy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after="0" w:before="60" w:line="240" w:lineRule="auto"/>
            <w:rPr>
              <w:b w:val="1"/>
              <w:bCs w:val="1"/>
              <w:color w:val="000000"/>
              <w:u w:val="none"/>
            </w:rPr>
          </w:pPr>
          <w:hyperlink w:anchor="_s80y0xw5hrc">
            <w:r w:rsidDel="00000000" w:rsidR="00000000" w:rsidRPr="00000000">
              <w:rPr>
                <w:b w:val="1"/>
                <w:bCs w:val="1"/>
                <w:color w:val="000000"/>
                <w:u w:val="none"/>
                <w:rtl w:val="0"/>
              </w:rPr>
              <w:t xml:space="preserve">Plan de investigación</w:t>
              <w:tab/>
            </w:r>
          </w:hyperlink>
          <w:r w:rsidDel="00000000" w:rsidR="00000000" w:rsidRPr="00000000">
            <w:fldChar w:fldCharType="begin"/>
            <w:instrText xml:space="preserve"> PAGEREF _s80y0xw5hrc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after="0" w:before="60" w:line="240" w:lineRule="auto"/>
            <w:rPr>
              <w:b w:val="1"/>
              <w:bCs w:val="1"/>
              <w:color w:val="000000"/>
              <w:u w:val="none"/>
            </w:rPr>
          </w:pPr>
          <w:hyperlink w:anchor="_xfub9weyenft">
            <w:r w:rsidDel="00000000" w:rsidR="00000000" w:rsidRPr="00000000">
              <w:rPr>
                <w:b w:val="1"/>
                <w:bCs w:val="1"/>
                <w:color w:val="000000"/>
                <w:u w:val="none"/>
                <w:rtl w:val="0"/>
              </w:rPr>
              <w:t xml:space="preserve">Plan de actividades</w:t>
              <w:tab/>
            </w:r>
          </w:hyperlink>
          <w:r w:rsidDel="00000000" w:rsidR="00000000" w:rsidRPr="00000000">
            <w:fldChar w:fldCharType="begin"/>
            <w:instrText xml:space="preserve"> PAGEREF _xfub9weyenft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after="0" w:before="60" w:line="240" w:lineRule="auto"/>
            <w:rPr>
              <w:b w:val="1"/>
              <w:bCs w:val="1"/>
              <w:color w:val="000000"/>
              <w:u w:val="none"/>
            </w:rPr>
          </w:pPr>
          <w:hyperlink w:anchor="_meg9qe4b0hjo">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_meg9qe4b0hjo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az937gdacnyv"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7ieax82z3d2u" w:id="3"/>
      <w:bookmarkEnd w:id="3"/>
      <w:r w:rsidDel="00000000" w:rsidR="00000000" w:rsidRPr="00000000">
        <w:rPr>
          <w:rtl w:val="0"/>
        </w:rPr>
        <w:t xml:space="preserve">Introducción</w:t>
      </w:r>
    </w:p>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La mayoría de las personas que inician en la acuariofilia suelen fallar debido a decisiones y prácticas incorrectas, tienden a seguir consejos de vendedores de tiendas de mascotas al momento de realizar la compra del equipo y peces. Sin embargo muchos de estos son consejos erróneos basados en evidencia no comprobada o “creencias” perjudicando gravemente el bienestar del ecosistema y de los peces.</w:t>
      </w:r>
    </w:p>
    <w:p w:rsidR="00000000" w:rsidDel="00000000" w:rsidP="00000000" w:rsidRDefault="00000000" w:rsidRPr="00000000" w14:paraId="0000001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rPr>
      </w:pPr>
      <w:r w:rsidDel="00000000" w:rsidR="00000000" w:rsidRPr="00000000">
        <w:rPr>
          <w:rFonts w:ascii="Calibri" w:cs="Calibri" w:eastAsia="Calibri" w:hAnsi="Calibri"/>
          <w:rtl w:val="0"/>
        </w:rPr>
        <w:t xml:space="preserve">A esta situación se suma una fuerte barrera de empatía. Generalmente se compran peces por impulso porque se ven “bonitos” o porque son una buena decoración sin antes revisar si son compatibles, adecuados o simplemente revisar sus cuidados básicos. Sin embargo, al descubrir la verdadera exigencia de sus cuidados, los usuarios tienden a descuidarlos, evidenciando una falta de responsabilidad ética que rara vez ocurre con otras mascotas, como perros o gatos.</w:t>
      </w:r>
    </w:p>
    <w:p w:rsidR="00000000" w:rsidDel="00000000" w:rsidP="00000000" w:rsidRDefault="00000000" w:rsidRPr="00000000" w14:paraId="0000001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rPr>
      </w:pPr>
      <w:r w:rsidDel="00000000" w:rsidR="00000000" w:rsidRPr="00000000">
        <w:rPr>
          <w:rFonts w:ascii="Calibri" w:cs="Calibri" w:eastAsia="Calibri" w:hAnsi="Calibri"/>
          <w:rtl w:val="0"/>
        </w:rPr>
        <w:t xml:space="preserve">La acuariofilia es un hobby que ha estado creciendo en los últimos años, de acuerdo a datos estadísticos el tamaño del mercado mundial de acuarios se valoró en 4.600 millones de dólares en 2024 y se prevé que crezca de 4.910 millones de dólares en 2025 a 8.380 millones de dólares en 2033. Debido a este crecimiento acelerado hace más latente la necesidad de promover las buenas prácticas en la acuariofilia con el fin de evitar malos cuidados. </w:t>
      </w:r>
    </w:p>
    <w:p w:rsidR="00000000" w:rsidDel="00000000" w:rsidP="00000000" w:rsidRDefault="00000000" w:rsidRPr="00000000" w14:paraId="00000020">
      <w:pPr>
        <w:jc w:val="both"/>
        <w:rPr>
          <w:rFonts w:ascii="Calibri" w:cs="Calibri" w:eastAsia="Calibri" w:hAnsi="Calibri"/>
          <w:color w:val="8064a2"/>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rtl w:val="0"/>
        </w:rPr>
        <w:t xml:space="preserve">Para dar respuesta a esta problemática surge NETZA-TANK, una herramienta interactiva diseñada para educar y guiar al usuario desde la planificación, previniendo errores críticos y fomentando un acuarismo ético y sostenible.</w:t>
      </w:r>
    </w:p>
    <w:p w:rsidR="00000000" w:rsidDel="00000000" w:rsidP="00000000" w:rsidRDefault="00000000" w:rsidRPr="00000000" w14:paraId="00000022">
      <w:pPr>
        <w:rPr/>
      </w:pPr>
      <w:r w:rsidDel="00000000" w:rsidR="00000000" w:rsidRPr="00000000">
        <w:rPr>
          <w:rtl w:val="0"/>
        </w:rPr>
      </w:r>
    </w:p>
    <w:tbl>
      <w:tblPr>
        <w:tblStyle w:val="Table1"/>
        <w:tblW w:w="9585.0" w:type="dxa"/>
        <w:jc w:val="left"/>
        <w:tblInd w:w="-115.0" w:type="dxa"/>
        <w:tblLayout w:type="fixed"/>
        <w:tblLook w:val="0000"/>
      </w:tblPr>
      <w:tblGrid>
        <w:gridCol w:w="2025"/>
        <w:gridCol w:w="7560"/>
        <w:tblGridChange w:id="0">
          <w:tblGrid>
            <w:gridCol w:w="2025"/>
            <w:gridCol w:w="7560"/>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r>
      <w:tr>
        <w:trPr>
          <w:cantSplit w:val="0"/>
          <w:trHeight w:val="984.7005208333333" w:hRule="atLeast"/>
          <w:tblHeader w:val="0"/>
        </w:trPr>
        <w:tc>
          <w:tcPr/>
          <w:p w:rsidR="00000000" w:rsidDel="00000000" w:rsidP="00000000" w:rsidRDefault="00000000" w:rsidRPr="00000000" w14:paraId="00000027">
            <w:pPr>
              <w:pStyle w:val="Heading1"/>
              <w:rPr>
                <w:vertAlign w:val="baseline"/>
              </w:rPr>
            </w:pPr>
            <w:bookmarkStart w:colFirst="0" w:colLast="0" w:name="_mvkpp1aobo5f" w:id="4"/>
            <w:bookmarkEnd w:id="4"/>
            <w:r w:rsidDel="00000000" w:rsidR="00000000" w:rsidRPr="00000000">
              <w:rPr>
                <w:vertAlign w:val="baseline"/>
                <w:rtl w:val="0"/>
              </w:rPr>
              <w:t xml:space="preserve">Propósito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2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9">
            <w:pPr>
              <w:jc w:val="both"/>
              <w:rPr>
                <w:rFonts w:ascii="Calibri" w:cs="Calibri" w:eastAsia="Calibri" w:hAnsi="Calibri"/>
                <w:color w:val="8064a2"/>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Construir NETZA-TANK, una herramienta diseñada para guiar a los usuarios, especialmente a los principiantes en la acuariofilia, en el proceso de armar y gestionar su acuario de forma rápida y sencilla.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2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2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rPr>
                <w:vertAlign w:val="baseline"/>
              </w:rPr>
            </w:pPr>
            <w:bookmarkStart w:colFirst="0" w:colLast="0" w:name="_b7jmhp4mcl48" w:id="5"/>
            <w:bookmarkEnd w:id="5"/>
            <w:r w:rsidDel="00000000" w:rsidR="00000000" w:rsidRPr="00000000">
              <w:rPr>
                <w:vertAlign w:val="baseline"/>
                <w:rtl w:val="0"/>
              </w:rPr>
              <w:t xml:space="preserve">Justificación</w:t>
            </w:r>
          </w:p>
        </w:tc>
        <w:tc>
          <w:tcPr>
            <w:tcBorders>
              <w:bottom w:color="000000"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color w:val="8064a2"/>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situación actual de la acuariofilia presenta retos importantes en cuanto a la desinformación y el bienestar animal. A continuación, se explican a detalle las causas de esta problemática: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rtl w:val="0"/>
              </w:rPr>
              <w:t xml:space="preserve">Desinformación masiva en principiantes: </w:t>
            </w:r>
            <w:r w:rsidDel="00000000" w:rsidR="00000000" w:rsidRPr="00000000">
              <w:rPr>
                <w:rFonts w:ascii="Calibri" w:cs="Calibri" w:eastAsia="Calibri" w:hAnsi="Calibri"/>
                <w:rtl w:val="0"/>
              </w:rPr>
              <w:t xml:space="preserve">Es común que los principiantes cometan errores graves como cambiar en su totalidad el agua del acuario, sobrealimentar, usar decoración artificial,  o carecer de filtros, material biológico y luz adecuada. Según especialistas en medicina veterinaria, Francis-Floyd &amp; Petty  (2024), estos descuidos someten a los peces a un estrés extremo y desencadenan problemas mortales: cambiar el 100% del agua o no usar filtros destruye las bacterias benéficas, provocando una acumulación tóxica de amoníaco que quema sus branquias; por otro lado, la sobrealimentación deja restos que se pudren en el fondo y fomentan la aparición de hongos o parásitos letales; finalmente, un entorno sin la luz correcta debilita sus defensas naturales, provocando que la decoración artificial áspera les cause heridas graves cuando, al enfermarse, intentan rascarse contra ella para aliviar el picor.</w:t>
            </w:r>
          </w:p>
          <w:p w:rsidR="00000000" w:rsidDel="00000000" w:rsidP="00000000" w:rsidRDefault="00000000" w:rsidRPr="00000000" w14:paraId="0000003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4">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rtl w:val="0"/>
              </w:rPr>
              <w:t xml:space="preserve">Crecimiento del mercado:</w:t>
            </w:r>
            <w:r w:rsidDel="00000000" w:rsidR="00000000" w:rsidRPr="00000000">
              <w:rPr>
                <w:rFonts w:ascii="Calibri" w:cs="Calibri" w:eastAsia="Calibri" w:hAnsi="Calibri"/>
                <w:rtl w:val="0"/>
              </w:rPr>
              <w:t xml:space="preserve"> El tamaño del mercado mundial de acuarios tiene una proyección de crecimiento hacia los 8.380 millones de dólares para 2033 </w:t>
            </w:r>
            <w:r w:rsidDel="00000000" w:rsidR="00000000" w:rsidRPr="00000000">
              <w:rPr>
                <w:rFonts w:ascii="Calibri" w:cs="Calibri" w:eastAsia="Calibri" w:hAnsi="Calibri"/>
                <w:rtl w:val="0"/>
              </w:rPr>
              <w:t xml:space="preserve">(SkyQuest, 2025)</w:t>
            </w:r>
            <w:r w:rsidDel="00000000" w:rsidR="00000000" w:rsidRPr="00000000">
              <w:rPr>
                <w:rFonts w:ascii="Calibri" w:cs="Calibri" w:eastAsia="Calibri" w:hAnsi="Calibri"/>
                <w:rtl w:val="0"/>
              </w:rPr>
              <w:t xml:space="preserve">. Este crecimiento exponencial agrava el problema, ya que un mayor número de ventas significa más principiantes propensos a cometer negligencias en las primeras semanas.</w:t>
            </w:r>
          </w:p>
          <w:p w:rsidR="00000000" w:rsidDel="00000000" w:rsidP="00000000" w:rsidRDefault="00000000" w:rsidRPr="00000000" w14:paraId="0000003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rtl w:val="0"/>
              </w:rPr>
              <w:t xml:space="preserve">Barrera de empatía y sufrimiento animal:</w:t>
            </w:r>
            <w:r w:rsidDel="00000000" w:rsidR="00000000" w:rsidRPr="00000000">
              <w:rPr>
                <w:rFonts w:ascii="Calibri" w:cs="Calibri" w:eastAsia="Calibri" w:hAnsi="Calibri"/>
                <w:rtl w:val="0"/>
              </w:rPr>
              <w:t xml:space="preserve"> Existe una fuerte barrera que nos dificulta reconocer el dolor en los peces; al tenerlos como mascotas y no verlos como seres plenamente conscientes, se normaliza su maltrato y se pierde el interés por aprender sus cuidados básicos. Autores como Rucinque, Souza y Molento (2017) señalan que la percepción de la sintiencia de los peces por parte de los ciudadanos es un factor crucial que debe ser atendido para mejorar su bienestar. De acuerdo con Alberto Maceda-Veiga et al. (2014), esta problemática surge de las diversas filosofías dentro del pasatiempo, donde muchos acuaristas actúan como dueños cuyo único interés es mantener a los peces como meros "adornos". Para combatir esto, destacan la necesidad de promover una ética en el acuarismo que deje de ver a los peces como ornamentos y fomente el entendimiento del acuario como un ecosistema natural.  Asimismo, Maia, Gauy y Gonçalves-de-Freitas (2025) recalcan la urgencia de establecer iniciativas emergentes y regulaciones que mitiguen los factores de estrés en el comercio de especies ornamentales. Por ello, es imperativo diseñar herramientas que apoyen lineamientos internacionales como los de la Organización Mundial de Sanidad Animal (OMSA) y fomenten un enriquecimiento ambiental adecuado, tal como lo estudian Oldfield y Murphy (2024), evitando que los peces sean tratados como adornos desechables.</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791.149088541664"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2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rPr>
                <w:vertAlign w:val="baseline"/>
              </w:rPr>
            </w:pPr>
            <w:bookmarkStart w:colFirst="0" w:colLast="0" w:name="_wgym9rjsd6uq" w:id="6"/>
            <w:bookmarkEnd w:id="6"/>
            <w:r w:rsidDel="00000000" w:rsidR="00000000" w:rsidRPr="00000000">
              <w:rPr>
                <w:vertAlign w:val="baseline"/>
                <w:rtl w:val="0"/>
              </w:rPr>
              <w:t xml:space="preserve">Beneficios</w:t>
            </w:r>
          </w:p>
        </w:tc>
        <w:tc>
          <w:tcPr>
            <w:tcBorders>
              <w:top w:color="000000" w:space="0" w:sz="8" w:val="single"/>
              <w:bottom w:color="000000" w:space="0" w:sz="8" w:val="single"/>
            </w:tcBorders>
          </w:tcPr>
          <w:p w:rsidR="00000000" w:rsidDel="00000000" w:rsidP="00000000" w:rsidRDefault="00000000" w:rsidRPr="00000000" w14:paraId="0000003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0"/>
                <w:bCs w:val="0"/>
                <w:i w:val="0"/>
                <w:iCs w:val="0"/>
                <w:smallCaps w:val="0"/>
                <w:strike w:val="0"/>
                <w:color w:val="8064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Calibri" w:cs="Calibri" w:eastAsia="Calibri" w:hAnsi="Calibri"/>
                <w:shd w:fill="606060" w:val="clear"/>
              </w:rPr>
            </w:pPr>
            <w:r w:rsidDel="00000000" w:rsidR="00000000" w:rsidRPr="00000000">
              <w:rPr>
                <w:rFonts w:ascii="Calibri" w:cs="Calibri" w:eastAsia="Calibri" w:hAnsi="Calibri"/>
                <w:rtl w:val="0"/>
              </w:rPr>
              <w:t xml:space="preserve">Los beneficios están derivados de los objetivos del proyecto y de su enfoque en la interacción humano-computadora para resolver las problemáticas planteadas. A continuación se listan: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sz w:val="22"/>
                <w:szCs w:val="22"/>
                <w:rtl w:val="0"/>
              </w:rPr>
              <w:t xml:space="preserve">Reducción de la mortalidad en peces por errores humanos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El sistema contribuye a disminuir la muerte de peces causada por decisiones incorrectas de principiantes, al prevenir configuraciones y prácticas inadecuadas del acuario antes de su implementación. Esto impacta directamente en el bienestar animal y en la sostenibilidad de la acuariofilia.</w:t>
            </w:r>
          </w:p>
          <w:p w:rsidR="00000000" w:rsidDel="00000000" w:rsidP="00000000" w:rsidRDefault="00000000" w:rsidRPr="00000000" w14:paraId="00000041">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sz w:val="22"/>
                <w:szCs w:val="22"/>
                <w:rtl w:val="0"/>
              </w:rPr>
              <w:t xml:space="preserve">Disminución de la desinformación en usuarios principiantes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La aplicación actúa como una fuente confiable de apoyo en la toma de decisiones, reduciendo la dependencia de información incompleta o incorrecta proveniente de fuentes informales, lo que permite a los usuarios adquirir conocimientos correctos desde el inicio.</w:t>
            </w:r>
          </w:p>
          <w:p w:rsidR="00000000" w:rsidDel="00000000" w:rsidP="00000000" w:rsidRDefault="00000000" w:rsidRPr="00000000" w14:paraId="00000043">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4">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sz w:val="22"/>
                <w:szCs w:val="22"/>
                <w:rtl w:val="0"/>
              </w:rPr>
              <w:t xml:space="preserve">Facilitación del aprendizaje en procesos complejos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Mediante una interfaz centrada en el usuario, se simplifican conceptos técnicos como el ciclo del nitrógeno, parámetros del agua y compatibilidad biológica, permitiendo que personas sin conocimientos previos comprendan y apliquen buenas prácticas en la acuariofilia.</w:t>
            </w:r>
          </w:p>
          <w:p w:rsidR="00000000" w:rsidDel="00000000" w:rsidP="00000000" w:rsidRDefault="00000000" w:rsidRPr="00000000" w14:paraId="00000045">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sz w:val="22"/>
                <w:szCs w:val="22"/>
                <w:rtl w:val="0"/>
              </w:rPr>
              <w:t xml:space="preserve">Mejora en la toma de decisiones del usuario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El sistema guía al usuario hacia elecciones adecuadas en la selección de peces, componentes del acuario y mantenimiento, reduciendo la incertidumbre y aumentando la confianza durante el proceso de armado y gestión del acuario</w:t>
            </w: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sz w:val="22"/>
                <w:szCs w:val="22"/>
                <w:rtl w:val="0"/>
              </w:rPr>
              <w:t xml:space="preserve">Promoción del bienestar animal y responsabilidad ambiental</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Al evitar prácticas incorrectas, se fomenta el cuidado responsable de los organismos vivos y se previenen consecuencias como el estrés, enfermedades o liberación de especies al medio ambiente, contribuyendo a una acuariofilia más ética.</w:t>
            </w:r>
          </w:p>
          <w:p w:rsidR="00000000" w:rsidDel="00000000" w:rsidP="00000000" w:rsidRDefault="00000000" w:rsidRPr="00000000" w14:paraId="00000049">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720" w:right="0" w:hanging="360"/>
              <w:jc w:val="left"/>
            </w:pPr>
            <w:r w:rsidDel="00000000" w:rsidR="00000000" w:rsidRPr="00000000">
              <w:rPr>
                <w:rFonts w:ascii="Calibri" w:cs="Calibri" w:eastAsia="Calibri" w:hAnsi="Calibri"/>
                <w:b w:val="1"/>
                <w:bCs w:val="1"/>
                <w:sz w:val="22"/>
                <w:szCs w:val="22"/>
                <w:rtl w:val="0"/>
              </w:rPr>
              <w:t xml:space="preserve"> Optimización del tiempo y esfuerzo del usuario</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El sistema reduce la necesidad de investigación extensa y ensayo-error, proporcionando recomendaciones claras y personalizadas que permiten al usuario gestionar su acuario de manera más eficiente.</w:t>
            </w:r>
            <w:r w:rsidDel="00000000" w:rsidR="00000000" w:rsidRPr="00000000">
              <w:rPr>
                <w:rtl w:val="0"/>
              </w:rPr>
            </w:r>
          </w:p>
          <w:p w:rsidR="00000000" w:rsidDel="00000000" w:rsidP="00000000" w:rsidRDefault="00000000" w:rsidRPr="00000000" w14:paraId="0000004B">
            <w:pPr>
              <w:jc w:val="both"/>
              <w:rPr>
                <w:rFonts w:ascii="Calibri" w:cs="Calibri" w:eastAsia="Calibri" w:hAnsi="Calibri"/>
                <w:color w:val="8064a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0" w:before="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tc>
      </w:tr>
      <w:tr>
        <w:trPr>
          <w:cantSplit w:val="0"/>
          <w:trHeight w:val="15266.445312499998"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2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rPr>
                <w:sz w:val="22"/>
                <w:szCs w:val="22"/>
                <w:vertAlign w:val="baseline"/>
              </w:rPr>
            </w:pPr>
            <w:bookmarkStart w:colFirst="0" w:colLast="0" w:name="_38lob638kf6b" w:id="7"/>
            <w:bookmarkEnd w:id="7"/>
            <w:r w:rsidDel="00000000" w:rsidR="00000000" w:rsidRPr="00000000">
              <w:rPr>
                <w:sz w:val="22"/>
                <w:szCs w:val="22"/>
                <w:vertAlign w:val="baseline"/>
                <w:rtl w:val="0"/>
              </w:rPr>
              <w:t xml:space="preserve">Funcionalidades</w:t>
            </w:r>
          </w:p>
        </w:tc>
        <w:tc>
          <w:tcPr>
            <w:tcBorders>
              <w:top w:color="000000" w:space="0" w:sz="8" w:val="single"/>
            </w:tcBorders>
          </w:tcPr>
          <w:p w:rsidR="00000000" w:rsidDel="00000000" w:rsidP="00000000" w:rsidRDefault="00000000" w:rsidRPr="00000000" w14:paraId="0000005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b w:val="1"/>
                <w:bCs w:val="1"/>
                <w:rtl w:val="0"/>
              </w:rPr>
              <w:t xml:space="preserve">Crear tu acuario desde cero</w:t>
            </w:r>
          </w:p>
          <w:p w:rsidR="00000000" w:rsidDel="00000000" w:rsidP="00000000" w:rsidRDefault="00000000" w:rsidRPr="00000000" w14:paraId="0000005A">
            <w:pPr>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 Gestión de Capacidad del Acuario</w:t>
            </w:r>
          </w:p>
          <w:p w:rsidR="00000000" w:rsidDel="00000000" w:rsidP="00000000" w:rsidRDefault="00000000" w:rsidRPr="00000000" w14:paraId="0000005C">
            <w:pPr>
              <w:numPr>
                <w:ilvl w:val="0"/>
                <w:numId w:val="2"/>
              </w:numPr>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Configuración inicial del tanque: </w:t>
            </w:r>
            <w:r w:rsidDel="00000000" w:rsidR="00000000" w:rsidRPr="00000000">
              <w:rPr>
                <w:rFonts w:ascii="Calibri" w:cs="Calibri" w:eastAsia="Calibri" w:hAnsi="Calibri"/>
                <w:rtl w:val="0"/>
              </w:rPr>
              <w:t xml:space="preserve">Permite al usuario definir el tamaño del entorno ingresando ya sea el volumen/litraje del acuario o en dado caso, las medidas de su acuario.</w:t>
            </w:r>
          </w:p>
          <w:p w:rsidR="00000000" w:rsidDel="00000000" w:rsidP="00000000" w:rsidRDefault="00000000" w:rsidRPr="00000000" w14:paraId="0000005D">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Cálculo de carga biológica: </w:t>
            </w:r>
            <w:r w:rsidDel="00000000" w:rsidR="00000000" w:rsidRPr="00000000">
              <w:rPr>
                <w:rFonts w:ascii="Calibri" w:cs="Calibri" w:eastAsia="Calibri" w:hAnsi="Calibri"/>
                <w:rtl w:val="0"/>
              </w:rPr>
              <w:t xml:space="preserve">El sistema mide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el impacto metabólico de cada pez y calcular el volumen real del tanque para asegurar que pueda soportar los desechos generados, previniendo la sobrepoblación</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0" w:before="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Selección de Especies y Compatibilidad</w:t>
            </w:r>
          </w:p>
          <w:p w:rsidR="00000000" w:rsidDel="00000000" w:rsidP="00000000" w:rsidRDefault="00000000" w:rsidRPr="00000000" w14:paraId="00000061">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Selección de especies: </w:t>
            </w:r>
            <w:r w:rsidDel="00000000" w:rsidR="00000000" w:rsidRPr="00000000">
              <w:rPr>
                <w:rFonts w:ascii="Calibri" w:cs="Calibri" w:eastAsia="Calibri" w:hAnsi="Calibri"/>
                <w:rtl w:val="0"/>
              </w:rPr>
              <w:t xml:space="preserve">el usuario podrá seleccionar las especies dentro un catálogo de distintas especies de peces clasificadas según: su popularidad, facilidad de mantenimiento y litrajes mínimos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Validación de compatibilidad:</w:t>
            </w:r>
            <w:r w:rsidDel="00000000" w:rsidR="00000000" w:rsidRPr="00000000">
              <w:rPr>
                <w:rFonts w:ascii="Calibri" w:cs="Calibri" w:eastAsia="Calibri" w:hAnsi="Calibri"/>
                <w:rtl w:val="0"/>
              </w:rPr>
              <w:t xml:space="preserve"> Al usuario ingresar las especies de peces de su interés el sistema valida si las especies pueden convivir mediante el análisis de su temperamento, requerimientos de agua base, comportamiento territorial y tamaño adulto</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Gestión de ocupación por nivel de nado:</w:t>
            </w:r>
            <w:r w:rsidDel="00000000" w:rsidR="00000000" w:rsidRPr="00000000">
              <w:rPr>
                <w:rFonts w:ascii="Calibri" w:cs="Calibri" w:eastAsia="Calibri" w:hAnsi="Calibri"/>
                <w:rtl w:val="0"/>
              </w:rPr>
              <w:t xml:space="preserve"> El sistema analiza si la distribución espacial de las especies seleccionadas (superficie, zona media y fondo) para evitar la saturación territorial en áreas específicas, promoviendo un entorno armónico y libre de estrés.</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0" w:before="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1.3 Soporte del Ecosistema y Resolución de Problemas</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Validación técnica de equipamiento: </w:t>
            </w:r>
            <w:r w:rsidDel="00000000" w:rsidR="00000000" w:rsidRPr="00000000">
              <w:rPr>
                <w:rFonts w:ascii="Calibri" w:cs="Calibri" w:eastAsia="Calibri" w:hAnsi="Calibri"/>
                <w:rtl w:val="0"/>
              </w:rPr>
              <w:t xml:space="preserve">El sistema  verifica que la decoración y el sustrato sean seguros para las especies. Además, cruza el volumen del tanque con el caudal del filtro (litros por hora) para alertar al usuario si la capacidad de filtración será insuficiente.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Resolución guiada de conflictos:</w:t>
            </w:r>
            <w:r w:rsidDel="00000000" w:rsidR="00000000" w:rsidRPr="00000000">
              <w:rPr>
                <w:rFonts w:ascii="Calibri" w:cs="Calibri" w:eastAsia="Calibri" w:hAnsi="Calibri"/>
                <w:rtl w:val="0"/>
              </w:rPr>
              <w:t xml:space="preserve"> Al detectar un error, el sistema “pausa” el proceso para explicar el problema de forma simple y ofrece botones de acción directa para solucionarlo (ej. "Reemplazar alguna de las especies en conflict", "Aumentar volumen del tanque")</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0"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 Resultados y guías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Generación de resultados: </w:t>
            </w:r>
            <w:r w:rsidDel="00000000" w:rsidR="00000000" w:rsidRPr="00000000">
              <w:rPr>
                <w:rFonts w:ascii="Calibri" w:cs="Calibri" w:eastAsia="Calibri" w:hAnsi="Calibri"/>
                <w:rtl w:val="0"/>
              </w:rPr>
              <w:t xml:space="preserve"> Emisión de un resumen final de los componentes seleccionados, la viabilidad del acuario y un listado de las recomendaciones generales (parámetros ideales, cambios de agua, guías de ciclado, proceso de aclimatación y consejos de alimentación) para que el usuario tome en cuenta.</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Impresión de los componentes:</w:t>
            </w:r>
            <w:r w:rsidDel="00000000" w:rsidR="00000000" w:rsidRPr="00000000">
              <w:rPr>
                <w:rFonts w:ascii="Calibri" w:cs="Calibri" w:eastAsia="Calibri" w:hAnsi="Calibri"/>
                <w:rtl w:val="0"/>
              </w:rPr>
              <w:t xml:space="preserve"> El usuario podrá imprimir los componentes y resultados de su acuario en un formato de archivo. </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Calendario  de mantenimiento: </w:t>
            </w:r>
            <w:r w:rsidDel="00000000" w:rsidR="00000000" w:rsidRPr="00000000">
              <w:rPr>
                <w:rFonts w:ascii="Calibri" w:cs="Calibri" w:eastAsia="Calibri" w:hAnsi="Calibri"/>
                <w:rtl w:val="0"/>
              </w:rPr>
              <w:t xml:space="preserve">Con base en el acuario el sistema podra generar un calendario sobre cuándo realizar rutinas de mantenimiento, como el porcentaje de cambios de agua, limpieza del filtro y monitoreo de parámetros.</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7">
            <w:pPr>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Creación de acuarios con experiencia</w:t>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79">
            <w:pPr>
              <w:keepNext w:val="0"/>
              <w:keepLines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before="0" w:line="220"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Modo sin restricciones: </w:t>
            </w:r>
            <w:r w:rsidDel="00000000" w:rsidR="00000000" w:rsidRPr="00000000">
              <w:rPr>
                <w:rFonts w:ascii="Calibri" w:cs="Calibri" w:eastAsia="Calibri" w:hAnsi="Calibri"/>
                <w:rtl w:val="0"/>
              </w:rPr>
              <w:t xml:space="preserve">Para usuarios con mayor experiencia el sistema les brindará una opción rápida y sencilla para que puedan validar sus futuros o actuales acuarios, dicho sistema funcionará de la misma manera que “Arma tu acuario desde cero” pero con mayor libertad y sin interrupciones que requieran resolución, únicamente advertencias informativas.   </w:t>
            </w:r>
            <w:r w:rsidDel="00000000" w:rsidR="00000000" w:rsidRPr="00000000">
              <w:rPr>
                <w:rtl w:val="0"/>
              </w:rPr>
            </w:r>
          </w:p>
          <w:p w:rsidR="00000000" w:rsidDel="00000000" w:rsidP="00000000" w:rsidRDefault="00000000" w:rsidRPr="00000000" w14:paraId="0000007A">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20" w:lineRule="auto"/>
              <w:ind w:left="72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keepNext w:val="0"/>
              <w:keepLines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2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8064a2"/>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rPr>
            </w:pPr>
            <w:r w:rsidDel="00000000" w:rsidR="00000000" w:rsidRPr="00000000">
              <w:rPr>
                <w:rtl w:val="0"/>
              </w:rPr>
            </w:r>
          </w:p>
        </w:tc>
      </w:tr>
      <w:tr>
        <w:trPr>
          <w:cantSplit w:val="0"/>
          <w:trHeight w:val="970"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2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1"/>
              <w:rPr>
                <w:vertAlign w:val="baseline"/>
              </w:rPr>
            </w:pPr>
            <w:bookmarkStart w:colFirst="0" w:colLast="0" w:name="_qmd4j0ks7xdy" w:id="8"/>
            <w:bookmarkEnd w:id="8"/>
            <w:r w:rsidDel="00000000" w:rsidR="00000000" w:rsidRPr="00000000">
              <w:rPr>
                <w:vertAlign w:val="baseline"/>
                <w:rtl w:val="0"/>
              </w:rPr>
              <w:t xml:space="preserve">Trabajos relacionados</w:t>
            </w:r>
          </w:p>
        </w:tc>
        <w:tc>
          <w:tcPr>
            <w:tcBorders>
              <w:top w:color="000000" w:space="0" w:sz="8" w:val="single"/>
              <w:bottom w:color="000000" w:space="0" w:sz="8" w:val="single"/>
            </w:tcBorders>
          </w:tcPr>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color w:val="8064a2"/>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A continuación, se presentan las referencias y bibliografía de plataformas existentes y artículos científicos relacionados con el desarrollo de NETZA-TANK, estructurados en formato IEEE: </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1. [1] AqAdvisor, "AqAdvisor - Intelligent Freshwater Aquarium Calculator." [En línea]. Disponible en: https://aqadvisor.com/ </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Descripción: AqAdvisor es una de las soluciones más populares en la acuariofilia para el cálculo de la carga biológica y la sugerencia de rutinas de mantenimiento (como el porcentaje de cambios de agua). Sin embargo, la plataforma utiliza formularios estáticos y desactualizados que asumen que el usuario ya conoce los principios básicos de la química del agua. Su modelo permite al usuario configurar un ecosistema erróneo y arroja una alerta de sobrepoblación o incompatibilidad solo hasta el final del proceso. Esta limitación justifica el enfoque preventivo de NETZA-TANK, el cual bloquea las incompatibilidades  en tiempo real y sugiere alternativas viables mediante una interfaz más amigable. </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2. [2] FishHuddle, "FishHuddle - Aquarium Community and Compatibility." [En línea]. Disponible en: https://fishhuddle.com/ </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Descripción: FishHuddle ofrece herramientas para analizar la compatibilidad de requerimientos de agua (pH, temperatura) y temperamento entre especies. Aunque es útil, carece de un enfoque de ecosistema completo, ya que solo se centra en los peces y los parámetros del agua. A diferencia de FishHuddle, NETZA-TANK valida todo el entorno, incluyendo la compatibilidad del sustrato y la decoración, e integra guías educativas sobre el ciclado del acuario. </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3. [3] D. S. Rucinque, A. P. O. Souza, y C. F. M. Molento, "Perception of Fish Sentience, Welfare and Humane Slaughter by Highly Educated Citizens of Bogotá, Colombia and Curitiba, Brazil," PLoS ONE, vol. 12, no. 1, p. e0168197, 2017. </w:t>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Descripción: Para fundamentar el problema de la empatía hacia las especies acuáticas, Rucinque, Souza y Molento exploran cómo los ciudadanos perciben la sintiencia y el bienestar de los peces. Los autores evidencian que al no verlos como seres plenamente conscientes, las personas normalizan su maltrato y pierden el interés por aprender sobre sus cuidados básicos. La investigación de estos autores se integra directamente en los objetivos de NETZA-TANK, que busca utilizar la usabilidad y el diseño visual para romper esta barrera de empatía y educar al usuario. </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4. [4] C. M. Maia, A. C. d. S. Gauy, y E. Gonçalves-de-Freitas, "Fish Welfare in the Ornamental Trade: Stress Factors, Legislation, and Emerging Initiatives," Fishes, vol. 10, no. 5, p. 224, 2025. </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Descripción: En el contexto del comercio de peces como mascotas, Maia, Gauy y Gonçalves-de-Freitas examinan los factores de estrés a los que son sometidas las especies ornamentales. Los autores señalan la urgencia de establecer iniciativas emergentes que garanticen el bienestar en los acuarios caseros. Siguiendo la postura de estos autores, NETZA-TANK incorpora un sistema de soporte que detecta y avisa sobre necesidades específicas de hábitat , previniendo el estrés animal desde el momento de la planificación. </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5. [5] R. G. Oldfield y E. K. Murphy, "Life in a fishbowl: Space and environmental enrichment affect behaviour of Betta splendens," Animal welfare, vol. 33, p. e1, 2024. </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Descripción: Abordando el error común de comprar peceras insuficientes o circulares , Oldfield y Murphy demuestran empíricamente cómo la falta de espacio y de enriquecimiento ambiental afecta de manera negativa el comportamiento de los peces. Los hallazgos de estos autores respaldan la funcionalidad de "Análisis de Capacidad" de NETZA-TANK, la cual calcula el volumen real del tanque para prevenir la sobrepoblación y valida que la decoración sea adecuada. </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6. [6] Seriously Fish, "Seriously Fish." [En línea]. Disponible en:</w:t>
            </w:r>
            <w:hyperlink r:id="rId9">
              <w:r w:rsidDel="00000000" w:rsidR="00000000" w:rsidRPr="00000000">
                <w:rPr>
                  <w:rFonts w:ascii="Calibri" w:cs="Calibri" w:eastAsia="Calibri" w:hAnsi="Calibri"/>
                  <w:rtl w:val="0"/>
                </w:rPr>
                <w:t xml:space="preserve"> </w:t>
              </w:r>
            </w:hyperlink>
            <w:hyperlink r:id="rId10">
              <w:r w:rsidDel="00000000" w:rsidR="00000000" w:rsidRPr="00000000">
                <w:rPr>
                  <w:rFonts w:ascii="Calibri" w:cs="Calibri" w:eastAsia="Calibri" w:hAnsi="Calibri"/>
                  <w:color w:val="1155cc"/>
                  <w:u w:val="single"/>
                  <w:rtl w:val="0"/>
                </w:rPr>
                <w:t xml:space="preserve">http://www.seriouslyfish.com/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Descripción: Seriously Fish es uno de los directorios y bases de datos más completos y consultados en la acuariofilia a nivel mundial. Proporciona información exhaustiva sobre la compatibilidad entre especies, parámetros exactos del agua y requerimientos dietéticos. No obstante, su modelo exige que el usuario busque cada especie de forma individual y cruce los datos biológicos y químicos manualmente para determinar si pueden coexistir, lo cual resulta complejo y propenso a errores para un principiante. Esta limitación resalta el valor de NETZA-TANK, que automatiza el análisis y cruce de toda esta información en tiempo real, validando la compatibilidad del ecosistema de manera proactiva e interactiva sin obligar al usuario a investigar por su cuenta.</w:t>
            </w:r>
          </w:p>
          <w:p w:rsidR="00000000" w:rsidDel="00000000" w:rsidP="00000000" w:rsidRDefault="00000000" w:rsidRPr="00000000" w14:paraId="0000009E">
            <w:pPr>
              <w:spacing w:after="240" w:before="240" w:lineRule="auto"/>
              <w:ind w:left="0" w:firstLine="0"/>
              <w:rPr>
                <w:rFonts w:ascii="Calibri" w:cs="Calibri" w:eastAsia="Calibri" w:hAnsi="Calibri"/>
                <w:color w:val="1155cc"/>
                <w:u w:val="single"/>
              </w:rPr>
            </w:pPr>
            <w:r w:rsidDel="00000000" w:rsidR="00000000" w:rsidRPr="00000000">
              <w:rPr>
                <w:rFonts w:ascii="Calibri" w:cs="Calibri" w:eastAsia="Calibri" w:hAnsi="Calibri"/>
                <w:rtl w:val="0"/>
              </w:rPr>
              <w:t xml:space="preserve">7. [7] Aqua Diary (AcuaDiario), "Tu diario de acuario - Aqua Diary." [En línea]. Disponible en:</w:t>
            </w:r>
            <w:hyperlink r:id="rId11">
              <w:r w:rsidDel="00000000" w:rsidR="00000000" w:rsidRPr="00000000">
                <w:rPr>
                  <w:rFonts w:ascii="Calibri" w:cs="Calibri" w:eastAsia="Calibri" w:hAnsi="Calibri"/>
                  <w:rtl w:val="0"/>
                </w:rPr>
                <w:t xml:space="preserve"> </w:t>
              </w:r>
            </w:hyperlink>
            <w:hyperlink r:id="rId12">
              <w:r w:rsidDel="00000000" w:rsidR="00000000" w:rsidRPr="00000000">
                <w:rPr>
                  <w:rFonts w:ascii="Calibri" w:cs="Calibri" w:eastAsia="Calibri" w:hAnsi="Calibri"/>
                  <w:color w:val="1155cc"/>
                  <w:u w:val="single"/>
                  <w:rtl w:val="0"/>
                </w:rPr>
                <w:t xml:space="preserve">https://aqua-diary.com/es</w:t>
              </w:r>
            </w:hyperlink>
            <w:r w:rsidDel="00000000" w:rsidR="00000000" w:rsidRPr="00000000">
              <w:rPr>
                <w:rtl w:val="0"/>
              </w:rPr>
            </w:r>
          </w:p>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Descripción: Aqua Diary es una aplicación diseñada como una bitácora digital para acuaristas. Su función principal es permitir al usuario registrar mediciones de los parámetros del agua, organizar tareas de mantenimiento mediante un calendario con alarmas y llevar un historial fotográfico del tanque. Aunque es una herramienta útil para el monitoreo a largo plazo, su enfoque es de registro y no de prevención. No cuenta con un simulador que evalúe proactivamente la compatibilidad de las especies, ni la viabilidad técnica del equipo antes de que el usuario lo instale. Esta característica refuerza la propuesta de valor de NETZA-TANK, que actúa desde el inicio como una guía interactiva que bloquea combinaciones erróneas y educa al usuario antes de que ocurra un problema, en lugar de limitarse a documentar un ecosistema ya creado.</w:t>
            </w:r>
          </w:p>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tc>
      </w:tr>
      <w:tr>
        <w:trPr>
          <w:cantSplit w:val="0"/>
          <w:trHeight w:val="1253" w:hRule="atLeast"/>
          <w:tblHeader w:val="0"/>
        </w:trPr>
        <w:tc>
          <w:tcPr/>
          <w:p w:rsidR="00000000" w:rsidDel="00000000" w:rsidP="00000000" w:rsidRDefault="00000000" w:rsidRPr="00000000" w14:paraId="000000A2">
            <w:pPr>
              <w:pStyle w:val="Heading1"/>
              <w:rPr>
                <w:rFonts w:ascii="Calibri" w:cs="Calibri" w:eastAsia="Calibri" w:hAnsi="Calibri"/>
                <w:sz w:val="24"/>
                <w:szCs w:val="24"/>
                <w:vertAlign w:val="baseline"/>
              </w:rPr>
            </w:pPr>
            <w:bookmarkStart w:colFirst="0" w:colLast="0" w:name="_92adpzym3mj7" w:id="9"/>
            <w:bookmarkEnd w:id="9"/>
            <w:r w:rsidDel="00000000" w:rsidR="00000000" w:rsidRPr="00000000">
              <w:rPr>
                <w:rtl w:val="0"/>
              </w:rPr>
            </w:r>
          </w:p>
          <w:p w:rsidR="00000000" w:rsidDel="00000000" w:rsidP="00000000" w:rsidRDefault="00000000" w:rsidRPr="00000000" w14:paraId="000000A3">
            <w:pPr>
              <w:pStyle w:val="Heading1"/>
              <w:rPr>
                <w:rFonts w:ascii="Calibri" w:cs="Calibri" w:eastAsia="Calibri" w:hAnsi="Calibri"/>
                <w:sz w:val="24"/>
                <w:szCs w:val="24"/>
                <w:vertAlign w:val="baseline"/>
              </w:rPr>
            </w:pPr>
            <w:bookmarkStart w:colFirst="0" w:colLast="0" w:name="_s80y0xw5hrc" w:id="10"/>
            <w:bookmarkEnd w:id="10"/>
            <w:r w:rsidDel="00000000" w:rsidR="00000000" w:rsidRPr="00000000">
              <w:rPr>
                <w:rFonts w:ascii="Calibri" w:cs="Calibri" w:eastAsia="Calibri" w:hAnsi="Calibri"/>
                <w:sz w:val="24"/>
                <w:szCs w:val="24"/>
                <w:vertAlign w:val="baseline"/>
                <w:rtl w:val="0"/>
              </w:rPr>
              <w:t xml:space="preserve">Plan de investigación</w:t>
            </w:r>
          </w:p>
        </w:tc>
        <w:tc>
          <w:tcPr>
            <w:tcBorders>
              <w:top w:color="000000" w:space="0" w:sz="8" w:val="single"/>
              <w:bottom w:color="000000" w:space="0" w:sz="8" w:val="single"/>
            </w:tcBorders>
          </w:tcPr>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tc>
      </w:tr>
      <w:tr>
        <w:trPr>
          <w:cantSplit w:val="0"/>
          <w:trHeight w:val="1253" w:hRule="atLeast"/>
          <w:tblHeader w:val="0"/>
        </w:trPr>
        <w:tc>
          <w:tcPr/>
          <w:p w:rsidR="00000000" w:rsidDel="00000000" w:rsidP="00000000" w:rsidRDefault="00000000" w:rsidRPr="00000000" w14:paraId="000000A6">
            <w:pPr>
              <w:pStyle w:val="Heading1"/>
              <w:rPr>
                <w:rFonts w:ascii="Calibri" w:cs="Calibri" w:eastAsia="Calibri" w:hAnsi="Calibri"/>
                <w:sz w:val="24"/>
                <w:szCs w:val="24"/>
                <w:vertAlign w:val="baseline"/>
              </w:rPr>
            </w:pPr>
            <w:bookmarkStart w:colFirst="0" w:colLast="0" w:name="_xfub9weyenft" w:id="11"/>
            <w:bookmarkEnd w:id="11"/>
            <w:r w:rsidDel="00000000" w:rsidR="00000000" w:rsidRPr="00000000">
              <w:rPr>
                <w:rFonts w:ascii="Calibri" w:cs="Calibri" w:eastAsia="Calibri" w:hAnsi="Calibri"/>
                <w:sz w:val="24"/>
                <w:szCs w:val="24"/>
                <w:vertAlign w:val="baseline"/>
                <w:rtl w:val="0"/>
              </w:rPr>
              <w:t xml:space="preserve">Plan de actividades</w:t>
            </w:r>
          </w:p>
        </w:tc>
        <w:tc>
          <w:tcPr>
            <w:tcBorders>
              <w:top w:color="000000" w:space="0" w:sz="8" w:val="single"/>
              <w:bottom w:color="000000" w:space="0" w:sz="8" w:val="single"/>
            </w:tcBorders>
          </w:tcPr>
          <w:p w:rsidR="00000000" w:rsidDel="00000000" w:rsidP="00000000" w:rsidRDefault="00000000" w:rsidRPr="00000000" w14:paraId="000000A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A8">
      <w:pPr>
        <w:pStyle w:val="Heading1"/>
        <w:rPr/>
      </w:pPr>
      <w:bookmarkStart w:colFirst="0" w:colLast="0" w:name="_meg9qe4b0hjo" w:id="12"/>
      <w:bookmarkEnd w:id="12"/>
      <w:r w:rsidDel="00000000" w:rsidR="00000000" w:rsidRPr="00000000">
        <w:rPr>
          <w:rtl w:val="0"/>
        </w:rPr>
        <w:t xml:space="preserve">Conclusiones</w:t>
      </w:r>
    </w:p>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rtl w:val="0"/>
        </w:rPr>
        <w:t xml:space="preserve">Este proyecto representa una solución confiable y preventiva frente  a la desinformación y la barrera de la empatía que predomina en la acuariofilia principiante, además de ser una herramienta que puede ser usada por gente con mayor experiencia para validar la viabilidad de sus proyectos. A través de nuestras funcionalidades que abarcan desde la planificación del proyecto hasta el mantenimiento buscamos que el usuario se sienta seguro y confiado durante todo el proceso y pueda gestionar más fácilmente su acuario. Para poder cumplir esta visión, el trabajo se distribuye entre un equipo de cinco responsables , ejecutándose en un tiempo definido mediante fases secuenciales que avanzan desde la investigación empírica hasta el prototipado iterativo y las pruebas de usabilidad. En cuanto a los costos, la inversión principal será en el esfuerzo humano dedicado al diseño, aplicación y análisis de los diversos métodos de recolección de datos. Finalmente, entre las cuestiones abiertas a resolver durante el proceso, destaca el reto de analizar e identificar las discrepancias entre el comportamiento que los usuarios dicen y el que realmente hacen , así como asegurar la disponibilidad de expertos técnicos cuyas entrevistas son vitales para validar el conocimiento que ofrecerá el sistema.</w:t>
      </w:r>
    </w:p>
    <w:p w:rsidR="00000000" w:rsidDel="00000000" w:rsidP="00000000" w:rsidRDefault="00000000" w:rsidRPr="00000000" w14:paraId="000000AA">
      <w:pPr>
        <w:jc w:val="both"/>
        <w:rPr>
          <w:rFonts w:ascii="Calibri" w:cs="Calibri" w:eastAsia="Calibri" w:hAnsi="Calibri"/>
          <w:color w:val="8064a2"/>
        </w:rPr>
      </w:pPr>
      <w:r w:rsidDel="00000000" w:rsidR="00000000" w:rsidRPr="00000000">
        <w:rPr>
          <w:rtl w:val="0"/>
        </w:rPr>
      </w:r>
    </w:p>
    <w:sectPr>
      <w:type w:val="nextPage"/>
      <w:pgSz w:h="15840" w:w="12240" w:orient="portrait"/>
      <w:pgMar w:bottom="1267" w:top="180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Verdan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20"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-489583</wp:posOffset>
          </wp:positionH>
          <wp:positionV relativeFrom="paragraph">
            <wp:posOffset>-382904</wp:posOffset>
          </wp:positionV>
          <wp:extent cx="1619250" cy="1204595"/>
          <wp:effectExtent b="0" l="0" r="0" t="0"/>
          <wp:wrapNone/>
          <wp:docPr descr="logo uady2" id="4" name="image1.jpg"/>
          <a:graphic>
            <a:graphicData uri="http://schemas.openxmlformats.org/drawingml/2006/picture">
              <pic:pic>
                <pic:nvPicPr>
                  <pic:cNvPr descr="logo uady2" id="0" name="image1.jpg"/>
                  <pic:cNvPicPr preferRelativeResize="0"/>
                </pic:nvPicPr>
                <pic:blipFill>
                  <a:blip r:embed="rId1"/>
                  <a:srcRect b="0" l="0" r="0" t="0"/>
                  <a:stretch>
                    <a:fillRect/>
                  </a:stretch>
                </pic:blipFill>
                <pic:spPr>
                  <a:xfrm>
                    <a:off x="0" y="0"/>
                    <a:ext cx="1619250" cy="12045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1114425</wp:posOffset>
              </wp:positionH>
              <wp:positionV relativeFrom="paragraph">
                <wp:posOffset>-285749</wp:posOffset>
              </wp:positionV>
              <wp:extent cx="3524250" cy="794872"/>
              <wp:effectExtent b="0" l="0" r="0" t="0"/>
              <wp:wrapNone/>
              <wp:docPr id="1" name=""/>
              <a:graphic>
                <a:graphicData uri="http://schemas.microsoft.com/office/word/2010/wordprocessingShape">
                  <wps:wsp>
                    <wps:cNvSpPr/>
                    <wps:cNvPr id="2" name="Shape 2"/>
                    <wps:spPr>
                      <a:xfrm>
                        <a:off x="3602925" y="3394238"/>
                        <a:ext cx="3486150" cy="77152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0" w:line="240"/>
                            <w:ind w:left="-72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t xml:space="preserve">Título del Documento: </w:t>
                          </w:r>
                          <w:r w:rsidDel="00000000" w:rsidR="00000000" w:rsidRPr="00000000">
                            <w:rPr>
                              <w:rFonts w:ascii="Times" w:cs="Times" w:eastAsia="Times" w:hAnsi="Times"/>
                              <w:b w:val="0"/>
                              <w:i w:val="0"/>
                              <w:smallCaps w:val="0"/>
                              <w:strike w:val="0"/>
                              <w:color w:val="000000"/>
                              <w:sz w:val="20"/>
                              <w:vertAlign w:val="baseline"/>
                            </w:rPr>
                            <w:t xml:space="preserve">Guía de definición del proyecto.</w:t>
                          </w:r>
                        </w:p>
                        <w:p w:rsidR="00000000" w:rsidDel="00000000" w:rsidP="00000000" w:rsidRDefault="00000000" w:rsidRPr="00000000">
                          <w:pPr>
                            <w:spacing w:after="20" w:before="0" w:line="240"/>
                            <w:ind w:left="0" w:right="0" w:firstLine="0"/>
                            <w:jc w:val="left"/>
                            <w:textDirection w:val="btLr"/>
                          </w:pPr>
                          <w:r w:rsidDel="00000000" w:rsidR="00000000" w:rsidRPr="00000000">
                            <w:rPr>
                              <w:rFonts w:ascii="Times" w:cs="Times" w:eastAsia="Times" w:hAnsi="Times"/>
                              <w:b w:val="0"/>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ORGANIZACIÓN PATROCINANTE: FMAT-UADY</w:t>
                          </w:r>
                        </w:p>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r>
                          <w:r w:rsidDel="00000000" w:rsidR="00000000" w:rsidRPr="00000000">
                            <w:rPr>
                              <w:rFonts w:ascii="Times" w:cs="Times" w:eastAsia="Times" w:hAnsi="Times"/>
                              <w:b w:val="1"/>
                              <w:i w:val="0"/>
                              <w:smallCaps w:val="0"/>
                              <w:strike w:val="0"/>
                              <w:color w:val="000000"/>
                              <w:sz w:val="20"/>
                              <w:vertAlign w:val="baseline"/>
                            </w:rPr>
                            <w:t xml:space="preserve">PROYECTO: </w:t>
                          </w:r>
                          <w:r w:rsidDel="00000000" w:rsidR="00000000" w:rsidRPr="00000000">
                            <w:rPr>
                              <w:rFonts w:ascii="Times" w:cs="Times" w:eastAsia="Times" w:hAnsi="Times"/>
                              <w:b w:val="1"/>
                              <w:i w:val="0"/>
                              <w:smallCaps w:val="0"/>
                              <w:strike w:val="0"/>
                              <w:color w:val="8064a2"/>
                              <w:sz w:val="20"/>
                              <w:vertAlign w:val="baseline"/>
                            </w:rPr>
                            <w:t xml:space="preserve">[</w:t>
                          </w:r>
                          <w:r w:rsidDel="00000000" w:rsidR="00000000" w:rsidRPr="00000000">
                            <w:rPr>
                              <w:rFonts w:ascii="Times" w:cs="Times" w:eastAsia="Times" w:hAnsi="Times"/>
                              <w:b w:val="1"/>
                              <w:i w:val="0"/>
                              <w:smallCaps w:val="0"/>
                              <w:strike w:val="0"/>
                              <w:color w:val="8064a2"/>
                              <w:sz w:val="20"/>
                              <w:vertAlign w:val="baseline"/>
                            </w:rPr>
                            <w:t xml:space="preserve">Netza-Tank</w:t>
                          </w:r>
                          <w:r w:rsidDel="00000000" w:rsidR="00000000" w:rsidRPr="00000000">
                            <w:rPr>
                              <w:rFonts w:ascii="Times" w:cs="Times" w:eastAsia="Times" w:hAnsi="Times"/>
                              <w:b w:val="1"/>
                              <w:i w:val="0"/>
                              <w:smallCaps w:val="0"/>
                              <w:strike w:val="0"/>
                              <w:color w:val="8064a2"/>
                              <w:sz w:val="20"/>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-285749</wp:posOffset>
              </wp:positionV>
              <wp:extent cx="3524250" cy="794872"/>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524250" cy="7948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4600575</wp:posOffset>
              </wp:positionH>
              <wp:positionV relativeFrom="paragraph">
                <wp:posOffset>0</wp:posOffset>
              </wp:positionV>
              <wp:extent cx="1673860" cy="523875"/>
              <wp:effectExtent b="0" l="0" r="0" t="0"/>
              <wp:wrapNone/>
              <wp:docPr id="3" name=""/>
              <a:graphic>
                <a:graphicData uri="http://schemas.microsoft.com/office/word/2010/wordprocessingShape">
                  <wps:wsp>
                    <wps:cNvSpPr/>
                    <wps:cNvPr id="4" name="Shape 4"/>
                    <wps:spPr>
                      <a:xfrm>
                        <a:off x="4528120" y="3537113"/>
                        <a:ext cx="1635760" cy="485775"/>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99999046325684"/>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Fecha: </w:t>
                          </w:r>
                          <w:r w:rsidDel="00000000" w:rsidR="00000000" w:rsidRPr="00000000">
                            <w:rPr>
                              <w:rFonts w:ascii="Arial" w:cs="Arial" w:eastAsia="Arial" w:hAnsi="Arial"/>
                              <w:b w:val="1"/>
                              <w:i w:val="0"/>
                              <w:smallCaps w:val="0"/>
                              <w:strike w:val="0"/>
                              <w:color w:val="8064a2"/>
                              <w:sz w:val="20"/>
                              <w:vertAlign w:val="baseline"/>
                            </w:rPr>
                            <w:t xml:space="preserve">[fecha de rev]</w:t>
                          </w:r>
                        </w:p>
                        <w:p w:rsidR="00000000" w:rsidDel="00000000" w:rsidP="00000000" w:rsidRDefault="00000000" w:rsidRPr="00000000">
                          <w:pPr>
                            <w:spacing w:after="20" w:before="20" w:line="219.99999046325684"/>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4600575</wp:posOffset>
              </wp:positionH>
              <wp:positionV relativeFrom="paragraph">
                <wp:posOffset>0</wp:posOffset>
              </wp:positionV>
              <wp:extent cx="1673860" cy="523875"/>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673860" cy="523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4600575</wp:posOffset>
              </wp:positionH>
              <wp:positionV relativeFrom="paragraph">
                <wp:posOffset>-285749</wp:posOffset>
              </wp:positionV>
              <wp:extent cx="1673860" cy="323850"/>
              <wp:effectExtent b="0" l="0" r="0" t="0"/>
              <wp:wrapNone/>
              <wp:docPr id="2" name=""/>
              <a:graphic>
                <a:graphicData uri="http://schemas.microsoft.com/office/word/2010/wordprocessingShape">
                  <wps:wsp>
                    <wps:cNvSpPr/>
                    <wps:cNvPr id="3" name="Shape 3"/>
                    <wps:spPr>
                      <a:xfrm>
                        <a:off x="4528120" y="3637125"/>
                        <a:ext cx="1635760" cy="285750"/>
                      </a:xfrm>
                      <a:prstGeom prst="rect">
                        <a:avLst/>
                      </a:prstGeom>
                      <a:solidFill>
                        <a:srgbClr val="FFFFFF"/>
                      </a:solidFill>
                      <a:ln cap="flat" cmpd="thinThick"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Revision: </w:t>
                          </w:r>
                          <w:r w:rsidDel="00000000" w:rsidR="00000000" w:rsidRPr="00000000">
                            <w:rPr>
                              <w:rFonts w:ascii="Arial" w:cs="Arial" w:eastAsia="Arial" w:hAnsi="Arial"/>
                              <w:b w:val="1"/>
                              <w:i w:val="0"/>
                              <w:smallCaps w:val="0"/>
                              <w:strike w:val="0"/>
                              <w:color w:val="8064a2"/>
                              <w:sz w:val="20"/>
                              <w:vertAlign w:val="baseline"/>
                            </w:rPr>
                            <w:t xml:space="preserve">[número rev]</w:t>
                          </w:r>
                        </w:p>
                        <w:p w:rsidR="00000000" w:rsidDel="00000000" w:rsidP="00000000" w:rsidRDefault="00000000" w:rsidRPr="00000000">
                          <w:pPr>
                            <w:spacing w:after="20" w:before="20" w:line="219.99999046325684"/>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4600575</wp:posOffset>
              </wp:positionH>
              <wp:positionV relativeFrom="paragraph">
                <wp:posOffset>-285749</wp:posOffset>
              </wp:positionV>
              <wp:extent cx="1673860" cy="32385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673860" cy="3238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MX"/>
      </w:rPr>
    </w:rPrDefault>
    <w:pPrDefault>
      <w:pPr>
        <w:spacing w:after="20" w:before="20" w:line="2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qua-diary.com/es" TargetMode="External"/><Relationship Id="rId10" Type="http://schemas.openxmlformats.org/officeDocument/2006/relationships/hyperlink" Target="http://www.seriouslyfish.com/" TargetMode="External"/><Relationship Id="rId12" Type="http://schemas.openxmlformats.org/officeDocument/2006/relationships/hyperlink" Target="https://aqua-diary.com/es" TargetMode="External"/><Relationship Id="rId9" Type="http://schemas.openxmlformats.org/officeDocument/2006/relationships/hyperlink" Target="http://www.seriouslyfish.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