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8" w:val="single"/>
          <w:left w:space="0" w:sz="0" w:val="nil"/>
          <w:bottom w:space="0" w:sz="0" w:val="nil"/>
          <w:right w:space="0" w:sz="0" w:val="nil"/>
          <w:between w:space="0" w:sz="0" w:val="nil"/>
        </w:pBdr>
        <w:spacing w:after="0" w:before="960" w:line="240" w:lineRule="auto"/>
        <w:jc w:val="right"/>
        <w:rPr>
          <w:rFonts w:ascii="Arial" w:cs="Arial" w:eastAsia="Arial" w:hAnsi="Arial"/>
          <w:b w:val="1"/>
          <w:bCs w:val="1"/>
          <w:color w:val="000000"/>
          <w:sz w:val="28"/>
          <w:szCs w:val="28"/>
        </w:rPr>
      </w:pPr>
      <w:bookmarkStart w:colFirst="0" w:colLast="0" w:name="_heading=h.gkhl5ifs2rhe" w:id="0"/>
      <w:bookmarkEnd w:id="0"/>
      <w:r w:rsidDel="00000000" w:rsidR="00000000" w:rsidRPr="00000000">
        <w:rPr>
          <w:rFonts w:ascii="Arial" w:cs="Arial" w:eastAsia="Arial" w:hAnsi="Arial"/>
          <w:b w:val="1"/>
          <w:bCs w:val="1"/>
          <w:color w:val="000000"/>
          <w:sz w:val="28"/>
          <w:szCs w:val="28"/>
          <w:rtl w:val="0"/>
        </w:rPr>
        <w:tab/>
      </w:r>
    </w:p>
    <w:p w:rsidR="00000000" w:rsidDel="00000000" w:rsidP="00000000" w:rsidRDefault="00000000" w:rsidRPr="00000000" w14:paraId="00000002">
      <w:pPr>
        <w:pStyle w:val="Title"/>
        <w:spacing w:after="720" w:lineRule="auto"/>
        <w:rPr>
          <w:sz w:val="40"/>
          <w:szCs w:val="40"/>
        </w:rPr>
      </w:pPr>
      <w:bookmarkStart w:colFirst="0" w:colLast="0" w:name="_heading=h.qohrtneb8w6z" w:id="1"/>
      <w:bookmarkEnd w:id="1"/>
      <w:r w:rsidDel="00000000" w:rsidR="00000000" w:rsidRPr="00000000">
        <w:rPr>
          <w:rFonts w:ascii="Calibri" w:cs="Calibri" w:eastAsia="Calibri" w:hAnsi="Calibri"/>
          <w:sz w:val="72"/>
          <w:szCs w:val="72"/>
          <w:rtl w:val="0"/>
        </w:rPr>
        <w:t xml:space="preserve">Guía de definición del proyecto</w:t>
      </w:r>
      <w:r w:rsidDel="00000000" w:rsidR="00000000" w:rsidRPr="00000000">
        <w:rPr>
          <w:sz w:val="72"/>
          <w:szCs w:val="72"/>
          <w:rtl w:val="0"/>
        </w:rPr>
        <w:br w:type="textWrapping"/>
        <w:br w:type="textWrapping"/>
      </w:r>
      <w:r w:rsidDel="00000000" w:rsidR="00000000" w:rsidRPr="00000000">
        <w:rPr>
          <w:color w:val="8064a2"/>
          <w:sz w:val="40"/>
          <w:szCs w:val="40"/>
          <w:rtl w:val="0"/>
        </w:rPr>
        <w:t xml:space="preserve">NETZA-TANK</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720" w:before="240" w:lin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Versión </w:t>
      </w:r>
      <w:r w:rsidDel="00000000" w:rsidR="00000000" w:rsidRPr="00000000">
        <w:rPr>
          <w:rFonts w:ascii="Arial" w:cs="Arial" w:eastAsia="Arial" w:hAnsi="Arial"/>
          <w:b w:val="1"/>
          <w:bCs w:val="1"/>
          <w:color w:val="8064a2"/>
          <w:sz w:val="28"/>
          <w:szCs w:val="28"/>
          <w:rtl w:val="0"/>
        </w:rPr>
        <w:t xml:space="preserve">1</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Elaborado por:</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color w:val="8064a2"/>
          <w:sz w:val="28"/>
          <w:szCs w:val="28"/>
        </w:rPr>
      </w:pPr>
      <w:r w:rsidDel="00000000" w:rsidR="00000000" w:rsidRPr="00000000">
        <w:rPr>
          <w:rFonts w:ascii="Arial" w:cs="Arial" w:eastAsia="Arial" w:hAnsi="Arial"/>
          <w:b w:val="1"/>
          <w:bCs w:val="1"/>
          <w:color w:val="8064a2"/>
          <w:sz w:val="28"/>
          <w:szCs w:val="28"/>
          <w:rtl w:val="0"/>
        </w:rPr>
        <w:t xml:space="preserve">Chan torres Guiseph</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color w:val="8064a2"/>
          <w:sz w:val="28"/>
          <w:szCs w:val="28"/>
        </w:rPr>
      </w:pPr>
      <w:r w:rsidDel="00000000" w:rsidR="00000000" w:rsidRPr="00000000">
        <w:rPr>
          <w:rFonts w:ascii="Arial" w:cs="Arial" w:eastAsia="Arial" w:hAnsi="Arial"/>
          <w:b w:val="1"/>
          <w:bCs w:val="1"/>
          <w:color w:val="8064a2"/>
          <w:sz w:val="28"/>
          <w:szCs w:val="28"/>
          <w:rtl w:val="0"/>
        </w:rPr>
        <w:t xml:space="preserve">DeMartino Ricci Cristian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color w:val="8064a2"/>
          <w:sz w:val="28"/>
          <w:szCs w:val="28"/>
        </w:rPr>
      </w:pPr>
      <w:r w:rsidDel="00000000" w:rsidR="00000000" w:rsidRPr="00000000">
        <w:rPr>
          <w:rFonts w:ascii="Arial" w:cs="Arial" w:eastAsia="Arial" w:hAnsi="Arial"/>
          <w:b w:val="1"/>
          <w:bCs w:val="1"/>
          <w:color w:val="8064a2"/>
          <w:sz w:val="28"/>
          <w:szCs w:val="28"/>
          <w:rtl w:val="0"/>
        </w:rPr>
        <w:t xml:space="preserve">Romero Poot Carlos Emmanuel</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sz w:val="28"/>
          <w:szCs w:val="28"/>
        </w:rPr>
      </w:pPr>
      <w:r w:rsidDel="00000000" w:rsidR="00000000" w:rsidRPr="00000000">
        <w:rPr>
          <w:rFonts w:ascii="Arial" w:cs="Arial" w:eastAsia="Arial" w:hAnsi="Arial"/>
          <w:b w:val="1"/>
          <w:bCs w:val="1"/>
          <w:color w:val="8064a2"/>
          <w:sz w:val="28"/>
          <w:szCs w:val="28"/>
          <w:rtl w:val="0"/>
        </w:rPr>
        <w:t xml:space="preserve">  Novelo Góngora Aldrin</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0" w:line="360" w:lineRule="auto"/>
        <w:jc w:val="right"/>
        <w:rPr>
          <w:rFonts w:ascii="Arial" w:cs="Arial" w:eastAsia="Arial" w:hAnsi="Arial"/>
          <w:b w:val="1"/>
          <w:bCs w:val="1"/>
          <w:color w:val="8064a2"/>
          <w:sz w:val="28"/>
          <w:szCs w:val="28"/>
        </w:rPr>
        <w:sectPr>
          <w:headerReference r:id="rId7" w:type="default"/>
          <w:footerReference r:id="rId8" w:type="default"/>
          <w:footerReference r:id="rId9" w:type="even"/>
          <w:pgSz w:h="15840" w:w="12240" w:orient="portrait"/>
          <w:pgMar w:bottom="1440" w:top="1806" w:left="1440" w:right="1440" w:header="720" w:footer="720"/>
          <w:pgNumType w:start="1"/>
        </w:sectPr>
      </w:pPr>
      <w:r w:rsidDel="00000000" w:rsidR="00000000" w:rsidRPr="00000000">
        <w:rPr>
          <w:rFonts w:ascii="Arial" w:cs="Arial" w:eastAsia="Arial" w:hAnsi="Arial"/>
          <w:b w:val="1"/>
          <w:bCs w:val="1"/>
          <w:color w:val="8064a2"/>
          <w:sz w:val="28"/>
          <w:szCs w:val="28"/>
          <w:rtl w:val="0"/>
        </w:rPr>
        <w:t xml:space="preserve"> Vega Nolasco Erick Ricardo</w:t>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0" w:before="480" w:line="276" w:lineRule="auto"/>
        <w:jc w:val="center"/>
        <w:rPr>
          <w:color w:val="000000"/>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before="0" w:line="276" w:lineRule="auto"/>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Contenido</w:t>
      </w:r>
    </w:p>
    <w:sdt>
      <w:sdtPr>
        <w:id w:val="121744507"/>
        <w:docPartObj>
          <w:docPartGallery w:val="Table of Contents"/>
          <w:docPartUnique w:val="1"/>
        </w:docPartObj>
      </w:sdtPr>
      <w:sdtContent>
        <w:p w:rsidR="00000000" w:rsidDel="00000000" w:rsidP="00000000" w:rsidRDefault="00000000" w:rsidRPr="00000000" w14:paraId="0000000C">
          <w:pPr>
            <w:widowControl w:val="0"/>
            <w:tabs>
              <w:tab w:val="right" w:leader="none" w:pos="936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oqaw4pzzbg0">
            <w:r w:rsidDel="00000000" w:rsidR="00000000" w:rsidRPr="00000000">
              <w:rPr>
                <w:b w:val="1"/>
                <w:bCs w:val="1"/>
                <w:color w:val="000000"/>
                <w:rtl w:val="0"/>
              </w:rPr>
              <w:t xml:space="preserve">Introducción</w:t>
              <w:tab/>
            </w:r>
          </w:hyperlink>
          <w:r w:rsidDel="00000000" w:rsidR="00000000" w:rsidRPr="00000000">
            <w:fldChar w:fldCharType="begin"/>
            <w:instrText xml:space="preserve"> PAGEREF _heading=h.2oqaw4pzzbg0 \h </w:instrText>
            <w:fldChar w:fldCharType="separate"/>
          </w:r>
          <w:r w:rsidDel="00000000" w:rsidR="00000000" w:rsidRPr="00000000">
            <w:rPr>
              <w:b w:val="1"/>
              <w:bCs w:val="1"/>
              <w:rtl w:val="0"/>
            </w:rPr>
            <w:t xml:space="preserve">2</w:t>
          </w:r>
          <w:r w:rsidDel="00000000" w:rsidR="00000000" w:rsidRPr="00000000">
            <w:fldChar w:fldCharType="begin"/>
            <w:instrText xml:space="preserve"> HYPERLINK \l "_heading=h.2oqaw4pzzbg0"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ws4chehjxjti">
            <w:r w:rsidDel="00000000" w:rsidR="00000000" w:rsidRPr="00000000">
              <w:rPr>
                <w:b w:val="1"/>
                <w:bCs w:val="1"/>
                <w:color w:val="000000"/>
                <w:rtl w:val="0"/>
              </w:rPr>
              <w:t xml:space="preserve">Propósito</w:t>
              <w:tab/>
            </w:r>
          </w:hyperlink>
          <w:r w:rsidDel="00000000" w:rsidR="00000000" w:rsidRPr="00000000">
            <w:fldChar w:fldCharType="begin"/>
            <w:instrText xml:space="preserve"> PAGEREF _heading=h.ws4chehjxjti \h </w:instrText>
            <w:fldChar w:fldCharType="separate"/>
          </w:r>
          <w:r w:rsidDel="00000000" w:rsidR="00000000" w:rsidRPr="00000000">
            <w:rPr>
              <w:b w:val="1"/>
              <w:bCs w:val="1"/>
              <w:rtl w:val="0"/>
            </w:rPr>
            <w:t xml:space="preserve">2</w:t>
          </w:r>
          <w:r w:rsidDel="00000000" w:rsidR="00000000" w:rsidRPr="00000000">
            <w:fldChar w:fldCharType="begin"/>
            <w:instrText xml:space="preserve"> HYPERLINK \l "_heading=h.ws4chehjxjti"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ffy819d40ofg">
            <w:r w:rsidDel="00000000" w:rsidR="00000000" w:rsidRPr="00000000">
              <w:rPr>
                <w:b w:val="1"/>
                <w:bCs w:val="1"/>
                <w:color w:val="000000"/>
                <w:rtl w:val="0"/>
              </w:rPr>
              <w:t xml:space="preserve">Justificación</w:t>
              <w:tab/>
            </w:r>
          </w:hyperlink>
          <w:r w:rsidDel="00000000" w:rsidR="00000000" w:rsidRPr="00000000">
            <w:fldChar w:fldCharType="begin"/>
            <w:instrText xml:space="preserve"> PAGEREF _heading=h.ffy819d40ofg \h </w:instrText>
            <w:fldChar w:fldCharType="separate"/>
          </w:r>
          <w:r w:rsidDel="00000000" w:rsidR="00000000" w:rsidRPr="00000000">
            <w:rPr>
              <w:b w:val="1"/>
              <w:bCs w:val="1"/>
              <w:rtl w:val="0"/>
            </w:rPr>
            <w:t xml:space="preserve">2</w:t>
          </w:r>
          <w:r w:rsidDel="00000000" w:rsidR="00000000" w:rsidRPr="00000000">
            <w:fldChar w:fldCharType="begin"/>
            <w:instrText xml:space="preserve"> HYPERLINK \l "_heading=h.ffy819d40ofg"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redazqlu7ysn">
            <w:r w:rsidDel="00000000" w:rsidR="00000000" w:rsidRPr="00000000">
              <w:rPr>
                <w:b w:val="1"/>
                <w:bCs w:val="1"/>
                <w:color w:val="000000"/>
                <w:rtl w:val="0"/>
              </w:rPr>
              <w:t xml:space="preserve">Beneficios</w:t>
              <w:tab/>
            </w:r>
          </w:hyperlink>
          <w:r w:rsidDel="00000000" w:rsidR="00000000" w:rsidRPr="00000000">
            <w:fldChar w:fldCharType="begin"/>
            <w:instrText xml:space="preserve"> PAGEREF _heading=h.redazqlu7ysn \h </w:instrText>
            <w:fldChar w:fldCharType="separate"/>
          </w:r>
          <w:r w:rsidDel="00000000" w:rsidR="00000000" w:rsidRPr="00000000">
            <w:rPr>
              <w:b w:val="1"/>
              <w:bCs w:val="1"/>
              <w:rtl w:val="0"/>
            </w:rPr>
            <w:t xml:space="preserve">4</w:t>
          </w:r>
          <w:r w:rsidDel="00000000" w:rsidR="00000000" w:rsidRPr="00000000">
            <w:fldChar w:fldCharType="begin"/>
            <w:instrText xml:space="preserve"> HYPERLINK \l "_heading=h.redazqlu7ysn"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8ug8fcvo21lm">
            <w:r w:rsidDel="00000000" w:rsidR="00000000" w:rsidRPr="00000000">
              <w:rPr>
                <w:b w:val="1"/>
                <w:bCs w:val="1"/>
                <w:color w:val="000000"/>
                <w:rtl w:val="0"/>
              </w:rPr>
              <w:t xml:space="preserve">Funcionalidades</w:t>
              <w:tab/>
            </w:r>
          </w:hyperlink>
          <w:r w:rsidDel="00000000" w:rsidR="00000000" w:rsidRPr="00000000">
            <w:fldChar w:fldCharType="begin"/>
            <w:instrText xml:space="preserve"> PAGEREF _heading=h.8ug8fcvo21lm \h </w:instrText>
            <w:fldChar w:fldCharType="separate"/>
          </w:r>
          <w:r w:rsidDel="00000000" w:rsidR="00000000" w:rsidRPr="00000000">
            <w:rPr>
              <w:b w:val="1"/>
              <w:bCs w:val="1"/>
              <w:rtl w:val="0"/>
            </w:rPr>
            <w:t xml:space="preserve">6</w:t>
          </w:r>
          <w:r w:rsidDel="00000000" w:rsidR="00000000" w:rsidRPr="00000000">
            <w:fldChar w:fldCharType="begin"/>
            <w:instrText xml:space="preserve"> HYPERLINK \l "_heading=h.8ug8fcvo21lm"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9y5xncgsy55i">
            <w:r w:rsidDel="00000000" w:rsidR="00000000" w:rsidRPr="00000000">
              <w:rPr>
                <w:b w:val="1"/>
                <w:bCs w:val="1"/>
                <w:color w:val="000000"/>
                <w:rtl w:val="0"/>
              </w:rPr>
              <w:t xml:space="preserve">Trabajos relacionados</w:t>
              <w:tab/>
            </w:r>
          </w:hyperlink>
          <w:r w:rsidDel="00000000" w:rsidR="00000000" w:rsidRPr="00000000">
            <w:fldChar w:fldCharType="begin"/>
            <w:instrText xml:space="preserve"> PAGEREF _heading=h.9y5xncgsy55i \h </w:instrText>
            <w:fldChar w:fldCharType="separate"/>
          </w:r>
          <w:r w:rsidDel="00000000" w:rsidR="00000000" w:rsidRPr="00000000">
            <w:rPr>
              <w:b w:val="1"/>
              <w:bCs w:val="1"/>
              <w:rtl w:val="0"/>
            </w:rPr>
            <w:t xml:space="preserve">7</w:t>
          </w:r>
          <w:r w:rsidDel="00000000" w:rsidR="00000000" w:rsidRPr="00000000">
            <w:fldChar w:fldCharType="begin"/>
            <w:instrText xml:space="preserve"> HYPERLINK \l "_heading=h.9y5xncgsy55i"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6806vjrh6kzz">
            <w:r w:rsidDel="00000000" w:rsidR="00000000" w:rsidRPr="00000000">
              <w:rPr>
                <w:b w:val="1"/>
                <w:bCs w:val="1"/>
                <w:color w:val="000000"/>
                <w:rtl w:val="0"/>
              </w:rPr>
              <w:t xml:space="preserve">Plan de investigación</w:t>
              <w:tab/>
            </w:r>
          </w:hyperlink>
          <w:r w:rsidDel="00000000" w:rsidR="00000000" w:rsidRPr="00000000">
            <w:fldChar w:fldCharType="begin"/>
            <w:instrText xml:space="preserve"> PAGEREF _heading=h.6806vjrh6kzz \h </w:instrText>
            <w:fldChar w:fldCharType="separate"/>
          </w:r>
          <w:r w:rsidDel="00000000" w:rsidR="00000000" w:rsidRPr="00000000">
            <w:rPr>
              <w:b w:val="1"/>
              <w:bCs w:val="1"/>
              <w:rtl w:val="0"/>
            </w:rPr>
            <w:t xml:space="preserve">9</w:t>
          </w:r>
          <w:r w:rsidDel="00000000" w:rsidR="00000000" w:rsidRPr="00000000">
            <w:fldChar w:fldCharType="begin"/>
            <w:instrText xml:space="preserve"> HYPERLINK \l "_heading=h.6806vjrh6kzz"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hp4nbwjhbr7s">
            <w:r w:rsidDel="00000000" w:rsidR="00000000" w:rsidRPr="00000000">
              <w:rPr>
                <w:b w:val="1"/>
                <w:bCs w:val="1"/>
                <w:color w:val="000000"/>
                <w:rtl w:val="0"/>
              </w:rPr>
              <w:t xml:space="preserve">Plan de actividades</w:t>
              <w:tab/>
            </w:r>
          </w:hyperlink>
          <w:r w:rsidDel="00000000" w:rsidR="00000000" w:rsidRPr="00000000">
            <w:fldChar w:fldCharType="begin"/>
            <w:instrText xml:space="preserve"> PAGEREF _heading=h.hp4nbwjhbr7s \h </w:instrText>
            <w:fldChar w:fldCharType="separate"/>
          </w:r>
          <w:r w:rsidDel="00000000" w:rsidR="00000000" w:rsidRPr="00000000">
            <w:rPr>
              <w:b w:val="1"/>
              <w:bCs w:val="1"/>
              <w:rtl w:val="0"/>
            </w:rPr>
            <w:t xml:space="preserve">9</w:t>
          </w:r>
          <w:r w:rsidDel="00000000" w:rsidR="00000000" w:rsidRPr="00000000">
            <w:fldChar w:fldCharType="begin"/>
            <w:instrText xml:space="preserve"> HYPERLINK \l "_heading=h.hp4nbwjhbr7s"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after="0" w:before="60" w:line="240" w:lineRule="auto"/>
            <w:rPr>
              <w:b w:val="1"/>
              <w:bCs w:val="1"/>
              <w:color w:val="000000"/>
            </w:rPr>
          </w:pPr>
          <w:r w:rsidDel="00000000" w:rsidR="00000000" w:rsidRPr="00000000">
            <w:fldChar w:fldCharType="end"/>
          </w:r>
          <w:hyperlink w:anchor="_heading=h.rzp9gh731qpk">
            <w:r w:rsidDel="00000000" w:rsidR="00000000" w:rsidRPr="00000000">
              <w:rPr>
                <w:b w:val="1"/>
                <w:bCs w:val="1"/>
                <w:color w:val="000000"/>
                <w:rtl w:val="0"/>
              </w:rPr>
              <w:t xml:space="preserve">Conclusiones</w:t>
              <w:tab/>
            </w:r>
          </w:hyperlink>
          <w:r w:rsidDel="00000000" w:rsidR="00000000" w:rsidRPr="00000000">
            <w:fldChar w:fldCharType="begin"/>
            <w:instrText xml:space="preserve"> PAGEREF _heading=h.rzp9gh731qpk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1"/>
        <w:pBdr>
          <w:top w:space="0" w:sz="0" w:val="nil"/>
          <w:left w:space="0" w:sz="0" w:val="nil"/>
          <w:bottom w:space="0" w:sz="0" w:val="nil"/>
          <w:right w:space="0" w:sz="0" w:val="nil"/>
          <w:between w:space="0" w:sz="0" w:val="nil"/>
        </w:pBdr>
        <w:spacing w:after="360" w:before="360" w:line="240" w:lineRule="auto"/>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16">
      <w:pPr>
        <w:keepNext w:val="1"/>
        <w:pBdr>
          <w:top w:space="0" w:sz="0" w:val="nil"/>
          <w:left w:space="0" w:sz="0" w:val="nil"/>
          <w:bottom w:space="0" w:sz="0" w:val="nil"/>
          <w:right w:space="0" w:sz="0" w:val="nil"/>
          <w:between w:space="0" w:sz="0" w:val="nil"/>
        </w:pBdr>
        <w:spacing w:after="360" w:before="36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4rk1ckxqv6yx" w:id="2"/>
      <w:bookmarkEnd w:id="2"/>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oqaw4pzzbg0" w:id="3"/>
      <w:bookmarkEnd w:id="3"/>
      <w:r w:rsidDel="00000000" w:rsidR="00000000" w:rsidRPr="00000000">
        <w:rPr>
          <w:rtl w:val="0"/>
        </w:rPr>
        <w:t xml:space="preserve">Introducción</w:t>
      </w:r>
    </w:p>
    <w:p w:rsidR="00000000" w:rsidDel="00000000" w:rsidP="00000000" w:rsidRDefault="00000000" w:rsidRPr="00000000" w14:paraId="0000001A">
      <w:pPr>
        <w:jc w:val="both"/>
        <w:rPr>
          <w:rFonts w:ascii="Calibri" w:cs="Calibri" w:eastAsia="Calibri" w:hAnsi="Calibri"/>
        </w:rPr>
      </w:pPr>
      <w:r w:rsidDel="00000000" w:rsidR="00000000" w:rsidRPr="00000000">
        <w:rPr>
          <w:rFonts w:ascii="Calibri" w:cs="Calibri" w:eastAsia="Calibri" w:hAnsi="Calibri"/>
          <w:rtl w:val="0"/>
        </w:rPr>
        <w:t xml:space="preserve">La mayoría de las personas que inician en la acuariofilia suelen fallar debido a decisiones y prácticas incorrectas, tienden a seguir consejos de vendedores de tiendas de mascotas al momento de realizar la compra del equipo y peces. Sin embargo, muchos de estos son consejos erróneos basados en evidencia no comprobada o “creencias” perjudicando gravemente el bienestar del ecosistema y de los peces.</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A esta situación se suma una fuerte barrera de empatía. Generalmente se compran peces por impulso porque se ven “bonitos” o porque son una buena decoración sin antes revisar si son compatibles, adecuados o simplemente revisar sus cuidados básicos. Sin embargo, al descubrir la verdadera exigencia de sus cuidados, los usuarios tienden a descuidarlos, evidenciando una falta de responsabilidad ética que rara vez ocurre con otras mascotas, como perros o gatos.</w:t>
      </w:r>
    </w:p>
    <w:p w:rsidR="00000000" w:rsidDel="00000000" w:rsidP="00000000" w:rsidRDefault="00000000" w:rsidRPr="00000000" w14:paraId="0000001D">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rtl w:val="0"/>
        </w:rPr>
        <w:t xml:space="preserve">La acuariofilia es un hobby que ha estado creciendo en los últimos años, de acuerdo a datos estadísticos el tamaño del mercado mundial de acuarios se valoró en 4.600 millones de dólares en 2024 y se prevé que crezca de 4.910 millones de dólares en 2025 a 8.380 millones de dólares en 2033. Debido a este crecimiento acelerado hace más latente la necesidad de promover las buenas prácticas en la acuariofilia con el fin de evitar malos cuidados.</w:t>
      </w:r>
    </w:p>
    <w:p w:rsidR="00000000" w:rsidDel="00000000" w:rsidP="00000000" w:rsidRDefault="00000000" w:rsidRPr="00000000" w14:paraId="0000001F">
      <w:pPr>
        <w:jc w:val="both"/>
        <w:rPr>
          <w:rFonts w:ascii="Calibri" w:cs="Calibri" w:eastAsia="Calibri" w:hAnsi="Calibri"/>
          <w:color w:val="8064a2"/>
        </w:rPr>
      </w:pPr>
      <w:r w:rsidDel="00000000" w:rsidR="00000000" w:rsidRPr="00000000">
        <w:rPr>
          <w:rFonts w:ascii="Calibri" w:cs="Calibri" w:eastAsia="Calibri" w:hAnsi="Calibri"/>
          <w:color w:val="8064a2"/>
          <w:rtl w:val="0"/>
        </w:rPr>
        <w:t xml:space="preserve"> </w:t>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rtl w:val="0"/>
        </w:rPr>
        <w:t xml:space="preserve">Para dar respuesta a esta problemática surge NETZA-TANK, una plataforma web interactiva diseñada para guiar al acuarista principiante desde la planificación inicial hasta el monitoreo continuo de su acuario. El sistema valida biológicamente cada configuración y acompaña el mantenimiento del ecosistema de forma proactiva, previniendo errores críticos y fomentando un acuarismo ético y sostenible.</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9585.0" w:type="dxa"/>
        <w:jc w:val="left"/>
        <w:tblInd w:w="-115.0" w:type="dxa"/>
        <w:tblLayout w:type="fixed"/>
        <w:tblLook w:val="0000"/>
      </w:tblPr>
      <w:tblGrid>
        <w:gridCol w:w="2025"/>
        <w:gridCol w:w="7560"/>
        <w:tblGridChange w:id="0">
          <w:tblGrid>
            <w:gridCol w:w="2025"/>
            <w:gridCol w:w="7560"/>
          </w:tblGrid>
        </w:tblGridChange>
      </w:tblGrid>
      <w:tr>
        <w:trPr>
          <w:cantSplit w:val="0"/>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before="0" w:line="80" w:lineRule="auto"/>
              <w:rPr>
                <w:rFonts w:ascii="Calibri" w:cs="Calibri" w:eastAsia="Calibri" w:hAnsi="Calibri"/>
                <w:b w:val="1"/>
                <w:bCs w:val="1"/>
                <w:color w:val="000000"/>
                <w:sz w:val="8"/>
                <w:szCs w:val="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before="0" w:line="80" w:lineRule="auto"/>
              <w:rPr>
                <w:rFonts w:ascii="Calibri" w:cs="Calibri" w:eastAsia="Calibri" w:hAnsi="Calibri"/>
                <w:b w:val="1"/>
                <w:bCs w:val="1"/>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before="0" w:line="80" w:lineRule="auto"/>
              <w:rPr>
                <w:rFonts w:ascii="Calibri" w:cs="Calibri" w:eastAsia="Calibri" w:hAnsi="Calibri"/>
                <w:b w:val="1"/>
                <w:bCs w:val="1"/>
                <w:color w:val="000000"/>
                <w:sz w:val="8"/>
                <w:szCs w:val="8"/>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before="0" w:line="80" w:lineRule="auto"/>
              <w:rPr>
                <w:rFonts w:ascii="Calibri" w:cs="Calibri" w:eastAsia="Calibri" w:hAnsi="Calibri"/>
                <w:b w:val="1"/>
                <w:bCs w:val="1"/>
                <w:color w:val="000000"/>
                <w:sz w:val="8"/>
                <w:szCs w:val="8"/>
              </w:rPr>
            </w:pPr>
            <w:r w:rsidDel="00000000" w:rsidR="00000000" w:rsidRPr="00000000">
              <w:rPr>
                <w:rtl w:val="0"/>
              </w:rPr>
            </w:r>
          </w:p>
        </w:tc>
      </w:tr>
      <w:tr>
        <w:trPr>
          <w:cantSplit w:val="0"/>
          <w:trHeight w:val="984" w:hRule="atLeast"/>
          <w:tblHeader w:val="0"/>
        </w:trPr>
        <w:tc>
          <w:tcPr/>
          <w:p w:rsidR="00000000" w:rsidDel="00000000" w:rsidP="00000000" w:rsidRDefault="00000000" w:rsidRPr="00000000" w14:paraId="00000027">
            <w:pPr>
              <w:pStyle w:val="Heading1"/>
              <w:rPr/>
            </w:pPr>
            <w:bookmarkStart w:colFirst="0" w:colLast="0" w:name="_heading=h.ws4chehjxjti" w:id="4"/>
            <w:bookmarkEnd w:id="4"/>
            <w:r w:rsidDel="00000000" w:rsidR="00000000" w:rsidRPr="00000000">
              <w:rPr>
                <w:rtl w:val="0"/>
              </w:rPr>
              <w:t xml:space="preserve">Propósito</w:t>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029">
            <w:pPr>
              <w:jc w:val="both"/>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Construir NETZA-TANK, una herramienta diseñada para guiar a los usuarios, especialmente a los principiantes en la acuariofilia, en el proceso de armar y gestionar su acuario de forma rápida y sencilla.</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before="0" w:line="80" w:lineRule="auto"/>
              <w:rPr>
                <w:rFonts w:ascii="Calibri" w:cs="Calibri" w:eastAsia="Calibri" w:hAnsi="Calibri"/>
                <w:b w:val="1"/>
                <w:bCs w:val="1"/>
                <w:color w:val="000000"/>
                <w:sz w:val="8"/>
                <w:szCs w:val="8"/>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ffy819d40ofg" w:id="5"/>
            <w:bookmarkEnd w:id="5"/>
            <w:r w:rsidDel="00000000" w:rsidR="00000000" w:rsidRPr="00000000">
              <w:rPr>
                <w:rtl w:val="0"/>
              </w:rPr>
              <w:t xml:space="preserve">Justificación</w:t>
            </w:r>
          </w:p>
        </w:tc>
        <w:tc>
          <w:tcPr>
            <w:tcBorders>
              <w:bottom w:color="000000" w:space="0" w:sz="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before="0" w:line="240" w:lineRule="auto"/>
              <w:ind w:left="720" w:firstLine="0"/>
              <w:jc w:val="both"/>
              <w:rPr>
                <w:rFonts w:ascii="Calibri" w:cs="Calibri" w:eastAsia="Calibri" w:hAnsi="Calibri"/>
                <w:color w:val="8064a2"/>
                <w:sz w:val="24"/>
                <w:szCs w:val="24"/>
              </w:rPr>
            </w:pPr>
            <w:r w:rsidDel="00000000" w:rsidR="00000000" w:rsidRPr="00000000">
              <w:rPr>
                <w:rtl w:val="0"/>
              </w:rPr>
            </w:r>
          </w:p>
          <w:p w:rsidR="00000000" w:rsidDel="00000000" w:rsidP="00000000" w:rsidRDefault="00000000" w:rsidRPr="00000000" w14:paraId="00000030">
            <w:pP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situación actual de la acuariofilia presenta retos importantes en cuanto a la desinformación y el bienestar animal. A continuación, se explican a detalle las causas de esta problemática: </w:t>
            </w:r>
          </w:p>
          <w:p w:rsidR="00000000" w:rsidDel="00000000" w:rsidP="00000000" w:rsidRDefault="00000000" w:rsidRPr="00000000" w14:paraId="00000031">
            <w:pPr>
              <w:shd w:fill="ffffff" w:val="clea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Desinformación masiva en principiantes: </w:t>
            </w:r>
            <w:r w:rsidDel="00000000" w:rsidR="00000000" w:rsidRPr="00000000">
              <w:rPr>
                <w:rFonts w:ascii="Calibri" w:cs="Calibri" w:eastAsia="Calibri" w:hAnsi="Calibri"/>
                <w:rtl w:val="0"/>
              </w:rPr>
              <w:t xml:space="preserve">Es común que los principiantes cometan errores graves como cambiar en su totalidad el agua del acuario, sobrealimentar, usar decoración artificial,  o carecer de filtros, material biológico y luz adecuada. Según especialistas en medicina veterinaria, Francis-Floyd &amp; Petty  (2024), estos descuidos someten a los peces a un estrés extremo y desencadenan problemas mortales: cambiar el 100% del agua o no usar filtros destruye las bacterias benéficas, provocando una acumulación tóxica de amoníaco que quema sus branquias; por otro lado, la sobrealimentación deja restos que se pudren en el fondo y fomentan la aparición de hongos o parásitos letales; finalmente, un entorno sin la luz correcta debilita sus defensas naturales, provocando que la decoración artificial áspera les cause heridas graves cuando, al enfermarse, intentan rascarse contra ella para aliviar el picor.</w:t>
            </w:r>
            <w:r w:rsidDel="00000000" w:rsidR="00000000" w:rsidRPr="00000000">
              <w:rPr>
                <w:rtl w:val="0"/>
              </w:rPr>
            </w:r>
          </w:p>
          <w:p w:rsidR="00000000" w:rsidDel="00000000" w:rsidP="00000000" w:rsidRDefault="00000000" w:rsidRPr="00000000" w14:paraId="00000033">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Crecimiento del mercado:</w:t>
            </w:r>
            <w:r w:rsidDel="00000000" w:rsidR="00000000" w:rsidRPr="00000000">
              <w:rPr>
                <w:rFonts w:ascii="Calibri" w:cs="Calibri" w:eastAsia="Calibri" w:hAnsi="Calibri"/>
                <w:rtl w:val="0"/>
              </w:rPr>
              <w:t xml:space="preserve"> El tamaño del mercado mundial de acuarios tiene una proyección de crecimiento hacia los 8.380 millones de dólares para 2033 (SkyQuest, 2025). Este crecimiento exponencial agrava el problema, ya que un mayor número de ventas significa más principiantes propensos a cometer negligencias en las primeras semanas.</w:t>
            </w:r>
            <w:r w:rsidDel="00000000" w:rsidR="00000000" w:rsidRPr="00000000">
              <w:rPr>
                <w:rtl w:val="0"/>
              </w:rPr>
            </w:r>
          </w:p>
          <w:p w:rsidR="00000000" w:rsidDel="00000000" w:rsidP="00000000" w:rsidRDefault="00000000" w:rsidRPr="00000000" w14:paraId="00000035">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Barrera de empatía y sufrimiento animal:</w:t>
            </w:r>
            <w:r w:rsidDel="00000000" w:rsidR="00000000" w:rsidRPr="00000000">
              <w:rPr>
                <w:rFonts w:ascii="Calibri" w:cs="Calibri" w:eastAsia="Calibri" w:hAnsi="Calibri"/>
                <w:rtl w:val="0"/>
              </w:rPr>
              <w:t xml:space="preserve"> Existe una fuerte barrera que nos dificulta reconocer el dolor en los peces; al tenerlos como mascotas y no verlos como seres plenamente conscientes, se normaliza su maltrato y se pierde el interés por aprender sus cuidados básicos. Autores como Rucinque, Souza y Molento (2017) señalan que la percepción de la sintiencia de los peces por parte de los ciudadanos es un factor crucial que debe ser atendido para mejorar su bienestar. De acuerdo con Alberto Maceda-Veiga et al. (2014), esta problemática surge de las diversas filosofías dentro del pasatiempo, donde muchos acuaristas actúan como dueños cuyo único interés es mantener a los peces como meros "adornos". Para combatir esto, destacan la necesidad de promover una ética en el acuarismo que deje de ver a los peces como ornamentos y fomente el entendimiento del acuario como un ecosistema natural.  Asimismo, Maia, Gauy y Gonçalves-de-Freitas (2025) recalcan la urgencia de establecer iniciativas emergentes y regulaciones que mitiguen los factores de estrés en el comercio de especies ornamentales. Por ello, es imperativo diseñar herramientas que apoyen lineamientos internacionales como los de la Organización Mundial de Sanidad Animal (OMSA) y fomenten un enriquecimiento ambiental adecuado, tal como lo estudian Oldfield y Murphy (2024), evitando que los peces sean tratados como adornos desechables.</w:t>
            </w:r>
            <w:r w:rsidDel="00000000" w:rsidR="00000000" w:rsidRPr="00000000">
              <w:rPr>
                <w:rtl w:val="0"/>
              </w:rPr>
            </w:r>
          </w:p>
          <w:p w:rsidR="00000000" w:rsidDel="00000000" w:rsidP="00000000" w:rsidRDefault="00000000" w:rsidRPr="00000000" w14:paraId="00000037">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0" w:line="240" w:lineRule="auto"/>
              <w:ind w:left="720" w:firstLine="0"/>
              <w:jc w:val="both"/>
              <w:rPr>
                <w:rFonts w:ascii="Calibri" w:cs="Calibri" w:eastAsia="Calibri" w:hAnsi="Calibri"/>
                <w:color w:val="000000"/>
                <w:sz w:val="24"/>
                <w:szCs w:val="24"/>
              </w:rPr>
            </w:pPr>
            <w:r w:rsidDel="00000000" w:rsidR="00000000" w:rsidRPr="00000000">
              <w:rPr>
                <w:rtl w:val="0"/>
              </w:rPr>
            </w:r>
          </w:p>
        </w:tc>
      </w:tr>
      <w:tr>
        <w:trPr>
          <w:cantSplit w:val="0"/>
          <w:trHeight w:val="24791" w:hRule="atLeast"/>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redazqlu7ysn" w:id="6"/>
            <w:bookmarkEnd w:id="6"/>
            <w:r w:rsidDel="00000000" w:rsidR="00000000" w:rsidRPr="00000000">
              <w:rPr>
                <w:rtl w:val="0"/>
              </w:rPr>
              <w:t xml:space="preserve">Beneficios</w:t>
            </w:r>
          </w:p>
        </w:tc>
        <w:tc>
          <w:tcPr>
            <w:tcBorders>
              <w:top w:color="000000" w:space="0" w:sz="8" w:val="single"/>
              <w:bottom w:color="000000" w:space="0" w:sz="8" w:val="single"/>
            </w:tcBorders>
          </w:tcPr>
          <w:p w:rsidR="00000000" w:rsidDel="00000000" w:rsidP="00000000" w:rsidRDefault="00000000" w:rsidRPr="00000000" w14:paraId="0000003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color w:val="8064a2"/>
                <w:sz w:val="24"/>
                <w:szCs w:val="24"/>
              </w:rPr>
            </w:pPr>
            <w:r w:rsidDel="00000000" w:rsidR="00000000" w:rsidRPr="00000000">
              <w:rPr>
                <w:rtl w:val="0"/>
              </w:rPr>
            </w:r>
          </w:p>
          <w:p w:rsidR="00000000" w:rsidDel="00000000" w:rsidP="00000000" w:rsidRDefault="00000000" w:rsidRPr="00000000" w14:paraId="0000003E">
            <w:pPr>
              <w:shd w:fill="ffffff" w:val="clear"/>
              <w:spacing w:line="240" w:lineRule="auto"/>
              <w:jc w:val="both"/>
              <w:rPr>
                <w:rFonts w:ascii="Calibri" w:cs="Calibri" w:eastAsia="Calibri" w:hAnsi="Calibri"/>
                <w:shd w:fill="606060" w:val="clear"/>
              </w:rPr>
            </w:pPr>
            <w:r w:rsidDel="00000000" w:rsidR="00000000" w:rsidRPr="00000000">
              <w:rPr>
                <w:rFonts w:ascii="Calibri" w:cs="Calibri" w:eastAsia="Calibri" w:hAnsi="Calibri"/>
                <w:rtl w:val="0"/>
              </w:rPr>
              <w:t xml:space="preserve">Los beneficios están derivados de los objetivos del proyecto y de su enfoque en la interacción humano-computadora para resolver las problemáticas planteadas. A continuación se listan: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F">
            <w:pPr>
              <w:shd w:fill="ffffff" w:val="clear"/>
              <w:spacing w:line="240" w:lineRule="auto"/>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40">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Reducción de la mortalidad en peces por errores humanos:</w:t>
            </w:r>
            <w:r w:rsidDel="00000000" w:rsidR="00000000" w:rsidRPr="00000000">
              <w:rPr>
                <w:rFonts w:ascii="Calibri" w:cs="Calibri" w:eastAsia="Calibri" w:hAnsi="Calibri"/>
                <w:rtl w:val="0"/>
              </w:rPr>
              <w:t xml:space="preserve"> El sistema contribuye a disminuir la muerte de peces causada por decisiones incorrectas de principiantes, al prevenir configuraciones y prácticas inadecuadas del acuario antes de su implementación. Esto impacta directamente en el bienestar animal y en la sostenibilidad de la acuariofilia.</w:t>
            </w:r>
            <w:r w:rsidDel="00000000" w:rsidR="00000000" w:rsidRPr="00000000">
              <w:rPr>
                <w:rtl w:val="0"/>
              </w:rPr>
            </w:r>
          </w:p>
          <w:p w:rsidR="00000000" w:rsidDel="00000000" w:rsidP="00000000" w:rsidRDefault="00000000" w:rsidRPr="00000000" w14:paraId="00000041">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Disminución de la desinformación en usuarios principiantes</w:t>
            </w:r>
            <w:r w:rsidDel="00000000" w:rsidR="00000000" w:rsidRPr="00000000">
              <w:rPr>
                <w:rFonts w:ascii="Calibri" w:cs="Calibri" w:eastAsia="Calibri" w:hAnsi="Calibri"/>
                <w:rtl w:val="0"/>
              </w:rPr>
              <w:t xml:space="preserve">: La aplicación actúa como una fuente confiable de apoyo en la toma de decisiones, reduciendo la dependencia de información incompleta o incorrecta proveniente de fuentes informales, lo que permite a los usuarios adquirir conocimientos correctos desde el inicio.</w:t>
            </w:r>
            <w:r w:rsidDel="00000000" w:rsidR="00000000" w:rsidRPr="00000000">
              <w:rPr>
                <w:rtl w:val="0"/>
              </w:rPr>
            </w:r>
          </w:p>
          <w:p w:rsidR="00000000" w:rsidDel="00000000" w:rsidP="00000000" w:rsidRDefault="00000000" w:rsidRPr="00000000" w14:paraId="00000043">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Facilitación del aprendizaje en procesos complejos:</w:t>
            </w:r>
            <w:r w:rsidDel="00000000" w:rsidR="00000000" w:rsidRPr="00000000">
              <w:rPr>
                <w:rFonts w:ascii="Calibri" w:cs="Calibri" w:eastAsia="Calibri" w:hAnsi="Calibri"/>
                <w:rtl w:val="0"/>
              </w:rPr>
              <w:t xml:space="preserve"> Mediante una interfaz centrada en el usuario, se simplifican conceptos técnicos como el ciclo del nitrógeno, parámetros del agua y compatibilidad biológica, permitiendo que personas sin conocimientos previos comprendan y apliquen buenas prácticas en la acuariofilia.</w:t>
            </w:r>
            <w:r w:rsidDel="00000000" w:rsidR="00000000" w:rsidRPr="00000000">
              <w:rPr>
                <w:rtl w:val="0"/>
              </w:rPr>
            </w:r>
          </w:p>
          <w:p w:rsidR="00000000" w:rsidDel="00000000" w:rsidP="00000000" w:rsidRDefault="00000000" w:rsidRPr="00000000" w14:paraId="00000045">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Mejora en la toma de decisiones del usuario: </w:t>
            </w:r>
            <w:r w:rsidDel="00000000" w:rsidR="00000000" w:rsidRPr="00000000">
              <w:rPr>
                <w:rFonts w:ascii="Calibri" w:cs="Calibri" w:eastAsia="Calibri" w:hAnsi="Calibri"/>
                <w:rtl w:val="0"/>
              </w:rPr>
              <w:t xml:space="preserve">El sistema guía al usuario hacia elecciones adecuadas en la selección de peces, componentes del acuario y mantenimiento, reduciendo la incertidumbre y aumentando la confianza durante el proceso de armado y gestión del acuario.</w:t>
            </w:r>
            <w:r w:rsidDel="00000000" w:rsidR="00000000" w:rsidRPr="00000000">
              <w:rPr>
                <w:rtl w:val="0"/>
              </w:rPr>
            </w:r>
          </w:p>
          <w:p w:rsidR="00000000" w:rsidDel="00000000" w:rsidP="00000000" w:rsidRDefault="00000000" w:rsidRPr="00000000" w14:paraId="00000047">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Promoción del bienestar animal y responsabilidad ambiental:</w:t>
            </w:r>
            <w:r w:rsidDel="00000000" w:rsidR="00000000" w:rsidRPr="00000000">
              <w:rPr>
                <w:rFonts w:ascii="Calibri" w:cs="Calibri" w:eastAsia="Calibri" w:hAnsi="Calibri"/>
                <w:rtl w:val="0"/>
              </w:rPr>
              <w:t xml:space="preserve"> Al evitar prácticas incorrectas, se fomenta el cuidado responsable de los organismos vivos y se previenen consecuencias como el estrés, enfermedades o liberación de especies al medio ambiente, contribuyendo a una acuariofilia más ética.</w:t>
            </w:r>
            <w:r w:rsidDel="00000000" w:rsidR="00000000" w:rsidRPr="00000000">
              <w:rPr>
                <w:rtl w:val="0"/>
              </w:rPr>
            </w:r>
          </w:p>
          <w:p w:rsidR="00000000" w:rsidDel="00000000" w:rsidP="00000000" w:rsidRDefault="00000000" w:rsidRPr="00000000" w14:paraId="00000049">
            <w:pPr>
              <w:pBdr>
                <w:left w:space="0" w:sz="0" w:val="nil"/>
              </w:pBdr>
              <w:spacing w:after="0" w:before="0"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numPr>
                <w:ilvl w:val="0"/>
                <w:numId w:val="9"/>
              </w:numPr>
              <w:pBdr>
                <w:left w:space="0" w:sz="0" w:val="nil"/>
              </w:pBdr>
              <w:spacing w:after="0" w:before="0" w:line="240" w:lineRule="auto"/>
              <w:ind w:left="720" w:hanging="360"/>
              <w:rPr/>
            </w:pPr>
            <w:r w:rsidDel="00000000" w:rsidR="00000000" w:rsidRPr="00000000">
              <w:rPr>
                <w:rFonts w:ascii="Calibri" w:cs="Calibri" w:eastAsia="Calibri" w:hAnsi="Calibri"/>
                <w:b w:val="1"/>
                <w:bCs w:val="1"/>
                <w:rtl w:val="0"/>
              </w:rPr>
              <w:t xml:space="preserve"> Optimización del tiempo y esfuerzo del usuario:</w:t>
            </w:r>
            <w:r w:rsidDel="00000000" w:rsidR="00000000" w:rsidRPr="00000000">
              <w:rPr>
                <w:rFonts w:ascii="Calibri" w:cs="Calibri" w:eastAsia="Calibri" w:hAnsi="Calibri"/>
                <w:rtl w:val="0"/>
              </w:rPr>
              <w:t xml:space="preserve"> El sistema reduce la necesidad de investigación extensa y ensayo-error, proporcionando recomendaciones claras y personalizadas que permiten al usuario gestionar su acuario de manera más eficiente.</w:t>
            </w:r>
          </w:p>
          <w:p w:rsidR="00000000" w:rsidDel="00000000" w:rsidP="00000000" w:rsidRDefault="00000000" w:rsidRPr="00000000" w14:paraId="0000004B">
            <w:pPr>
              <w:pBdr>
                <w:left w:space="0" w:sz="0" w:val="nil"/>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numPr>
                <w:ilvl w:val="0"/>
                <w:numId w:val="9"/>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Seguimiento continuo del estado biológico del acuario:</w:t>
            </w:r>
            <w:r w:rsidDel="00000000" w:rsidR="00000000" w:rsidRPr="00000000">
              <w:rPr>
                <w:rFonts w:ascii="Calibri" w:cs="Calibri" w:eastAsia="Calibri" w:hAnsi="Calibri"/>
                <w:rtl w:val="0"/>
              </w:rPr>
              <w:t xml:space="preserve"> El módulo de registro de parámetros permite al usuario monitorear la evolución del agua de su acuario a lo largo del tiempo, recibiendo alertas cuando algún valor se aleja del rango saludable y accediendo a recomendaciones de acción inmediata. Esto transforma a NETZA-TANK de una herramienta de planificación puntual en un acompañante activo del mantenimiento del acuario.</w:t>
            </w:r>
          </w:p>
          <w:p w:rsidR="00000000" w:rsidDel="00000000" w:rsidP="00000000" w:rsidRDefault="00000000" w:rsidRPr="00000000" w14:paraId="0000004D">
            <w:pPr>
              <w:jc w:val="both"/>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4E">
            <w:pP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before="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tc>
      </w:tr>
      <w:tr>
        <w:trPr>
          <w:cantSplit w:val="0"/>
          <w:trHeight w:val="15266"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57">
            <w:pPr>
              <w:pStyle w:val="Heading1"/>
              <w:rPr>
                <w:sz w:val="22"/>
                <w:szCs w:val="22"/>
              </w:rPr>
            </w:pPr>
            <w:bookmarkStart w:colFirst="0" w:colLast="0" w:name="_heading=h.8ug8fcvo21lm" w:id="7"/>
            <w:bookmarkEnd w:id="7"/>
            <w:r w:rsidDel="00000000" w:rsidR="00000000" w:rsidRPr="00000000">
              <w:rPr>
                <w:sz w:val="22"/>
                <w:szCs w:val="22"/>
                <w:rtl w:val="0"/>
              </w:rPr>
              <w:t xml:space="preserve">Funcionalidades</w:t>
            </w:r>
          </w:p>
        </w:tc>
        <w:tc>
          <w:tcPr>
            <w:tcBorders>
              <w:top w:color="000000" w:space="0" w:sz="7"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9">
            <w:pPr>
              <w:ind w:left="-1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ind w:left="-1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ind w:left="-1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Crear tu acuario desde cero</w:t>
            </w:r>
          </w:p>
          <w:p w:rsidR="00000000" w:rsidDel="00000000" w:rsidP="00000000" w:rsidRDefault="00000000" w:rsidRPr="00000000" w14:paraId="0000005D">
            <w:pPr>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5E">
            <w:pPr>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 Gestión de Capacidad del Acuario</w:t>
            </w:r>
          </w:p>
          <w:p w:rsidR="00000000" w:rsidDel="00000000" w:rsidP="00000000" w:rsidRDefault="00000000" w:rsidRPr="00000000" w14:paraId="0000005F">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Configuración inicial del tanque: </w:t>
            </w:r>
            <w:r w:rsidDel="00000000" w:rsidR="00000000" w:rsidRPr="00000000">
              <w:rPr>
                <w:rFonts w:ascii="Calibri" w:cs="Calibri" w:eastAsia="Calibri" w:hAnsi="Calibri"/>
                <w:rtl w:val="0"/>
              </w:rPr>
              <w:t xml:space="preserve">Permite al usuario definir el tamaño del entorno ingresando ya sea el volumen/litraje del acuario o en dado caso, las medidas de su acuario.</w:t>
            </w:r>
          </w:p>
          <w:p w:rsidR="00000000" w:rsidDel="00000000" w:rsidP="00000000" w:rsidRDefault="00000000" w:rsidRPr="00000000" w14:paraId="00000060">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 Selección de Especies y Compatibilidad</w:t>
            </w:r>
          </w:p>
          <w:p w:rsidR="00000000" w:rsidDel="00000000" w:rsidP="00000000" w:rsidRDefault="00000000" w:rsidRPr="00000000" w14:paraId="00000062">
            <w:pPr>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numPr>
                <w:ilvl w:val="0"/>
                <w:numId w:val="11"/>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Selección de especies: </w:t>
            </w:r>
            <w:r w:rsidDel="00000000" w:rsidR="00000000" w:rsidRPr="00000000">
              <w:rPr>
                <w:rFonts w:ascii="Calibri" w:cs="Calibri" w:eastAsia="Calibri" w:hAnsi="Calibri"/>
                <w:rtl w:val="0"/>
              </w:rPr>
              <w:t xml:space="preserve">el usuario podrá seleccionar las especies dentro un catálogo de distintas especies de peces clasificadas según: su ambiente, facilidad de mantenimiento y litrajes mínimos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4">
            <w:pPr>
              <w:spacing w:after="0" w:before="0" w:lineRule="auto"/>
              <w:ind w:left="60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5">
            <w:pPr>
              <w:numPr>
                <w:ilvl w:val="0"/>
                <w:numId w:val="10"/>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Validación de compatibilidad:</w:t>
            </w:r>
            <w:r w:rsidDel="00000000" w:rsidR="00000000" w:rsidRPr="00000000">
              <w:rPr>
                <w:rFonts w:ascii="Calibri" w:cs="Calibri" w:eastAsia="Calibri" w:hAnsi="Calibri"/>
                <w:rtl w:val="0"/>
              </w:rPr>
              <w:t xml:space="preserve"> Al usuario ingresar las especies de peces de su interés el sistema valida si las especies pueden convivir mediante el análisis de su temperamento,  requerimientos de agua base, comportamiento territorial y tamaño adulto.</w:t>
            </w:r>
          </w:p>
          <w:p w:rsidR="00000000" w:rsidDel="00000000" w:rsidP="00000000" w:rsidRDefault="00000000" w:rsidRPr="00000000" w14:paraId="00000066">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numPr>
                <w:ilvl w:val="0"/>
                <w:numId w:val="6"/>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Gestión de ocupación por nivel de nado:</w:t>
            </w:r>
            <w:r w:rsidDel="00000000" w:rsidR="00000000" w:rsidRPr="00000000">
              <w:rPr>
                <w:rFonts w:ascii="Calibri" w:cs="Calibri" w:eastAsia="Calibri" w:hAnsi="Calibri"/>
                <w:rtl w:val="0"/>
              </w:rPr>
              <w:t xml:space="preserve"> El sistema analiza si la distribución espacial de las especies seleccionadas (superficie, zona media y fondo) para evitar la saturación territorial en áreas específicas, promoviendo un entorno armónico y libre de estrés.</w:t>
            </w:r>
          </w:p>
          <w:p w:rsidR="00000000" w:rsidDel="00000000" w:rsidP="00000000" w:rsidRDefault="00000000" w:rsidRPr="00000000" w14:paraId="00000068">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9">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1.3 Soporte del Ecosistema y Resolución de Problemas</w:t>
            </w:r>
          </w:p>
          <w:p w:rsidR="00000000" w:rsidDel="00000000" w:rsidP="00000000" w:rsidRDefault="00000000" w:rsidRPr="00000000" w14:paraId="0000006A">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numPr>
                <w:ilvl w:val="0"/>
                <w:numId w:val="8"/>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Validación técnica de equipamiento: </w:t>
            </w:r>
            <w:r w:rsidDel="00000000" w:rsidR="00000000" w:rsidRPr="00000000">
              <w:rPr>
                <w:rFonts w:ascii="Calibri" w:cs="Calibri" w:eastAsia="Calibri" w:hAnsi="Calibri"/>
                <w:rtl w:val="0"/>
              </w:rPr>
              <w:t xml:space="preserve">El sistema  verifica que la decoración y el sustrato sean seguros para las especies. Además, cruza el volumen del tanque con el caudal del filtro (litros por hora) para alertar al usuario si la capacidad de filtración será insuficiente.</w:t>
            </w:r>
          </w:p>
          <w:p w:rsidR="00000000" w:rsidDel="00000000" w:rsidP="00000000" w:rsidRDefault="00000000" w:rsidRPr="00000000" w14:paraId="0000006C">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numPr>
                <w:ilvl w:val="0"/>
                <w:numId w:val="1"/>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Resolución guiada de conflictos:</w:t>
            </w:r>
            <w:r w:rsidDel="00000000" w:rsidR="00000000" w:rsidRPr="00000000">
              <w:rPr>
                <w:rFonts w:ascii="Calibri" w:cs="Calibri" w:eastAsia="Calibri" w:hAnsi="Calibri"/>
                <w:rtl w:val="0"/>
              </w:rPr>
              <w:t xml:space="preserve"> Al detectar un error, el sistema “pausa” el proceso para explicar el problema de forma simple y ofrece acciones para solucionarlo (ej. "Reemplazar alguna de las especies en conflicto", "Aumentar volumen del tanque")</w:t>
            </w:r>
          </w:p>
          <w:p w:rsidR="00000000" w:rsidDel="00000000" w:rsidP="00000000" w:rsidRDefault="00000000" w:rsidRPr="00000000" w14:paraId="0000006E">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1.4 Resultados y recursos del acuario</w:t>
            </w:r>
          </w:p>
          <w:p w:rsidR="00000000" w:rsidDel="00000000" w:rsidP="00000000" w:rsidRDefault="00000000" w:rsidRPr="00000000" w14:paraId="00000070">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numPr>
                <w:ilvl w:val="0"/>
                <w:numId w:val="2"/>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Generación de resultados: </w:t>
            </w:r>
            <w:r w:rsidDel="00000000" w:rsidR="00000000" w:rsidRPr="00000000">
              <w:rPr>
                <w:rFonts w:ascii="Calibri" w:cs="Calibri" w:eastAsia="Calibri" w:hAnsi="Calibri"/>
                <w:rtl w:val="0"/>
              </w:rPr>
              <w:t xml:space="preserve">Al finalizar la configuración, el sistema presenta un resumen en pantalla con los componentes seleccionados, los parámetros químicos óptimos derivados de las especies y plantas elegidas, y las recomendaciones de cuidado y aclimatación.</w:t>
            </w:r>
          </w:p>
          <w:p w:rsidR="00000000" w:rsidDel="00000000" w:rsidP="00000000" w:rsidRDefault="00000000" w:rsidRPr="00000000" w14:paraId="00000072">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numPr>
                <w:ilvl w:val="0"/>
                <w:numId w:val="13"/>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Lista de compras descargable:</w:t>
            </w:r>
            <w:r w:rsidDel="00000000" w:rsidR="00000000" w:rsidRPr="00000000">
              <w:rPr>
                <w:rFonts w:ascii="Calibri" w:cs="Calibri" w:eastAsia="Calibri" w:hAnsi="Calibri"/>
                <w:rtl w:val="0"/>
              </w:rPr>
              <w:t xml:space="preserve"> El usuario puede descargar un documento con los componentes físicos requeridos y sus especificaciones técnicas, incluyendo tipo de filtro, caudal mínimo, cantidad de sustrato y especificaciones de iluminación, junto con las especies y plantas seleccionadas con su cantidad recomendada.</w:t>
            </w:r>
          </w:p>
          <w:p w:rsidR="00000000" w:rsidDel="00000000" w:rsidP="00000000" w:rsidRDefault="00000000" w:rsidRPr="00000000" w14:paraId="00000074">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numPr>
                <w:ilvl w:val="0"/>
                <w:numId w:val="7"/>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Gestión de configuraciones guardadas: </w:t>
            </w:r>
            <w:r w:rsidDel="00000000" w:rsidR="00000000" w:rsidRPr="00000000">
              <w:rPr>
                <w:rFonts w:ascii="Calibri" w:cs="Calibri" w:eastAsia="Calibri" w:hAnsi="Calibri"/>
                <w:rtl w:val="0"/>
              </w:rPr>
              <w:t xml:space="preserve">El usuario puede guardar, consultar, editar y eliminar sus configuraciones de acuario. Al editar cualquier componente, el sistema recalcula automáticamente los valores dependientes para mantener la consistencia biológica de la configuración.</w:t>
            </w:r>
          </w:p>
          <w:p w:rsidR="00000000" w:rsidDel="00000000" w:rsidP="00000000" w:rsidRDefault="00000000" w:rsidRPr="00000000" w14:paraId="00000076">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7">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Plantillas predefinidas de acuario</w:t>
            </w:r>
          </w:p>
          <w:p w:rsidR="00000000" w:rsidDel="00000000" w:rsidP="00000000" w:rsidRDefault="00000000" w:rsidRPr="00000000" w14:paraId="00000078">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numPr>
                <w:ilvl w:val="0"/>
                <w:numId w:val="15"/>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Catálogo de plantillas: </w:t>
            </w:r>
            <w:r w:rsidDel="00000000" w:rsidR="00000000" w:rsidRPr="00000000">
              <w:rPr>
                <w:rFonts w:ascii="Calibri" w:cs="Calibri" w:eastAsia="Calibri" w:hAnsi="Calibri"/>
                <w:rtl w:val="0"/>
              </w:rPr>
              <w:t xml:space="preserve">El sistema ofrece un conjunto de configuraciones de acuario prediseñadas y validadas biológicamente, clasificadas por volumen y tipo de ambiente. El usuario puede explorarlas, ver su detalle completo y utilizarlas como punto de partida.</w:t>
            </w:r>
          </w:p>
          <w:p w:rsidR="00000000" w:rsidDel="00000000" w:rsidP="00000000" w:rsidRDefault="00000000" w:rsidRPr="00000000" w14:paraId="0000007A">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numPr>
                <w:ilvl w:val="0"/>
                <w:numId w:val="5"/>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Personalización de plantillas: </w:t>
            </w:r>
            <w:r w:rsidDel="00000000" w:rsidR="00000000" w:rsidRPr="00000000">
              <w:rPr>
                <w:rFonts w:ascii="Calibri" w:cs="Calibri" w:eastAsia="Calibri" w:hAnsi="Calibri"/>
                <w:rtl w:val="0"/>
              </w:rPr>
              <w:t xml:space="preserve">Al seleccionar una plantilla, el sistema genera una copia personal que el usuario puede modificar libremente sin alterar la plantilla original. El sistema recalcula automáticamente los valores dependientes ante cualquier cambio.</w:t>
            </w:r>
          </w:p>
          <w:p w:rsidR="00000000" w:rsidDel="00000000" w:rsidP="00000000" w:rsidRDefault="00000000" w:rsidRPr="00000000" w14:paraId="0000007C">
            <w:pPr>
              <w:spacing w:after="0" w:before="0" w:lineRule="auto"/>
              <w:ind w:left="-1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E">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Calendario de mantenimiento</w:t>
            </w:r>
          </w:p>
          <w:p w:rsidR="00000000" w:rsidDel="00000000" w:rsidP="00000000" w:rsidRDefault="00000000" w:rsidRPr="00000000" w14:paraId="0000007F">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numPr>
                <w:ilvl w:val="0"/>
                <w:numId w:val="12"/>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Modo mantenimiento: </w:t>
            </w:r>
            <w:r w:rsidDel="00000000" w:rsidR="00000000" w:rsidRPr="00000000">
              <w:rPr>
                <w:rFonts w:ascii="Calibri" w:cs="Calibri" w:eastAsia="Calibri" w:hAnsi="Calibri"/>
                <w:rtl w:val="0"/>
              </w:rPr>
              <w:t xml:space="preserve">Una vez completado una configuración, el sistema genera un calendario personalizado con las tareas de cuidado del acuario  (cambio de agua, monitoreo de parámetros y limpieza de filtro).</w:t>
            </w:r>
          </w:p>
          <w:p w:rsidR="00000000" w:rsidDel="00000000" w:rsidP="00000000" w:rsidRDefault="00000000" w:rsidRPr="00000000" w14:paraId="00000081">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2">
            <w:pPr>
              <w:numPr>
                <w:ilvl w:val="0"/>
                <w:numId w:val="3"/>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Exportación del calendario: </w:t>
            </w:r>
            <w:r w:rsidDel="00000000" w:rsidR="00000000" w:rsidRPr="00000000">
              <w:rPr>
                <w:rFonts w:ascii="Calibri" w:cs="Calibri" w:eastAsia="Calibri" w:hAnsi="Calibri"/>
                <w:rtl w:val="0"/>
              </w:rPr>
              <w:t xml:space="preserve">El usuario puede exportar su calendario de mantenimiento en un formato compatible con aplicaciones de agenda externas para tener sus tareas de cuidado siempre a la mano.</w:t>
            </w:r>
          </w:p>
          <w:p w:rsidR="00000000" w:rsidDel="00000000" w:rsidP="00000000" w:rsidRDefault="00000000" w:rsidRPr="00000000" w14:paraId="00000083">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spacing w:after="0" w:before="0" w:lineRule="auto"/>
              <w:ind w:left="-1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 Monitoreo de parámetros del agua</w:t>
            </w:r>
          </w:p>
          <w:p w:rsidR="00000000" w:rsidDel="00000000" w:rsidP="00000000" w:rsidRDefault="00000000" w:rsidRPr="00000000" w14:paraId="00000085">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numPr>
                <w:ilvl w:val="0"/>
                <w:numId w:val="16"/>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Registro de mediciones: </w:t>
            </w:r>
            <w:r w:rsidDel="00000000" w:rsidR="00000000" w:rsidRPr="00000000">
              <w:rPr>
                <w:rFonts w:ascii="Calibri" w:cs="Calibri" w:eastAsia="Calibri" w:hAnsi="Calibri"/>
                <w:rtl w:val="0"/>
              </w:rPr>
              <w:t xml:space="preserve">El usuario puede registrar manualmente las mediciones de temperatura, pH, amoníaco, nitritos y nitratos de su acuario. El sistema compara cada valor contra los rangos óptimos derivados de las especies de su configuración y alerta cuando alguno se encuentra fuera del rango saludable.</w:t>
            </w:r>
          </w:p>
          <w:p w:rsidR="00000000" w:rsidDel="00000000" w:rsidP="00000000" w:rsidRDefault="00000000" w:rsidRPr="00000000" w14:paraId="00000087">
            <w:pPr>
              <w:spacing w:after="0" w:before="0" w:lineRule="auto"/>
              <w:ind w:left="60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8">
            <w:pPr>
              <w:numPr>
                <w:ilvl w:val="0"/>
                <w:numId w:val="14"/>
              </w:numPr>
              <w:spacing w:after="0" w:before="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Historial y recomendaciones de acción: </w:t>
            </w:r>
            <w:r w:rsidDel="00000000" w:rsidR="00000000" w:rsidRPr="00000000">
              <w:rPr>
                <w:rFonts w:ascii="Calibri" w:cs="Calibri" w:eastAsia="Calibri" w:hAnsi="Calibri"/>
                <w:rtl w:val="0"/>
              </w:rPr>
              <w:t xml:space="preserve">El sistema mantiene un historial de mediciones por configuración y muestra una tabla de registros ordenada por fecha. Ante valores fuera de rango, presenta al usuario una recomendación de acción concreta para corregir el problema.</w:t>
            </w:r>
          </w:p>
          <w:p w:rsidR="00000000" w:rsidDel="00000000" w:rsidP="00000000" w:rsidRDefault="00000000" w:rsidRPr="00000000" w14:paraId="00000089">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spacing w:after="240" w:before="240" w:line="276"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C">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spacing w:after="0" w:before="0" w:lineRule="auto"/>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E">
            <w:pPr>
              <w:ind w:left="-120" w:firstLine="0"/>
              <w:jc w:val="both"/>
              <w:rPr>
                <w:rFonts w:ascii="Calibri" w:cs="Calibri" w:eastAsia="Calibri" w:hAnsi="Calibri"/>
                <w:b w:val="1"/>
                <w:bCs w:val="1"/>
                <w:color w:val="8064a2"/>
              </w:rPr>
            </w:pPr>
            <w:r w:rsidDel="00000000" w:rsidR="00000000" w:rsidRPr="00000000">
              <w:rPr>
                <w:rFonts w:ascii="Calibri" w:cs="Calibri" w:eastAsia="Calibri" w:hAnsi="Calibri"/>
                <w:b w:val="1"/>
                <w:bCs w:val="1"/>
                <w:color w:val="8064a2"/>
                <w:rtl w:val="0"/>
              </w:rPr>
              <w:t xml:space="preserve"> </w:t>
            </w:r>
          </w:p>
          <w:p w:rsidR="00000000" w:rsidDel="00000000" w:rsidP="00000000" w:rsidRDefault="00000000" w:rsidRPr="00000000" w14:paraId="0000008F">
            <w:pPr>
              <w:ind w:left="-12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970"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91">
            <w:pPr>
              <w:pStyle w:val="Heading1"/>
              <w:rPr/>
            </w:pPr>
            <w:bookmarkStart w:colFirst="0" w:colLast="0" w:name="_heading=h.9y5xncgsy55i" w:id="8"/>
            <w:bookmarkEnd w:id="8"/>
            <w:r w:rsidDel="00000000" w:rsidR="00000000" w:rsidRPr="00000000">
              <w:rPr>
                <w:rtl w:val="0"/>
              </w:rPr>
              <w:t xml:space="preserve">Trabajos relacionados</w:t>
            </w:r>
          </w:p>
        </w:tc>
        <w:tc>
          <w:tcPr>
            <w:tcBorders>
              <w:top w:color="000000" w:space="0" w:sz="8" w:val="single"/>
              <w:bottom w:color="000000" w:space="0" w:sz="8" w:val="single"/>
            </w:tcBorders>
          </w:tcPr>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A continuación, se presentan las referencias y bibliografía de plataformas existentes y artículos científicos relacionados con el desarrollo de NETZA-TANK, estructurados en formato IEEE: </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1. [1] AqAdvisor, "AqAdvisor - Intelligent Freshwater Aquarium Calculator." [En línea]. Disponible en: https://aqadvisor.com/ </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Descripción: AqAdvisor es una de las soluciones más populares en la acuariofilia para el cálculo de la carga biológica y la sugerencia de rutinas de mantenimiento (como el porcentaje de cambios de agua). Sin embargo, la plataforma utiliza formularios estáticos y desactualizados que asumen que el usuario ya conoce los principios básicos de la química del agua. Su modelo permite al usuario configurar un ecosistema erróneo y arroja una alerta de sobrepoblación o incompatibilidad solo hasta el final del proceso. Esta limitación justifica el enfoque preventivo de NETZA-TANK, el cual bloquea las incompatibilidades  en tiempo real y sugiere alternativas viables mediante una interfaz más amigable. </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2. [2] FishHuddle, "FishHuddle - Aquarium Community and Compatibility." [En línea]. Disponible en: https://fishhuddle.com/ </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Descripción: FishHuddle ofrece herramientas para analizar la compatibilidad de requerimientos de agua (pH, temperatura) y temperamento entre especies. Aunque es útil, carece de un enfoque de ecosistema completo, ya que solo se centra en los peces y los parámetros del agua. A diferencia de FishHuddle, NETZA-TANK valida todo el entorno, incluyendo la compatibilidad del sustrato y la decoración, e integra guías educativas sobre el ciclado del acuario. </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3. [3] D. S. Rucinque, A. P. O. Souza, y C. F. M. Molento, "Perception of Fish Sentience, Welfare and Humane Slaughter by Highly Educated Citizens of Bogotá, Colombia and Curitiba, Brazil," PLoS ONE, vol. 12, no. 1, p. e0168197, 2017. </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Descripción: Para fundamentar el problema de la empatía hacia las especies acuáticas, Rucinque, Souza y Molento exploran cómo los ciudadanos perciben la sintiencia y el bienestar de los peces. Los autores evidencian que al no verlos como seres plenamente conscientes, las personas normalizan su maltrato y pierden el interés por aprender sobre sus cuidados básicos. La investigación de estos autores se integra directamente en los objetivos de NETZA-TANK, que busca utilizar la usabilidad y el diseño visual para romper esta barrera de empatía y educar al usuario. </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4. [4] C. M. Maia, A. C. d. S. Gauy, y E. Gonçalves-de-Freitas, "Fish Welfare in the Ornamental Trade: Stress Factors, Legislation, and Emerging Initiatives," Fishes, vol. 10, no. 5, p. 224, 2025. </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Descripción: En el contexto del comercio de peces como mascotas, Maia, Gauy y Gonçalves-de-Freitas examinan los factores de estrés a los que son sometidas las especies ornamentales. Los autores señalan la urgencia de establecer iniciativas emergentes que garanticen el bienestar en los acuarios caseros. Siguiendo la postura de estos autores, NETZA-TANK incorpora un sistema de soporte que detecta y avisa sobre necesidades específicas de hábitat , previniendo el estrés animal desde el momento de la planificación. </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5. [5] R. G. Oldfield y E. K. Murphy, "Life in a fishbowl: Space and environmental enrichment affect behaviour of Betta splendens," Animal welfare, vol. 33, p. e1, 2024. </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Descripción: Abordando el error común de comprar peceras insuficientes o circulares , Oldfield y Murphy demuestran empíricamente cómo la falta de espacio y de enriquecimiento ambiental afecta de manera negativa el comportamiento de los peces. Los hallazgos de estos autores respaldan la funcionalidad de "Análisis de Capacidad" de NETZA-TANK, la cual calcula el volumen real del tanque para prevenir la sobrepoblación y valida que la decoración sea adecuada. </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 [6] Seriously Fish, "Seriously Fish." [En línea]. Disponible en:</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1155cc"/>
                  <w:u w:val="single"/>
                  <w:rtl w:val="0"/>
                </w:rPr>
                <w:t xml:space="preserve">http://www.seriouslyfish.com/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Descripción: Seriously Fish es uno de los directorios y bases de datos más completos y consultados en la acuariofilia a nivel mundial. Proporciona información exhaustiva sobre la compatibilidad entre especies, parámetros exactos del agua y requerimientos dietéticos. No obstante, su modelo exige que el usuario busque cada especie de forma individual y cruce los datos biológicos y químicos manualmente para determinar si pueden coexistir, lo cual resulta complejo y propenso a errores para un principiante. Esta limitación resalta el valor de NETZA-TANK, que automatiza el análisis y cruce de toda esta información en tiempo real, validando la compatibilidad del ecosistema de manera proactiva e interactiva sin obligar al usuario a investigar por su cuenta.</w:t>
            </w:r>
          </w:p>
          <w:p w:rsidR="00000000" w:rsidDel="00000000" w:rsidP="00000000" w:rsidRDefault="00000000" w:rsidRPr="00000000" w14:paraId="000000AC">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7. [7] Aqua Diary (AcuaDiario), "Tu diario de acuario - Aqua Diary." [En línea]. Disponible en:</w:t>
            </w:r>
            <w:hyperlink r:id="rId12">
              <w:r w:rsidDel="00000000" w:rsidR="00000000" w:rsidRPr="00000000">
                <w:rPr>
                  <w:rFonts w:ascii="Calibri" w:cs="Calibri" w:eastAsia="Calibri" w:hAnsi="Calibri"/>
                  <w:rtl w:val="0"/>
                </w:rPr>
                <w:t xml:space="preserve"> </w:t>
              </w:r>
            </w:hyperlink>
            <w:hyperlink r:id="rId13">
              <w:r w:rsidDel="00000000" w:rsidR="00000000" w:rsidRPr="00000000">
                <w:rPr>
                  <w:rFonts w:ascii="Calibri" w:cs="Calibri" w:eastAsia="Calibri" w:hAnsi="Calibri"/>
                  <w:color w:val="1155cc"/>
                  <w:u w:val="single"/>
                  <w:rtl w:val="0"/>
                </w:rPr>
                <w:t xml:space="preserve">https://aqua-diary.com/es</w:t>
              </w:r>
            </w:hyperlink>
            <w:r w:rsidDel="00000000" w:rsidR="00000000" w:rsidRPr="00000000">
              <w:rPr>
                <w:rtl w:val="0"/>
              </w:rPr>
            </w:r>
          </w:p>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Descripción: Aqua Diary es una aplicación diseñada como una bitácora digital para acuaristas. Su función principal es permitir al usuario registrar mediciones de los parámetros del agua, organizar tareas de mantenimiento mediante un calendario con alarmas y llevar un historial fotográfico del tanque. Aunque es una herramienta útil para el monitoreo a largo plazo, su enfoque es de registro y no de prevención. No cuenta con un simulador que evalúe proactivamente la compatibilidad de las especies, ni la viabilidad técnica del equipo antes de que el usuario lo instale. Esta característica refuerza la propuesta de valor de NETZA-TANK, que actúa desde el inicio como una guía interactiva que bloquea combinaciones erróneas y educa al usuario antes de que ocurra un problema, en lugar de limitarse a documentar un ecosistema ya creado.</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r>
          </w:p>
        </w:tc>
      </w:tr>
      <w:tr>
        <w:trPr>
          <w:cantSplit w:val="0"/>
          <w:trHeight w:val="1253" w:hRule="atLeast"/>
          <w:tblHeader w:val="0"/>
        </w:trPr>
        <w:tc>
          <w:tcPr/>
          <w:p w:rsidR="00000000" w:rsidDel="00000000" w:rsidP="00000000" w:rsidRDefault="00000000" w:rsidRPr="00000000" w14:paraId="000000B0">
            <w:pPr>
              <w:pStyle w:val="Heading1"/>
              <w:rPr>
                <w:rFonts w:ascii="Calibri" w:cs="Calibri" w:eastAsia="Calibri" w:hAnsi="Calibri"/>
                <w:sz w:val="24"/>
                <w:szCs w:val="24"/>
              </w:rPr>
            </w:pPr>
            <w:bookmarkStart w:colFirst="0" w:colLast="0" w:name="_heading=h.za14rf5farol" w:id="9"/>
            <w:bookmarkEnd w:id="9"/>
            <w:r w:rsidDel="00000000" w:rsidR="00000000" w:rsidRPr="00000000">
              <w:rPr>
                <w:rtl w:val="0"/>
              </w:rPr>
            </w:r>
          </w:p>
          <w:p w:rsidR="00000000" w:rsidDel="00000000" w:rsidP="00000000" w:rsidRDefault="00000000" w:rsidRPr="00000000" w14:paraId="000000B1">
            <w:pPr>
              <w:pStyle w:val="Heading1"/>
              <w:rPr>
                <w:rFonts w:ascii="Calibri" w:cs="Calibri" w:eastAsia="Calibri" w:hAnsi="Calibri"/>
                <w:sz w:val="24"/>
                <w:szCs w:val="24"/>
              </w:rPr>
            </w:pPr>
            <w:bookmarkStart w:colFirst="0" w:colLast="0" w:name="_heading=h.6806vjrh6kzz" w:id="10"/>
            <w:bookmarkEnd w:id="10"/>
            <w:r w:rsidDel="00000000" w:rsidR="00000000" w:rsidRPr="00000000">
              <w:rPr>
                <w:rFonts w:ascii="Calibri" w:cs="Calibri" w:eastAsia="Calibri" w:hAnsi="Calibri"/>
                <w:sz w:val="24"/>
                <w:szCs w:val="24"/>
                <w:rtl w:val="0"/>
              </w:rPr>
              <w:t xml:space="preserve">Plan de investigación</w:t>
            </w:r>
          </w:p>
        </w:tc>
        <w:tc>
          <w:tcPr>
            <w:tcBorders>
              <w:top w:color="000000" w:space="0" w:sz="8" w:val="single"/>
              <w:bottom w:color="000000" w:space="0" w:sz="8" w:val="single"/>
            </w:tcBorders>
          </w:tcPr>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tc>
      </w:tr>
      <w:tr>
        <w:trPr>
          <w:cantSplit w:val="0"/>
          <w:trHeight w:val="1253" w:hRule="atLeast"/>
          <w:tblHeader w:val="0"/>
        </w:trPr>
        <w:tc>
          <w:tcPr/>
          <w:p w:rsidR="00000000" w:rsidDel="00000000" w:rsidP="00000000" w:rsidRDefault="00000000" w:rsidRPr="00000000" w14:paraId="000000B4">
            <w:pPr>
              <w:pStyle w:val="Heading1"/>
              <w:rPr>
                <w:rFonts w:ascii="Calibri" w:cs="Calibri" w:eastAsia="Calibri" w:hAnsi="Calibri"/>
                <w:sz w:val="24"/>
                <w:szCs w:val="24"/>
              </w:rPr>
            </w:pPr>
            <w:bookmarkStart w:colFirst="0" w:colLast="0" w:name="_heading=h.hp4nbwjhbr7s" w:id="11"/>
            <w:bookmarkEnd w:id="11"/>
            <w:r w:rsidDel="00000000" w:rsidR="00000000" w:rsidRPr="00000000">
              <w:rPr>
                <w:rFonts w:ascii="Calibri" w:cs="Calibri" w:eastAsia="Calibri" w:hAnsi="Calibri"/>
                <w:sz w:val="24"/>
                <w:szCs w:val="24"/>
                <w:rtl w:val="0"/>
              </w:rPr>
              <w:t xml:space="preserve">Plan de actividades</w:t>
            </w:r>
          </w:p>
        </w:tc>
        <w:tc>
          <w:tcPr>
            <w:tcBorders>
              <w:top w:color="000000" w:space="0" w:sz="8" w:val="single"/>
              <w:bottom w:color="000000" w:space="0" w:sz="8" w:val="single"/>
            </w:tcBorders>
          </w:tcPr>
          <w:p w:rsidR="00000000" w:rsidDel="00000000" w:rsidP="00000000" w:rsidRDefault="00000000" w:rsidRPr="00000000" w14:paraId="000000B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B6">
      <w:pPr>
        <w:pStyle w:val="Heading1"/>
        <w:rPr/>
      </w:pPr>
      <w:bookmarkStart w:colFirst="0" w:colLast="0" w:name="_heading=h.rzp9gh731qpk" w:id="12"/>
      <w:bookmarkEnd w:id="12"/>
      <w:r w:rsidDel="00000000" w:rsidR="00000000" w:rsidRPr="00000000">
        <w:rPr>
          <w:rtl w:val="0"/>
        </w:rPr>
        <w:t xml:space="preserve">Conclusiones</w:t>
      </w:r>
    </w:p>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Este proyecto representa una solución confiable y preventiva frente  a la desinformación y la barrera de la empatía que predomina en la acuariofilia principiante, además de ser una herramienta que puede ser usada por gente con mayor experiencia para validar la viabilidad de sus proyectos. A través de nuestras funcionalidades que abarcan desde la planificación del proyecto hasta el mantenimiento buscamos que el usuario se sienta seguro y confiado durante todo el proceso y pueda gestionar más fácilmente su acuario. Para poder cumplir esta visión, el trabajo se distribuye entre un equipo de cinco responsables , ejecutándose en un tiempo definido mediante fases secuenciales que avanzan desde la investigación empírica hasta el prototipado iterativo y las pruebas de usabilidad. En cuanto a los costos, la inversión principal será en el esfuerzo humano dedicado al diseño, aplicación y análisis de los diversos métodos de recolección de datos. Finalmente, entre las cuestiones abiertas a resolver durante el proceso, destaca el reto de analizar e identificar las discrepancias entre el comportamiento que los usuarios dicen y el que realmente hacen , así como asegurar la disponibilidad de expertos técnicos cuyas entrevistas son vitales para validar el conocimiento que ofrecerá el sistema.</w:t>
      </w:r>
    </w:p>
    <w:p w:rsidR="00000000" w:rsidDel="00000000" w:rsidP="00000000" w:rsidRDefault="00000000" w:rsidRPr="00000000" w14:paraId="000000B8">
      <w:pPr>
        <w:jc w:val="both"/>
        <w:rPr>
          <w:rFonts w:ascii="Calibri" w:cs="Calibri" w:eastAsia="Calibri" w:hAnsi="Calibri"/>
          <w:color w:val="8064a2"/>
        </w:rPr>
      </w:pPr>
      <w:r w:rsidDel="00000000" w:rsidR="00000000" w:rsidRPr="00000000">
        <w:rPr>
          <w:rtl w:val="0"/>
        </w:rPr>
      </w:r>
    </w:p>
    <w:sectPr>
      <w:type w:val="nextPage"/>
      <w:pgSz w:h="15840" w:w="12240" w:orient="portrait"/>
      <w:pgMar w:bottom="1267" w:top="180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Verdan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jc w:val="right"/>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rPr>
        <w:b w:val="1"/>
        <w:bCs w:val="1"/>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jc w:val="right"/>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rPr>
        <w:b w:val="1"/>
        <w:bCs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-489581</wp:posOffset>
          </wp:positionH>
          <wp:positionV relativeFrom="paragraph">
            <wp:posOffset>-382903</wp:posOffset>
          </wp:positionV>
          <wp:extent cx="1619250" cy="1204595"/>
          <wp:effectExtent b="0" l="0" r="0" t="0"/>
          <wp:wrapNone/>
          <wp:docPr descr="logo uady2" id="4" name="image1.jpg"/>
          <a:graphic>
            <a:graphicData uri="http://schemas.openxmlformats.org/drawingml/2006/picture">
              <pic:pic>
                <pic:nvPicPr>
                  <pic:cNvPr descr="logo uady2" id="0" name="image1.jpg"/>
                  <pic:cNvPicPr preferRelativeResize="0"/>
                </pic:nvPicPr>
                <pic:blipFill>
                  <a:blip r:embed="rId1"/>
                  <a:srcRect b="0" l="0" r="0" t="0"/>
                  <a:stretch>
                    <a:fillRect/>
                  </a:stretch>
                </pic:blipFill>
                <pic:spPr>
                  <a:xfrm>
                    <a:off x="0" y="0"/>
                    <a:ext cx="1619250" cy="1204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1095375</wp:posOffset>
              </wp:positionH>
              <wp:positionV relativeFrom="paragraph">
                <wp:posOffset>-304798</wp:posOffset>
              </wp:positionV>
              <wp:extent cx="3562350" cy="832972"/>
              <wp:effectExtent b="0" l="0" r="0" t="0"/>
              <wp:wrapNone/>
              <wp:docPr id="1" name=""/>
              <a:graphic>
                <a:graphicData uri="http://schemas.microsoft.com/office/word/2010/wordprocessingShape">
                  <wps:wsp>
                    <wps:cNvSpPr/>
                    <wps:cNvPr id="2" name="Shape 2"/>
                    <wps:spPr>
                      <a:xfrm>
                        <a:off x="3602925" y="3394238"/>
                        <a:ext cx="3486150" cy="77152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0" w:line="240"/>
                            <w:ind w:left="-720" w:right="0" w:firstLine="-72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Título del Documento: </w:t>
                          </w:r>
                          <w:r w:rsidDel="00000000" w:rsidR="00000000" w:rsidRPr="00000000">
                            <w:rPr>
                              <w:rFonts w:ascii="Times" w:cs="Times" w:eastAsia="Times" w:hAnsi="Times"/>
                              <w:b w:val="0"/>
                              <w:i w:val="0"/>
                              <w:smallCaps w:val="0"/>
                              <w:strike w:val="0"/>
                              <w:color w:val="000000"/>
                              <w:sz w:val="20"/>
                              <w:vertAlign w:val="baseline"/>
                            </w:rPr>
                            <w:t xml:space="preserve">Guía de definición del proyecto.</w:t>
                          </w:r>
                        </w:p>
                        <w:p w:rsidR="00000000" w:rsidDel="00000000" w:rsidP="00000000" w:rsidRDefault="00000000" w:rsidRPr="00000000">
                          <w:pPr>
                            <w:spacing w:after="20" w:before="0" w:line="240"/>
                            <w:ind w:left="0" w:right="0" w:firstLine="0"/>
                            <w:jc w:val="left"/>
                            <w:textDirection w:val="btLr"/>
                          </w:pPr>
                          <w:r w:rsidDel="00000000" w:rsidR="00000000" w:rsidRPr="00000000">
                            <w:rPr>
                              <w:rFonts w:ascii="Times" w:cs="Times" w:eastAsia="Times" w:hAnsi="Times"/>
                              <w:b w:val="0"/>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ORGANIZACIÓN PATROCINANTE: FMAT-UADY</w:t>
                          </w:r>
                        </w:p>
                        <w:p w:rsidR="00000000" w:rsidDel="00000000" w:rsidP="00000000" w:rsidRDefault="00000000" w:rsidRPr="00000000">
                          <w:pPr>
                            <w:spacing w:after="20" w:before="20" w:line="219.0000057220459"/>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PROYECTO: </w:t>
                          </w:r>
                          <w:r w:rsidDel="00000000" w:rsidR="00000000" w:rsidRPr="00000000">
                            <w:rPr>
                              <w:rFonts w:ascii="Times" w:cs="Times" w:eastAsia="Times" w:hAnsi="Times"/>
                              <w:b w:val="1"/>
                              <w:i w:val="0"/>
                              <w:smallCaps w:val="0"/>
                              <w:strike w:val="0"/>
                              <w:color w:val="8064a2"/>
                              <w:sz w:val="20"/>
                              <w:vertAlign w:val="baseline"/>
                            </w:rPr>
                            <w:t xml:space="preserve">[Netza-Tank]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1095375</wp:posOffset>
              </wp:positionH>
              <wp:positionV relativeFrom="paragraph">
                <wp:posOffset>-304798</wp:posOffset>
              </wp:positionV>
              <wp:extent cx="3562350" cy="832972"/>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562350" cy="8329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4581525</wp:posOffset>
              </wp:positionH>
              <wp:positionV relativeFrom="paragraph">
                <wp:posOffset>-19049</wp:posOffset>
              </wp:positionV>
              <wp:extent cx="1711960" cy="561975"/>
              <wp:effectExtent b="0" l="0" r="0" t="0"/>
              <wp:wrapNone/>
              <wp:docPr id="2" name=""/>
              <a:graphic>
                <a:graphicData uri="http://schemas.microsoft.com/office/word/2010/wordprocessingShape">
                  <wps:wsp>
                    <wps:cNvSpPr/>
                    <wps:cNvPr id="3" name="Shape 3"/>
                    <wps:spPr>
                      <a:xfrm>
                        <a:off x="4528120" y="3537113"/>
                        <a:ext cx="1635760" cy="48577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0000057220459"/>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Fecha: </w:t>
                          </w:r>
                          <w:r w:rsidDel="00000000" w:rsidR="00000000" w:rsidRPr="00000000">
                            <w:rPr>
                              <w:rFonts w:ascii="Arial" w:cs="Arial" w:eastAsia="Arial" w:hAnsi="Arial"/>
                              <w:b w:val="1"/>
                              <w:i w:val="0"/>
                              <w:smallCaps w:val="0"/>
                              <w:strike w:val="0"/>
                              <w:color w:val="8064a2"/>
                              <w:sz w:val="20"/>
                              <w:vertAlign w:val="baseline"/>
                            </w:rPr>
                            <w:t xml:space="preserve">[fecha de rev]</w:t>
                          </w:r>
                        </w:p>
                        <w:p w:rsidR="00000000" w:rsidDel="00000000" w:rsidP="00000000" w:rsidRDefault="00000000" w:rsidRPr="00000000">
                          <w:pPr>
                            <w:spacing w:after="20" w:before="20" w:line="219.0000057220459"/>
                            <w:ind w:left="0" w:right="0" w:firstLine="0"/>
                            <w:jc w:val="both"/>
                            <w:textDirection w:val="btLr"/>
                          </w:pPr>
                          <w:r w:rsidDel="00000000" w:rsidR="00000000" w:rsidRPr="00000000">
                            <w:rPr>
                              <w:rFonts w:ascii="Arial" w:cs="Arial" w:eastAsia="Arial" w:hAnsi="Arial"/>
                              <w:b w:val="1"/>
                              <w:i w:val="0"/>
                              <w:smallCaps w:val="0"/>
                              <w:strike w:val="0"/>
                              <w:color w:val="8064a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4581525</wp:posOffset>
              </wp:positionH>
              <wp:positionV relativeFrom="paragraph">
                <wp:posOffset>-19049</wp:posOffset>
              </wp:positionV>
              <wp:extent cx="1711960" cy="56197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711960" cy="561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4581525</wp:posOffset>
              </wp:positionH>
              <wp:positionV relativeFrom="paragraph">
                <wp:posOffset>-304798</wp:posOffset>
              </wp:positionV>
              <wp:extent cx="1711960" cy="361950"/>
              <wp:effectExtent b="0" l="0" r="0" t="0"/>
              <wp:wrapNone/>
              <wp:docPr id="3" name=""/>
              <a:graphic>
                <a:graphicData uri="http://schemas.microsoft.com/office/word/2010/wordprocessingShape">
                  <wps:wsp>
                    <wps:cNvSpPr/>
                    <wps:cNvPr id="4" name="Shape 4"/>
                    <wps:spPr>
                      <a:xfrm>
                        <a:off x="4528120" y="3637125"/>
                        <a:ext cx="1635760" cy="285750"/>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0000057220459"/>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Revision: </w:t>
                          </w:r>
                          <w:r w:rsidDel="00000000" w:rsidR="00000000" w:rsidRPr="00000000">
                            <w:rPr>
                              <w:rFonts w:ascii="Arial" w:cs="Arial" w:eastAsia="Arial" w:hAnsi="Arial"/>
                              <w:b w:val="1"/>
                              <w:i w:val="0"/>
                              <w:smallCaps w:val="0"/>
                              <w:strike w:val="0"/>
                              <w:color w:val="8064a2"/>
                              <w:sz w:val="20"/>
                              <w:vertAlign w:val="baseline"/>
                            </w:rPr>
                            <w:t xml:space="preserve">[número rev]</w:t>
                          </w:r>
                        </w:p>
                        <w:p w:rsidR="00000000" w:rsidDel="00000000" w:rsidP="00000000" w:rsidRDefault="00000000" w:rsidRPr="00000000">
                          <w:pPr>
                            <w:spacing w:after="20" w:before="20" w:line="219.0000057220459"/>
                            <w:ind w:left="0" w:right="0" w:firstLine="0"/>
                            <w:jc w:val="left"/>
                            <w:textDirection w:val="btLr"/>
                          </w:pPr>
                          <w:r w:rsidDel="00000000" w:rsidR="00000000" w:rsidRPr="00000000">
                            <w:rPr>
                              <w:rFonts w:ascii="Arial" w:cs="Arial" w:eastAsia="Arial" w:hAnsi="Arial"/>
                              <w:b w:val="1"/>
                              <w:i w:val="0"/>
                              <w:smallCaps w:val="0"/>
                              <w:strike w:val="0"/>
                              <w:color w:val="8064a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4581525</wp:posOffset>
              </wp:positionH>
              <wp:positionV relativeFrom="paragraph">
                <wp:posOffset>-304798</wp:posOffset>
              </wp:positionV>
              <wp:extent cx="1711960" cy="36195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711960" cy="3619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MX"/>
      </w:rPr>
    </w:rPrDefault>
    <w:pPrDefault>
      <w:pPr>
        <w:spacing w:after="20" w:before="20" w:line="2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seriouslyfish.com/" TargetMode="External"/><Relationship Id="rId10" Type="http://schemas.openxmlformats.org/officeDocument/2006/relationships/hyperlink" Target="http://www.seriouslyfish.com/" TargetMode="External"/><Relationship Id="rId13" Type="http://schemas.openxmlformats.org/officeDocument/2006/relationships/hyperlink" Target="https://aqua-diary.com/es" TargetMode="External"/><Relationship Id="rId12" Type="http://schemas.openxmlformats.org/officeDocument/2006/relationships/hyperlink" Target="https://aqua-diary.c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U91GAYdrajjcm2yltT/Yt4PDg==">CgMxLjAyDmguZ2tobDVpZnMycmhlMg5oLnFvaHJ0bmViOHc2ejIOaC40cmsxY2t4cXY2eXgyDmguMm9xYXc0cHp6YmcwMg5oLndzNGNoZWhqeGp0aTIOaC5mZnk4MTlkNDBvZmcyDmgucmVkYXpxbHU3eXNuMg5oLjh1ZzhmY3ZvMjFsbTIOaC45eTV4bmNnc3k1NWkyDmguemExNHJmNWZhcm9sMg5oLjY4MDZ2anJoNmt6ejIOaC5ocDRuYndqaGJyN3MyDmgucnpwOWdoNzMxcXBrOAByITFkMnFaS19fbXA1UTJuSDNtNGJTZkRBYk1kMnlfU0w0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