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52.png" ContentType="image/png"/>
  <Override PartName="/word/media/rId75.png" ContentType="image/png"/>
  <Override PartName="/word/media/rId58.png" ContentType="image/png"/>
  <Override PartName="/word/media/rId70.png" ContentType="image/png"/>
  <Override PartName="/word/media/rId65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X49fff7aa50474b71656d21e10a557bccb3864b2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RobustCrop: A Leak-Free Machine Learning Pipeline for Crop Recommendation with Sensor Degradation Analysis and Cross-Dataset Feature Consistency</w:t>
      </w:r>
    </w:p>
    <w:p>
      <w:pPr>
        <w:pStyle w:val="FirstParagraph"/>
      </w:pPr>
      <w:r>
        <w:rPr>
          <w:b/>
          <w:bCs/>
        </w:rPr>
        <w:t xml:space="preserve">Anuradha Brijwal</w:t>
      </w:r>
      <w:r>
        <w:rPr>
          <w:b/>
          <w:bCs/>
          <w:vertAlign w:val="superscript"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· Praveena Chaturvedi</w:t>
      </w:r>
      <w:r>
        <w:rPr>
          <w:b/>
          <w:bCs/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Research Scholar, Department of Computer Science, Kanya Gurukul Campus Dehradun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Professor, Department of Computer Science, Kanya Gurukul Campus Dehradun</w:t>
      </w:r>
    </w:p>
    <w:p>
      <w:pPr>
        <w:pStyle w:val="BodyText"/>
      </w:pPr>
      <w:r>
        <w:rPr>
          <w:i/>
          <w:iCs/>
        </w:rPr>
        <w:t xml:space="preserve">Gurukul Kangri (Deemed to be University), Haridwar, Uttarakhand, India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Abstract</w:t>
      </w:r>
    </w:p>
    <w:p>
      <w:pPr>
        <w:pStyle w:val="FirstParagraph"/>
      </w:pPr>
      <w:r>
        <w:t xml:space="preserve">Deploying machine learning for crop recommendation in real agricultural settings requires addressing three practical challenges overlooked by prior work: data leakage in preprocessing pipelines, class imbalance in real-world soil data, and over-reliance on semi-synthetic benchmarks without external validation. This paper proposes</w:t>
      </w:r>
      <w:r>
        <w:t xml:space="preserve"> </w:t>
      </w:r>
      <w:r>
        <w:rPr>
          <w:b/>
          <w:bCs/>
        </w:rPr>
        <w:t xml:space="preserve">RobustCrop</w:t>
      </w:r>
      <w:r>
        <w:t xml:space="preserve">, a leak-free pipeline that encapsulates feature scaling, mutual-information-based feature selection, and classification within a single scikit-learn Pipeline per cross-validation fold, eliminating the information leakage that inflates accuracy in prior studies. A</w:t>
      </w:r>
      <w:r>
        <w:t xml:space="preserve"> </w:t>
      </w:r>
      <w:r>
        <w:rPr>
          <w:b/>
          <w:bCs/>
        </w:rPr>
        <w:t xml:space="preserve">BalWeightWrapper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sample_weight='balanced'</w:t>
      </w:r>
      <w:r>
        <w:t xml:space="preserve"> </w:t>
      </w:r>
      <w:r>
        <w:t xml:space="preserve">imbalance correction for all classifiers — including those without native</w:t>
      </w:r>
      <w:r>
        <w:t xml:space="preserve"> </w:t>
      </w:r>
      <w:r>
        <w:rPr>
          <w:rStyle w:val="VerbatimChar"/>
        </w:rPr>
        <w:t xml:space="preserve">class_weight</w:t>
      </w:r>
      <w:r>
        <w:t xml:space="preserve"> </w:t>
      </w:r>
      <w:r>
        <w:t xml:space="preserve">support (XGBoost, Gradient Boosting, MLP, KNN, GaussianNB) — ensuring fair comparison. Optional</w:t>
      </w:r>
      <w:r>
        <w:t xml:space="preserve"> </w:t>
      </w:r>
      <w:r>
        <w:rPr>
          <w:b/>
          <w:bCs/>
        </w:rPr>
        <w:t xml:space="preserve">Optuna-based nested CV</w:t>
      </w:r>
      <w:r>
        <w:t xml:space="preserve"> </w:t>
      </w:r>
      <w:r>
        <w:t xml:space="preserve">(30 trials, 3-fold inner loop) enables systematic hyperparameter tuning. We evaluate on two datasets: a primary crop recommendation dataset (2,200 samples, 22 semi-synthetic classes) and a real-world soil fertility dataset (880 samples, 3 classes, 11.28:1 imbalance ratio). On real-world data, the proposed Random Forest pipeline achieves</w:t>
      </w:r>
      <w:r>
        <w:t xml:space="preserve"> </w:t>
      </w:r>
      <w:r>
        <w:rPr>
          <w:b/>
          <w:bCs/>
        </w:rPr>
        <w:t xml:space="preserve">91.25% ± 0.77% accuracy</w:t>
      </w:r>
      <w:r>
        <w:t xml:space="preserve"> </w:t>
      </w:r>
      <w:r>
        <w:t xml:space="preserve">(κ = 0.8364, macro-F1 = 81.85%), outperforming nine benchmark classifiers. SHAP analysis identifies humidity and rainfall as dominant predictors, with potassium and nitrogen as key soil nutrient differentiators. Literature-grounded sensor degradation analysis under monotonic drift shows decay from 94.05% (7-day) to 16.09% (90-day drift), establishing that weekly recalibration maintains &gt;94% accuracy. Cross-dataset feature consistency analysis reveals phosphorus as the most transferable feature (consistency = 0.804) while potassium importance is task-dependent (0.293). A Friedman test across classifiers confirms statistically significant differences (χ² = 32.32, p &lt; 0.001). These findings provide actionable deployment guidance for ML-based crop recommendation in resource-constrained agricultural IoT settings.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Crop Recommendation, Feature Selection, Soil Nutrients, Precision Agriculture, Machine Learning, Sensor Degradation, SHAP Explainability, Cross-Dataset Analysis, Class Imbalance, Hyperparameter Tuning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introductio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Introduction</w:t>
      </w:r>
    </w:p>
    <w:bookmarkStart w:id="22" w:name="background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Background</w:t>
      </w:r>
    </w:p>
    <w:p>
      <w:pPr>
        <w:pStyle w:val="FirstParagraph"/>
      </w:pPr>
      <w:r>
        <w:t xml:space="preserve">Agriculture accounts for approximately 4% of global GDP and employs over 25% of the world’s population</w:t>
      </w:r>
      <w:r>
        <w:t xml:space="preserve"> </w:t>
      </w:r>
      <w:r>
        <w:t xml:space="preserve">[1]</w:t>
      </w:r>
      <w:r>
        <w:t xml:space="preserve">. Selecting appropriate crops based on soil properties and climatic conditions directly influences yield, resource efficiency, and farmer livelihood. Machine learning (ML) offers data-driven crop recommendation by learning from integrated soil-climate datasets. However, deploying ML in agricultural settings introduces three practical challenges that prior work has inadequately addressed: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leakage in evaluation:</w:t>
      </w:r>
      <w:r>
        <w:t xml:space="preserve"> </w:t>
      </w:r>
      <w:r>
        <w:t xml:space="preserve">Standard preprocessing pipelines apply feature scaling and selection before cross-validation splits, allowing test-fold information to influence training. Kapoor and Narayanan</w:t>
      </w:r>
      <w:r>
        <w:t xml:space="preserve"> </w:t>
      </w:r>
      <w:r>
        <w:t xml:space="preserve">[2]</w:t>
      </w:r>
      <w:r>
        <w:t xml:space="preserve"> </w:t>
      </w:r>
      <w:r>
        <w:t xml:space="preserve">documented such leakage in 70% of surveyed ML-based science papers, with performance inflation of 5–30%.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Class imbalance in real data:</w:t>
      </w:r>
      <w:r>
        <w:t xml:space="preserve"> </w:t>
      </w:r>
      <w:r>
        <w:t xml:space="preserve">Real-world soil fertility datasets exhibit natural class imbalance (e.g., 11.28:1 in our secondary dataset), yet most classifiers are evaluated without imbalance-aware training, and semi-synthetic benchmarks with perfect balance mask this issue.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Lack of external validation:</w:t>
      </w:r>
      <w:r>
        <w:t xml:space="preserve"> </w:t>
      </w:r>
      <w:r>
        <w:t xml:space="preserve">Nearly all crop recommendation studies rely on a single semi-synthetic benchmark without validating on independent real-world data or analysing whether feature importance rankings transfer across datasets.</w:t>
      </w:r>
    </w:p>
    <w:bookmarkEnd w:id="22"/>
    <w:bookmarkStart w:id="23" w:name="contributions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Contributions</w:t>
      </w:r>
    </w:p>
    <w:p>
      <w:pPr>
        <w:pStyle w:val="FirstParagraph"/>
      </w:pPr>
      <w:r>
        <w:t xml:space="preserve">This paper proposes</w:t>
      </w:r>
      <w:r>
        <w:t xml:space="preserve"> </w:t>
      </w:r>
      <w:r>
        <w:rPr>
          <w:b/>
          <w:bCs/>
        </w:rPr>
        <w:t xml:space="preserve">RobustCrop</w:t>
      </w:r>
      <w:r>
        <w:t xml:space="preserve">, a leak-free ML pipeline for crop recommendation. Our contributions are: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Pipeline-per-fold architecture</w:t>
      </w:r>
      <w:r>
        <w:t xml:space="preserve"> </w:t>
      </w:r>
      <w:r>
        <w:t xml:space="preserve">(scikit-learn Pipeline: StandardScaler → SelectKBest(mutual information) → Classifier) that eliminates data leakage by ensuring all preprocessing occurs independently within each cross-validation fold.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BalWeightWrapper for uniform imbalance handling: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sample_weight='balanced'</w:t>
      </w:r>
      <w:r>
        <w:t xml:space="preserve"> </w:t>
      </w:r>
      <w:r>
        <w:t xml:space="preserve">wrapper that provides imbalance correction for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classifiers — including those without native</w:t>
      </w:r>
      <w:r>
        <w:t xml:space="preserve"> </w:t>
      </w:r>
      <w:r>
        <w:rPr>
          <w:rStyle w:val="VerbatimChar"/>
        </w:rPr>
        <w:t xml:space="preserve">class_weight</w:t>
      </w:r>
      <w:r>
        <w:t xml:space="preserve"> </w:t>
      </w:r>
      <w:r>
        <w:t xml:space="preserve">support (XGBoost, Gradient Boosting, MLP, KNN, GaussianNB).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Optuna nested CV hyperparameter tuning</w:t>
      </w:r>
      <w:r>
        <w:t xml:space="preserve"> </w:t>
      </w:r>
      <w:r>
        <w:t xml:space="preserve">(optional) with classifier-specific search spaces, 30 trials per fold, and 3-fold inner CV — replacing fixed hyperparameters with systematic Bayesian optimisation.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Dual-dataset evaluation</w:t>
      </w:r>
      <w:r>
        <w:t xml:space="preserve"> </w:t>
      </w:r>
      <w:r>
        <w:t xml:space="preserve">using both a semi-synthetic crop recommendation dataset and a real-world soil fertility dataset.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Consensus feature ranking</w:t>
      </w:r>
      <w:r>
        <w:t xml:space="preserve"> </w:t>
      </w:r>
      <w:r>
        <w:t xml:space="preserve">across six methods (Mutual Information, Chi-Square, RFE, LASSO, Extra Trees, Random Forest Importance) with per-fold MI selection during training.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SHAP-based model explainability</w:t>
      </w:r>
      <w:r>
        <w:t xml:space="preserve"> </w:t>
      </w:r>
      <w:r>
        <w:t xml:space="preserve">providing global feature importance and interaction insights.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Literature-grounded sensor degradation analysis</w:t>
      </w:r>
      <w:r>
        <w:t xml:space="preserve"> </w:t>
      </w:r>
      <w:r>
        <w:t xml:space="preserve">quantifying performance under realistic deployment conditions (7–90 day monotonic drift).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Cross-dataset feature consistency analysis</w:t>
      </w:r>
      <w:r>
        <w:t xml:space="preserve"> </w:t>
      </w:r>
      <w:r>
        <w:t xml:space="preserve">identifying which features rank reliably across datasets.</w:t>
      </w:r>
    </w:p>
    <w:bookmarkEnd w:id="23"/>
    <w:bookmarkEnd w:id="24"/>
    <w:bookmarkStart w:id="29" w:name="related-work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Related Work</w:t>
      </w:r>
    </w:p>
    <w:bookmarkStart w:id="25" w:name="machine-learning-for-crop-recommendation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Machine Learning for Crop Recommendation</w:t>
      </w:r>
    </w:p>
    <w:p>
      <w:pPr>
        <w:pStyle w:val="FirstParagraph"/>
      </w:pPr>
      <w:r>
        <w:t xml:space="preserve">ML for crop recommendation has been widely explored. Liakos et al.</w:t>
      </w:r>
      <w:r>
        <w:t xml:space="preserve"> </w:t>
      </w:r>
      <w:r>
        <w:t xml:space="preserve">[3]</w:t>
      </w:r>
      <w:r>
        <w:t xml:space="preserve"> </w:t>
      </w:r>
      <w:r>
        <w:t xml:space="preserve">reviewed ML in agriculture, noting Random Forest and SVM as consistently strong performers. Shah et al.</w:t>
      </w:r>
      <w:r>
        <w:t xml:space="preserve"> </w:t>
      </w:r>
      <w:r>
        <w:t xml:space="preserve">[4]</w:t>
      </w:r>
      <w:r>
        <w:t xml:space="preserve"> </w:t>
      </w:r>
      <w:r>
        <w:t xml:space="preserve">achieved 99.1% accuracy on the Kaggle Crop Recommendation dataset using ensemble classifiers. However, most studies report only accuracy on a single dataset without addressing calibration, class imbalance, or data leakage in preprocessing — issues that our work directly confronts. Kamilaris and Prenafeta-Boldú</w:t>
      </w:r>
      <w:r>
        <w:t xml:space="preserve"> </w:t>
      </w:r>
      <w:r>
        <w:t xml:space="preserve">[5]</w:t>
      </w:r>
      <w:r>
        <w:t xml:space="preserve"> </w:t>
      </w:r>
      <w:r>
        <w:t xml:space="preserve">provided a comprehensive survey of deep learning in agriculture, highlighting the growing adoption of ML techniques across the agricultural domain.</w:t>
      </w:r>
    </w:p>
    <w:bookmarkEnd w:id="25"/>
    <w:bookmarkStart w:id="26" w:name="feature-selection-in-agricultural-data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Feature Selection in Agricultural Data</w:t>
      </w:r>
    </w:p>
    <w:p>
      <w:pPr>
        <w:pStyle w:val="FirstParagraph"/>
      </w:pPr>
      <w:r>
        <w:t xml:space="preserve">Feature selection reduces dimensionality and improves interpretability. Guyon and Elisseeff</w:t>
      </w:r>
      <w:r>
        <w:t xml:space="preserve"> </w:t>
      </w:r>
      <w:r>
        <w:t xml:space="preserve">[6]</w:t>
      </w:r>
      <w:r>
        <w:t xml:space="preserve"> </w:t>
      </w:r>
      <w:r>
        <w:t xml:space="preserve">categorise methods into filter, wrapper, and embedded approaches. In agricultural contexts, filter methods (Mutual Information, Chi-Square) are computationally efficient, while embedded methods (LASSO, tree-based importance) balance accuracy and speed</w:t>
      </w:r>
      <w:r>
        <w:t xml:space="preserve"> </w:t>
      </w:r>
      <w:r>
        <w:t xml:space="preserve">[7]</w:t>
      </w:r>
      <w:r>
        <w:t xml:space="preserve">. Our work synthesises six methods into a consensus ranking and analyses feature importance transferability across datasets.</w:t>
      </w:r>
    </w:p>
    <w:bookmarkEnd w:id="26"/>
    <w:bookmarkStart w:id="27" w:name="data-leakage-in-ml-pipeline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Data Leakage in ML Pipelines</w:t>
      </w:r>
    </w:p>
    <w:p>
      <w:pPr>
        <w:pStyle w:val="FirstParagraph"/>
      </w:pPr>
      <w:r>
        <w:t xml:space="preserve">Data leakage — where test information inadvertently influences training — is a pervasive but under-reported issue in applied ML. Kapoor and Narayanan</w:t>
      </w:r>
      <w:r>
        <w:t xml:space="preserve"> </w:t>
      </w:r>
      <w:r>
        <w:t xml:space="preserve">[2]</w:t>
      </w:r>
      <w:r>
        <w:t xml:space="preserve"> </w:t>
      </w:r>
      <w:r>
        <w:t xml:space="preserve">documented leakage in 229 out of 329 papers across 17 application domains. Common leakage sources include feature scaling before train-test splitting and feature selection on the full dataset before cross-validation. Our Pipeline-per-fold architecture directly addresses these leakage vectors.</w:t>
      </w:r>
    </w:p>
    <w:bookmarkEnd w:id="27"/>
    <w:bookmarkStart w:id="28" w:name="sensor-reliability-in-agricultural-iot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Sensor Reliability in Agricultural IoT</w:t>
      </w:r>
    </w:p>
    <w:p>
      <w:pPr>
        <w:pStyle w:val="FirstParagraph"/>
      </w:pPr>
      <w:r>
        <w:t xml:space="preserve">The integration of IoT sensors with machine learning for precision agriculture is reviewed by Wolfert et al.</w:t>
      </w:r>
      <w:r>
        <w:t xml:space="preserve"> </w:t>
      </w:r>
      <w:r>
        <w:t xml:space="preserve">[8]</w:t>
      </w:r>
      <w:r>
        <w:t xml:space="preserve">, who identify data quality and sensor reliability as key challenges. Real-world agricultural sensing introduces noise and drift. Rana et al.</w:t>
      </w:r>
      <w:r>
        <w:t xml:space="preserve"> </w:t>
      </w:r>
      <w:r>
        <w:t xml:space="preserve">[9]</w:t>
      </w:r>
      <w:r>
        <w:t xml:space="preserve"> </w:t>
      </w:r>
      <w:r>
        <w:t xml:space="preserve">document electrochemical NPK sensor drift rates of 1–1.5% per day, while Lobnik et al.</w:t>
      </w:r>
      <w:r>
        <w:t xml:space="preserve"> </w:t>
      </w:r>
      <w:r>
        <w:t xml:space="preserve">[10]</w:t>
      </w:r>
      <w:r>
        <w:t xml:space="preserve"> </w:t>
      </w:r>
      <w:r>
        <w:t xml:space="preserve">report pH electrode drift of 0.1% per day. Sensor drift is typically monotonic and directional — electrochemical sensors lose sensitivity over time.</w:t>
      </w:r>
    </w:p>
    <w:bookmarkEnd w:id="28"/>
    <w:bookmarkEnd w:id="29"/>
    <w:bookmarkStart w:id="34" w:name="dataset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Datasets</w:t>
      </w:r>
    </w:p>
    <w:bookmarkStart w:id="30" w:name="X837f4cbbc23ad4505e6820269a88f916dbd857b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Primary Dataset: Crop Recommendation (Semi-Synthetic)</w:t>
      </w:r>
    </w:p>
    <w:p>
      <w:pPr>
        <w:pStyle w:val="FirstParagraph"/>
      </w:pPr>
      <w:r>
        <w:t xml:space="preserve">The primary dataset (Table 1) contains 7 soil and climate features with 22 balanced crop classes. The perfect class balance (100 samples/class) reflects the semi-synthetic augmentation process rather than natural field distributions.</w:t>
      </w:r>
    </w:p>
    <w:p>
      <w:pPr>
        <w:pStyle w:val="TableCaption"/>
      </w:pPr>
      <w:r>
        <w:t xml:space="preserve">Primary dataset properties. {#tbl:primary}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imary dataset properties. {#tbl:primary}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Kaggle (Atharva Ingle)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N, P, K, Temperature, Humidity, pH, Rainfall (7)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crop types (100 samples each)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Semi-synthetic (augmented from Indian agricultural statistics)</w:t>
            </w:r>
          </w:p>
        </w:tc>
      </w:tr>
    </w:tbl>
    <w:bookmarkEnd w:id="30"/>
    <w:bookmarkStart w:id="31" w:name="Xc574310f826b52be0ca8de9c90bef7492834827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Secondary Dataset: Soil Fertility (Real Lab Measurements)</w:t>
      </w:r>
    </w:p>
    <w:p>
      <w:pPr>
        <w:pStyle w:val="FirstParagraph"/>
      </w:pPr>
      <w:r>
        <w:t xml:space="preserve">The secondary dataset (Table 2) comprises actual soil laboratory test results from Indian agricultural testing centres. Its natural class imbalance and real missing values provide a realistic test surface.</w:t>
      </w:r>
    </w:p>
    <w:p>
      <w:pPr>
        <w:pStyle w:val="TableCaption"/>
      </w:pPr>
      <w:r>
        <w:t xml:space="preserve">Secondary dataset properties. {#tbl:secondary}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condary dataset properties. {#tbl:secondary}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Kaggle (Rahul Jaiswal)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N, P, K, pH, EC, OC, S, Zn, Fe, Cu, Mn, B (12)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fertility levels (High, Medium, 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Real soil laboratory test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401 / 440 / 39 (ratio 11.28:1)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~3% real sensor/lab dropout</w:t>
            </w:r>
          </w:p>
        </w:tc>
      </w:tr>
    </w:tbl>
    <w:bookmarkEnd w:id="31"/>
    <w:bookmarkStart w:id="32" w:name="shared-feature-space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Shared Feature Space</w:t>
      </w:r>
    </w:p>
    <w:p>
      <w:pPr>
        <w:pStyle w:val="FirstParagraph"/>
      </w:pPr>
      <w:r>
        <w:t xml:space="preserve">Both datasets share N, P, K as common features, with pH as a close match. This shared space enables cross-dataset feature consistency analysis (Section 5.7).</w:t>
      </w:r>
    </w:p>
    <w:bookmarkEnd w:id="32"/>
    <w:bookmarkStart w:id="33" w:name="sensor-degradation-variant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Sensor Degradation Variants</w:t>
      </w:r>
    </w:p>
    <w:p>
      <w:pPr>
        <w:pStyle w:val="FirstParagraph"/>
      </w:pPr>
      <w:r>
        <w:t xml:space="preserve">To simulate realistic deployment conditions, we generate degraded variants using literature-grounded</w:t>
      </w:r>
      <w:r>
        <w:t xml:space="preserve"> </w:t>
      </w:r>
      <w:r>
        <w:rPr>
          <w:b/>
          <w:bCs/>
        </w:rPr>
        <w:t xml:space="preserve">monotonic drift</w:t>
      </w:r>
      <w:r>
        <w:t xml:space="preserve"> </w:t>
      </w:r>
      <w:r>
        <w:t xml:space="preserve">parameters (Table 3).</w:t>
      </w:r>
    </w:p>
    <w:p>
      <w:pPr>
        <w:pStyle w:val="TableCaption"/>
      </w:pPr>
      <w:r>
        <w:t xml:space="preserve">Sensor degradation parameters used for monotonic drift simulation. {#tbl:sensor}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nsor degradation parameters used for monotonic drift simulation. {#tbl:sensor}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 (%/day)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(</w:t>
            </w:r>
            <m:oMath>
              <m:r>
                <m:t>σ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(Nitrogen)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Rana et al. 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(Phosphorus)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Rana et al. 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(Potassium)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Rana et al. 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Sensirion SHT4x (2022)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Sensirion SHT4x (2022)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Lobnik et al. (2011)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Rainfall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Martínez et al. (2007)</w:t>
            </w:r>
          </w:p>
        </w:tc>
      </w:tr>
    </w:tbl>
    <w:p>
      <w:pPr>
        <w:pStyle w:val="BodyText"/>
      </w:pPr>
      <w:r>
        <w:t xml:space="preserve">Three degradation scenarios are generated: mild (7-day), moderate (30-day), and severe (90-day) deployments, with realistic dropout rates (2–10% scaled to deployment duration).</w:t>
      </w:r>
    </w:p>
    <w:bookmarkEnd w:id="33"/>
    <w:bookmarkEnd w:id="34"/>
    <w:bookmarkStart w:id="47" w:name="proposed-method-robustcrop-pipeline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Proposed Method: RobustCrop Pipeline</w:t>
      </w:r>
    </w:p>
    <w:bookmarkStart w:id="39" w:name="system-overview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System Overview</w:t>
      </w:r>
    </w:p>
    <w:p>
      <w:pPr>
        <w:pStyle w:val="FirstParagraph"/>
      </w:pPr>
      <w:r>
        <w:t xml:space="preserve">RobustCrop is a modular, leak-free ML pipeline for crop recommendation, implemented using scikit-learn</w:t>
      </w:r>
      <w:r>
        <w:t xml:space="preserve"> </w:t>
      </w:r>
      <w:r>
        <w:t xml:space="preserve">[11]</w:t>
      </w:r>
      <w:r>
        <w:t xml:space="preserve">. The key design principle is that</w:t>
      </w:r>
      <w:r>
        <w:t xml:space="preserve"> </w:t>
      </w:r>
      <w:r>
        <w:rPr>
          <w:b/>
          <w:bCs/>
        </w:rPr>
        <w:t xml:space="preserve">every preprocessing step observes only training data within each cross-validation fold</w:t>
      </w:r>
      <w:r>
        <w:t xml:space="preserve">. The system architecture is illustrated in Figure 1.</w:t>
      </w:r>
    </w:p>
    <w:bookmarkStart w:id="38" w:name="fig:arch"/>
    <w:p>
      <w:pPr>
        <w:pStyle w:val="CaptionedFigure"/>
      </w:pPr>
      <w:r>
        <w:drawing>
          <wp:inline>
            <wp:extent cx="5334000" cy="2642293"/>
            <wp:effectExtent b="0" l="0" r="0" t="0"/>
            <wp:docPr descr="System architecture of the RobustCrop pipeline showing the leak-free per-fold design." title="" id="36" name="Picture"/>
            <a:graphic>
              <a:graphicData uri="http://schemas.openxmlformats.org/drawingml/2006/picture">
                <pic:pic>
                  <pic:nvPicPr>
                    <pic:cNvPr descr="01_primary_distribution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22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 of the RobustCrop pipeline showing the leak-free per-fold design.</w:t>
      </w:r>
    </w:p>
    <w:bookmarkEnd w:id="38"/>
    <w:bookmarkEnd w:id="39"/>
    <w:bookmarkStart w:id="40" w:name="data-preprocessing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Data Preprocessing</w:t>
      </w:r>
    </w:p>
    <w:p>
      <w:pPr>
        <w:pStyle w:val="FirstParagraph"/>
      </w:pPr>
      <w:r>
        <w:rPr>
          <w:b/>
          <w:bCs/>
        </w:rPr>
        <w:t xml:space="preserve">Missing Value Handling:</w:t>
      </w:r>
      <w:r>
        <w:t xml:space="preserve"> </w:t>
      </w:r>
      <w:r>
        <w:t xml:space="preserve">Median imputation is applied to all numerical features. For the primary dataset, no missing values are present; for the secondary dataset, ~3% real missing values are imputed.</w:t>
      </w:r>
    </w:p>
    <w:p>
      <w:pPr>
        <w:pStyle w:val="BodyText"/>
      </w:pPr>
      <w:r>
        <w:rPr>
          <w:b/>
          <w:bCs/>
        </w:rPr>
        <w:t xml:space="preserve">Outlier Detection:</w:t>
      </w:r>
      <w:r>
        <w:t xml:space="preserve"> </w:t>
      </w:r>
      <w:r>
        <w:t xml:space="preserve">IQR-based outlier detection identifies outliers without removal, preserving real-world variance. Outliers are detected in P (6.27%), K (9.09%), and other features of the primary dataset.</w:t>
      </w:r>
    </w:p>
    <w:p>
      <w:pPr>
        <w:pStyle w:val="BodyText"/>
      </w:pPr>
      <w:r>
        <w:rPr>
          <w:b/>
          <w:bCs/>
        </w:rPr>
        <w:t xml:space="preserve">Feature Scaling:</w:t>
      </w:r>
      <w:r>
        <w:t xml:space="preserve"> </w:t>
      </w:r>
      <w:r>
        <w:t xml:space="preserve">StandardScaler is applied within each cross-validation fold as part of the Pipeline (Section 4.4), fitted exclusively on the training fold.</w:t>
      </w:r>
    </w:p>
    <w:bookmarkEnd w:id="40"/>
    <w:bookmarkStart w:id="41" w:name="feature-selection-consensus-ranking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Feature Selection: Consensus Ranking</w:t>
      </w:r>
    </w:p>
    <w:p>
      <w:pPr>
        <w:pStyle w:val="FirstParagraph"/>
      </w:pPr>
      <w:r>
        <w:t xml:space="preserve">Six feature selection methods are evaluated to build a consensus ranking for interpretability: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Mutual Information (MI):</w:t>
      </w:r>
      <w:r>
        <w:t xml:space="preserve"> </w:t>
      </w:r>
      <w:r>
        <w:t xml:space="preserve">Non-parametric measure of statistical dependence between features and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Chi-Square (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):</w:t>
      </w:r>
      <w:r>
        <w:t xml:space="preserve"> </w:t>
      </w:r>
      <w:r>
        <w:t xml:space="preserve">Tests independence between categorical feature bins and target classes.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Recursive Feature Elimination (RFE):</w:t>
      </w:r>
      <w:r>
        <w:t xml:space="preserve"> </w:t>
      </w:r>
      <w:r>
        <w:t xml:space="preserve">Wrapper method using Random Forest as base estimator.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LASSO Regularisation (L1):</w:t>
      </w:r>
      <w:r>
        <w:t xml:space="preserve"> </w:t>
      </w:r>
      <w:r>
        <w:t xml:space="preserve">Embedded method using Logistic Regression with L1 penalty.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Extra Trees Importance:</w:t>
      </w:r>
      <w:r>
        <w:t xml:space="preserve"> </w:t>
      </w:r>
      <w:r>
        <w:t xml:space="preserve">Ensemble-based feature importance from Extremely Randomised Trees.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Random Forest Importance:</w:t>
      </w:r>
      <w:r>
        <w:t xml:space="preserve"> </w:t>
      </w:r>
      <w:r>
        <w:t xml:space="preserve">Gini importance from Random Forest classifier.</w:t>
      </w:r>
    </w:p>
    <w:p>
      <w:pPr>
        <w:pStyle w:val="FirstParagraph"/>
      </w:pPr>
      <w:r>
        <w:t xml:space="preserve">Each method’s scores are normalised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averaged to produce a robust consensus ranking: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Consensus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{#eq:consensus}</w:t>
      </w:r>
    </w:p>
    <w:p>
      <w:pPr>
        <w:pStyle w:val="BodyText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normalised score of feature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under method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the number of feature selection methods.</w:t>
      </w:r>
    </w:p>
    <w:bookmarkEnd w:id="41"/>
    <w:bookmarkStart w:id="42" w:name="leak-free-pipeline-architecture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Leak-Free Pipeline Architecture</w:t>
      </w:r>
    </w:p>
    <w:p>
      <w:pPr>
        <w:pStyle w:val="FirstParagraph"/>
      </w:pPr>
      <w:r>
        <w:t xml:space="preserve">A key methodological contribution is the scikit-learn Pipeline object that encapsulates the entire transformation chain within each cross-validation fold:</w:t>
      </w:r>
    </w:p>
    <w:p>
      <w:pPr>
        <w:pStyle w:val="BodyText"/>
      </w:pPr>
      <w:r>
        <w:rPr>
          <w:b/>
          <w:bCs/>
        </w:rPr>
        <w:t xml:space="preserve">Stage 1 — StandardScaler:</w:t>
      </w:r>
      <w:r>
        <w:t xml:space="preserve"> </w:t>
      </w:r>
      <w:r>
        <w:t xml:space="preserve">Fitted on the training fold only, applied to both training and validation folds.</w:t>
      </w:r>
    </w:p>
    <w:p>
      <w:pPr>
        <w:pStyle w:val="BodyText"/>
      </w:pPr>
      <w:r>
        <w:rPr>
          <w:b/>
          <w:bCs/>
        </w:rPr>
        <w:t xml:space="preserve">Stage 2 — SelectKBest (mutual information):</w:t>
      </w:r>
      <w:r>
        <w:t xml:space="preserve"> </w:t>
      </w:r>
      <w:r>
        <w:t xml:space="preserve">Feature selection performed independently within each fold.</w:t>
      </w:r>
    </w:p>
    <w:p>
      <w:pPr>
        <w:pStyle w:val="BodyText"/>
      </w:pPr>
      <w:r>
        <w:rPr>
          <w:b/>
          <w:bCs/>
        </w:rPr>
        <w:t xml:space="preserve">Stage 3 — Classifier:</w:t>
      </w:r>
      <w:r>
        <w:t xml:space="preserve"> </w:t>
      </w:r>
      <w:r>
        <w:t xml:space="preserve">The proposed Random Forest with</w:t>
      </w:r>
      <w:r>
        <w:t xml:space="preserve"> </w:t>
      </w:r>
      <w:r>
        <w:rPr>
          <w:rStyle w:val="VerbatimChar"/>
        </w:rPr>
        <w:t xml:space="preserve">class_weight='balanced'</w:t>
      </w:r>
      <w:r>
        <w:t xml:space="preserve">.</w:t>
      </w:r>
    </w:p>
    <w:p>
      <w:pPr>
        <w:pStyle w:val="BodyText"/>
      </w:pPr>
      <w:r>
        <w:t xml:space="preserve">This architecture ensures every preprocessing step observes only training data, providing an unbiased estimate of generalisation performance.</w:t>
      </w:r>
    </w:p>
    <w:bookmarkEnd w:id="42"/>
    <w:bookmarkStart w:id="43" w:name="proposed-classifier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Proposed Classifier</w:t>
      </w:r>
    </w:p>
    <w:p>
      <w:pPr>
        <w:pStyle w:val="FirstParagraph"/>
      </w:pPr>
      <w:r>
        <w:t xml:space="preserve">The proposed system uses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[12]</w:t>
      </w:r>
      <w:r>
        <w:t xml:space="preserve"> </w:t>
      </w:r>
      <w:r>
        <w:t xml:space="preserve">with 200 trees, max_depth=20, min_samples_split=5, and</w:t>
      </w:r>
      <w:r>
        <w:t xml:space="preserve"> </w:t>
      </w:r>
      <w:r>
        <w:rPr>
          <w:rStyle w:val="VerbatimChar"/>
        </w:rPr>
        <w:t xml:space="preserve">class_weight='balanced'</w:t>
      </w:r>
      <w:r>
        <w:t xml:space="preserve">. This configuration was selected because:</w:t>
      </w:r>
    </w:p>
    <w:p>
      <w:pPr>
        <w:pStyle w:val="Compact"/>
        <w:numPr>
          <w:ilvl w:val="0"/>
          <w:numId w:val="1004"/>
        </w:numPr>
      </w:pPr>
      <w:r>
        <w:t xml:space="preserve">Random Forest is inherently robust to overfitting through bagging.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class_weight='balanced'</w:t>
      </w:r>
      <w:r>
        <w:t xml:space="preserve"> </w:t>
      </w:r>
      <w:r>
        <w:t xml:space="preserve">adjusts weights inversely proportional to class frequency: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{#eq:weight}</w:t>
      </w:r>
    </w:p>
    <w:p>
      <w:pPr>
        <w:pStyle w:val="BodyText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total number of samples,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classes, and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samples in class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Nine additional classifiers are evaluated as benchmarks (Table 4).</w:t>
      </w:r>
    </w:p>
    <w:p>
      <w:pPr>
        <w:pStyle w:val="TableCaption"/>
      </w:pPr>
      <w:r>
        <w:t xml:space="preserve">Proposed classifier and benchmark classifiers with their imbalance handling mechanisms. {#tbl:classifiers}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posed classifier and benchmark classifiers with their imbalance handling mechanisms. {#tbl:classifiers}"/>
      </w:tblPr>
      <w:tblGrid>
        <w:gridCol w:w="465"/>
        <w:gridCol w:w="1863"/>
        <w:gridCol w:w="2484"/>
        <w:gridCol w:w="31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Imbalance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trees, max_depth=20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class_weight=</w:t>
            </w:r>
            <w:r>
              <w:rPr>
                <w:b/>
                <w:bCs/>
              </w:rPr>
              <w:t xml:space="preserve">‘balanced’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SVM (RBF)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C=10,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=</w:t>
            </w:r>
            <w:r>
              <w:t xml:space="preserve">‘scale’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class_weight=</w:t>
            </w:r>
            <w:r>
              <w:t xml:space="preserve">‘balanced’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k=7, distance weighting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BalWeightWrapper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max_depth=15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class_weight=</w:t>
            </w:r>
            <w:r>
              <w:t xml:space="preserve">‘balanced’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trees, lr=0.1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BalWeightWrapper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trees, max_depth=6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BalWeightWrapper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trees, max_depth=6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class_weight=</w:t>
            </w:r>
            <w:r>
              <w:t xml:space="preserve">‘balanced’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L-BFGS, C=1.0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class_weight=</w:t>
            </w:r>
            <w:r>
              <w:t xml:space="preserve">‘balanced’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(128, 64, 32), 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BalWeightWrapper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BalWeightWrapper</w:t>
            </w:r>
          </w:p>
        </w:tc>
      </w:tr>
    </w:tbl>
    <w:bookmarkEnd w:id="43"/>
    <w:bookmarkStart w:id="44" w:name="evaluation-protocol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Evaluation Protocol</w:t>
      </w:r>
    </w:p>
    <w:p>
      <w:pPr>
        <w:pStyle w:val="FirstParagraph"/>
      </w:pPr>
      <w:r>
        <w:rPr>
          <w:b/>
          <w:bCs/>
        </w:rPr>
        <w:t xml:space="preserve">Cross-Validation:</w:t>
      </w:r>
      <w:r>
        <w:t xml:space="preserve"> </w:t>
      </w:r>
      <w:r>
        <w:t xml:space="preserve">5-fold stratified cross-validation</w:t>
      </w:r>
      <w:r>
        <w:t xml:space="preserve"> </w:t>
      </w:r>
      <w:r>
        <w:t xml:space="preserve">[13]</w:t>
      </w:r>
      <w:r>
        <w:t xml:space="preserve"> </w:t>
      </w:r>
      <w:r>
        <w:t xml:space="preserve">with the Pipeline architecture.</w:t>
      </w:r>
    </w:p>
    <w:p>
      <w:pPr>
        <w:pStyle w:val="BodyText"/>
      </w:pPr>
      <w:r>
        <w:rPr>
          <w:b/>
          <w:bCs/>
        </w:rPr>
        <w:t xml:space="preserve">Statistical Testing:</w:t>
      </w:r>
      <w:r>
        <w:t xml:space="preserve"> </w:t>
      </w:r>
      <w:r>
        <w:t xml:space="preserve">Friedman test</w:t>
      </w:r>
      <w:r>
        <w:t xml:space="preserve"> </w:t>
      </w:r>
      <w:r>
        <w:t xml:space="preserve">[14]</w:t>
      </w:r>
      <w:r>
        <w:t xml:space="preserve"> </w:t>
      </w:r>
      <w:r>
        <w:t xml:space="preserve">across classifiers on the primary dataset.</w:t>
      </w:r>
    </w:p>
    <w:p>
      <w:pPr>
        <w:pStyle w:val="BodyText"/>
      </w:pPr>
      <w:r>
        <w:rPr>
          <w:b/>
          <w:bCs/>
        </w:rPr>
        <w:t xml:space="preserve">Metrics:</w:t>
      </w:r>
      <w:r>
        <w:t xml:space="preserve"> </w:t>
      </w:r>
      <w:r>
        <w:t xml:space="preserve">We report the following evaluation metrics: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Accuracy:</w:t>
      </w:r>
      <w:r>
        <w:t xml:space="preserve"> </w:t>
      </w:r>
      <w:r>
        <w:t xml:space="preserve">Overall correctness, defined as</w:t>
      </w:r>
      <w:r>
        <w:t xml:space="preserve"> </w:t>
      </w:r>
      <m:oMath>
        <m:r>
          <m:rPr>
            <m:nor/>
            <m:sty m:val="p"/>
          </m:rPr>
          <m:t>Acc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cr m:val="double-struck"/>
                <m:sty m:val="p"/>
              </m:rPr>
              <m:t>1</m:t>
            </m:r>
          </m:e>
        </m:nary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Cohen’s Kappa (</w:t>
      </w:r>
      <m:oMath>
        <m:r>
          <m:t>κ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Agreement corrected for chance: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o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e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e</m:t>
                </m:r>
              </m:sub>
            </m:sSub>
          </m:den>
        </m:f>
      </m:oMath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Matthews Correlation Coefficient (MCC):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MCC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r>
                <m:t>P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P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N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{#eq:mcc}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Macro-F1:</w:t>
      </w:r>
      <w:r>
        <w:t xml:space="preserve"> </w:t>
      </w:r>
      <w:r>
        <w:t xml:space="preserve">Per-class F1 averaged equally — the most informative metric for imbalanced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Brier Score:</w:t>
      </w:r>
      <w:r>
        <w:t xml:space="preserve"> </w:t>
      </w:r>
      <w:r>
        <w:t xml:space="preserve">Mean squared error of probability predictions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Expected Calibration Error (ECE):</w:t>
      </w:r>
      <w:r>
        <w:t xml:space="preserve"> </w:t>
      </w:r>
      <w:r>
        <w:t xml:space="preserve">Average gap between confidence and accuracy across bins.</w:t>
      </w:r>
    </w:p>
    <w:bookmarkEnd w:id="44"/>
    <w:bookmarkStart w:id="45" w:name="X06dd9e0600acafa72a22c5cc9d813d7f3a0847f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BalWeightWrapper: Uniform Imbalance Handling</w:t>
      </w:r>
    </w:p>
    <w:p>
      <w:pPr>
        <w:pStyle w:val="FirstParagraph"/>
      </w:pPr>
      <w:r>
        <w:t xml:space="preserve">We resolve the imbalance handling inconsistency with</w:t>
      </w:r>
      <w:r>
        <w:t xml:space="preserve"> </w:t>
      </w:r>
      <w:r>
        <w:rPr>
          <w:b/>
          <w:bCs/>
        </w:rPr>
        <w:t xml:space="preserve">BalWeightWrapper</w:t>
      </w:r>
      <w:r>
        <w:t xml:space="preserve">, a lightweight wrapper that:</w:t>
      </w:r>
    </w:p>
    <w:p>
      <w:pPr>
        <w:pStyle w:val="Compact"/>
        <w:numPr>
          <w:ilvl w:val="0"/>
          <w:numId w:val="1007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sample_weight='balanced'</w:t>
      </w:r>
      <w:r>
        <w:t xml:space="preserve"> </w:t>
      </w:r>
      <w:r>
        <w:t xml:space="preserve">from the training labels at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07"/>
        </w:numPr>
      </w:pPr>
      <w:r>
        <w:t xml:space="preserve">Inspects the inner estimator’s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signature; if it accepts</w:t>
      </w:r>
      <w:r>
        <w:t xml:space="preserve"> </w:t>
      </w:r>
      <w:r>
        <w:rPr>
          <w:rStyle w:val="VerbatimChar"/>
        </w:rPr>
        <w:t xml:space="preserve">sample_weight</w:t>
      </w:r>
      <w:r>
        <w:t xml:space="preserve">, passes the weights.</w:t>
      </w:r>
    </w:p>
    <w:p>
      <w:pPr>
        <w:pStyle w:val="Compact"/>
        <w:numPr>
          <w:ilvl w:val="0"/>
          <w:numId w:val="1007"/>
        </w:numPr>
      </w:pPr>
      <w:r>
        <w:t xml:space="preserve">Delegates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predict_proba()</w:t>
      </w:r>
      <w:r>
        <w:t xml:space="preserve">, and attribute access to the inner estimator.</w:t>
      </w:r>
    </w:p>
    <w:p>
      <w:pPr>
        <w:pStyle w:val="FirstParagraph"/>
      </w:pPr>
      <w:r>
        <w:t xml:space="preserve">The wrapper is transparent to the Pipeline — it behaves exactly like any other sklearn estimator.</w:t>
      </w:r>
    </w:p>
    <w:bookmarkEnd w:id="45"/>
    <w:bookmarkStart w:id="46" w:name="Xcfd94f64e894a2d2d16ec7a2aae8d86058e5750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Hyperparameter Tuning via Optuna (Optional)</w:t>
      </w:r>
    </w:p>
    <w:p>
      <w:pPr>
        <w:pStyle w:val="FirstParagraph"/>
      </w:pPr>
      <w:r>
        <w:t xml:space="preserve">We integrate</w:t>
      </w:r>
      <w:r>
        <w:t xml:space="preserve"> </w:t>
      </w:r>
      <w:r>
        <w:rPr>
          <w:b/>
          <w:bCs/>
        </w:rPr>
        <w:t xml:space="preserve">Optuna</w:t>
      </w:r>
      <w:r>
        <w:t xml:space="preserve"> </w:t>
      </w:r>
      <w:r>
        <w:t xml:space="preserve">[16]</w:t>
      </w:r>
      <w:r>
        <w:t xml:space="preserve"> </w:t>
      </w:r>
      <w:r>
        <w:t xml:space="preserve">for optional Bayesian hyperparameter tuning via nested CV: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Outer loop:</w:t>
      </w:r>
      <w:r>
        <w:t xml:space="preserve"> </w:t>
      </w:r>
      <w:r>
        <w:t xml:space="preserve">5-fold stratified CV for unbiased evaluation.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Inner loop:</w:t>
      </w:r>
      <w:r>
        <w:t xml:space="preserve"> </w:t>
      </w:r>
      <w:r>
        <w:t xml:space="preserve">3-fold CV on each training fold, with 30 Optuna trials using the TPE sampler.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Search spaces</w:t>
      </w:r>
      <w:r>
        <w:t xml:space="preserve"> </w:t>
      </w:r>
      <w:r>
        <w:t xml:space="preserve">are classifier-specific: RF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estimators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min-split</m:t>
            </m:r>
          </m:sub>
        </m:sSub>
      </m:oMath>
      <w:r>
        <w:t xml:space="preserve">), SVM (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on log scale), KNN (</w:t>
      </w:r>
      <m:oMath>
        <m:r>
          <m:t>k</m:t>
        </m:r>
      </m:oMath>
      <w:r>
        <w:t xml:space="preserve">, weights), etc.</w:t>
      </w:r>
    </w:p>
    <w:bookmarkEnd w:id="46"/>
    <w:bookmarkEnd w:id="47"/>
    <w:bookmarkStart w:id="80" w:name="results-and-analysi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Results and Analysis</w:t>
      </w:r>
    </w:p>
    <w:bookmarkStart w:id="57" w:name="feature-selection-consensus-ranking-1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Feature Selection: Consensus Ranking</w:t>
      </w:r>
    </w:p>
    <w:bookmarkStart w:id="48" w:name="primary-dataset-7-features"/>
    <w:p>
      <w:pPr>
        <w:pStyle w:val="Heading3"/>
      </w:pPr>
      <w:r>
        <w:rPr>
          <w:rStyle w:val="SectionNumber"/>
        </w:rPr>
        <w:t xml:space="preserve">6.1.1</w:t>
      </w:r>
      <w:r>
        <w:tab/>
      </w:r>
      <w:r>
        <w:t xml:space="preserve">Primary Dataset (7 features)</w:t>
      </w:r>
    </w:p>
    <w:p>
      <w:pPr>
        <w:pStyle w:val="TableCaption"/>
      </w:pPr>
      <w:r>
        <w:t xml:space="preserve">Consensus feature ranking for the primary dataset. {#tbl:fs_primary}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sensus feature ranking for the primary dataset. {#tbl:fs_primary}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Consensus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Rainfall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</w:tr>
    </w:tbl>
    <w:p>
      <w:pPr>
        <w:pStyle w:val="BodyText"/>
      </w:pPr>
      <w:r>
        <w:t xml:space="preserve">All six methods consistently rank</w:t>
      </w:r>
      <w:r>
        <w:t xml:space="preserve"> </w:t>
      </w:r>
      <w:r>
        <w:rPr>
          <w:b/>
          <w:bCs/>
        </w:rPr>
        <w:t xml:space="preserve">humidity</w:t>
      </w:r>
      <w:r>
        <w:t xml:space="preserve"> </w:t>
      </w:r>
      <w:r>
        <w:t xml:space="preserve">as the most discriminative feature, followed by</w:t>
      </w:r>
      <w:r>
        <w:t xml:space="preserve"> </w:t>
      </w:r>
      <w:r>
        <w:rPr>
          <w:b/>
          <w:bCs/>
        </w:rPr>
        <w:t xml:space="preserve">rainfall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potassium (K)</w:t>
      </w:r>
      <w:r>
        <w:t xml:space="preserve">. The dominance of climate features over soil nutrients suggests that macro-environmental conditions are the primary driver of crop suitability.</w:t>
      </w:r>
    </w:p>
    <w:bookmarkEnd w:id="48"/>
    <w:bookmarkStart w:id="56" w:name="secondary-dataset-12-features"/>
    <w:p>
      <w:pPr>
        <w:pStyle w:val="Heading3"/>
      </w:pPr>
      <w:r>
        <w:rPr>
          <w:rStyle w:val="SectionNumber"/>
        </w:rPr>
        <w:t xml:space="preserve">6.1.2</w:t>
      </w:r>
      <w:r>
        <w:tab/>
      </w:r>
      <w:r>
        <w:t xml:space="preserve">Secondary Dataset (12 features)</w:t>
      </w:r>
    </w:p>
    <w:p>
      <w:pPr>
        <w:pStyle w:val="TableCaption"/>
      </w:pPr>
      <w:r>
        <w:t xml:space="preserve">Consensus feature ranking for the secondary dataset. {#tbl:fs_secondary}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sensus feature ranking for the secondary dataset. {#tbl:fs_secondary}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Consensus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</w:tr>
    </w:tbl>
    <w:p>
      <w:pPr>
        <w:pStyle w:val="BodyText"/>
      </w:pPr>
      <w:r>
        <w:t xml:space="preserve">For real soil fertility data,</w:t>
      </w:r>
      <w:r>
        <w:t xml:space="preserve"> </w:t>
      </w:r>
      <w:r>
        <w:rPr>
          <w:b/>
          <w:bCs/>
        </w:rPr>
        <w:t xml:space="preserve">micronutrients (Zn, Mn, Fe, B)</w:t>
      </w:r>
      <w:r>
        <w:t xml:space="preserve"> </w:t>
      </w:r>
      <w:r>
        <w:t xml:space="preserve">dominate — contrary to the primary dataset where macronutrients (N, P, K) are mid-ranked.</w:t>
      </w:r>
    </w:p>
    <w:bookmarkStart w:id="51" w:name="fig:primary_dist"/>
    <w:p>
      <w:pPr>
        <w:pStyle w:val="CaptionedFigure"/>
      </w:pPr>
      <w:r>
        <w:drawing>
          <wp:inline>
            <wp:extent cx="5334000" cy="2642293"/>
            <wp:effectExtent b="0" l="0" r="0" t="0"/>
            <wp:docPr descr="Feature distributions of the primary (semi-synthetic) crop recommendation dataset." title="" id="49" name="Picture"/>
            <a:graphic>
              <a:graphicData uri="http://schemas.openxmlformats.org/drawingml/2006/picture">
                <pic:pic>
                  <pic:nvPicPr>
                    <pic:cNvPr descr="01_primary_distribution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22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Feature distributions of the primary (semi-synthetic) crop recommendation dataset.</w:t>
      </w:r>
    </w:p>
    <w:bookmarkEnd w:id="51"/>
    <w:bookmarkStart w:id="55" w:name="fig:secondary_dist"/>
    <w:p>
      <w:pPr>
        <w:pStyle w:val="CaptionedFigure"/>
      </w:pPr>
      <w:r>
        <w:drawing>
          <wp:inline>
            <wp:extent cx="5334000" cy="3359351"/>
            <wp:effectExtent b="0" l="0" r="0" t="0"/>
            <wp:docPr descr="Feature distributions of the secondary (real) soil fertility dataset." title="" id="53" name="Picture"/>
            <a:graphic>
              <a:graphicData uri="http://schemas.openxmlformats.org/drawingml/2006/picture">
                <pic:pic>
                  <pic:nvPicPr>
                    <pic:cNvPr descr="02_secondary_distribution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9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Feature distributions of the secondary (real) soil fertility dataset.</w:t>
      </w:r>
    </w:p>
    <w:bookmarkEnd w:id="55"/>
    <w:bookmarkEnd w:id="56"/>
    <w:bookmarkEnd w:id="57"/>
    <w:bookmarkStart w:id="62" w:name="X7a20b1ee25f83f865335e43a6614171b74aba36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Proposed System Performance — Primary Dataset</w:t>
      </w:r>
    </w:p>
    <w:p>
      <w:pPr>
        <w:pStyle w:val="TableCaption"/>
      </w:pPr>
      <w:r>
        <w:t xml:space="preserve">Classification results on the primary dataset (all 7 features). Bold = proposed system. Friedman test: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32.32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{#tbl:primary_results}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sification results on the primary dataset (all 7 features). Bold = proposed system. Friedman test: \chi^2 = 32.32, p &lt; 0.001. {#tbl:primary_results}"/>
      </w:tblPr>
      <w:tblGrid>
        <w:gridCol w:w="1610"/>
        <w:gridCol w:w="1342"/>
        <w:gridCol w:w="1342"/>
        <w:gridCol w:w="671"/>
        <w:gridCol w:w="1342"/>
        <w:gridCol w:w="939"/>
        <w:gridCol w:w="6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RF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0.9950 ± 0.0009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0.9948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0.9948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GaussianNB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0.9945 ± 0.0023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0.9918 ± 0.0053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0.9909 ± 0.0032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0.9895 ± 0.0031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SVM (RBF)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0.9877 ± 0.0051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0.9855 ± 0.0096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0.9732 ± 0.0075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0.9727 ± 0.0109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0.9709 ± 0.0058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0.1298</w:t>
            </w:r>
          </w:p>
        </w:tc>
      </w:tr>
    </w:tbl>
    <w:bookmarkStart w:id="61" w:name="fig:cv"/>
    <w:p>
      <w:pPr>
        <w:pStyle w:val="CaptionedFigure"/>
      </w:pPr>
      <w:r>
        <w:drawing>
          <wp:inline>
            <wp:extent cx="5334000" cy="2114014"/>
            <wp:effectExtent b="0" l="0" r="0" t="0"/>
            <wp:docPr descr="Cross-validation comparison across classifiers on both datasets." title="" id="59" name="Picture"/>
            <a:graphic>
              <a:graphicData uri="http://schemas.openxmlformats.org/drawingml/2006/picture">
                <pic:pic>
                  <pic:nvPicPr>
                    <pic:cNvPr descr="10_cv_compariso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4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Cross-validation comparison across classifiers on both datasets.</w:t>
      </w:r>
    </w:p>
    <w:bookmarkEnd w:id="61"/>
    <w:bookmarkEnd w:id="62"/>
    <w:bookmarkStart w:id="63" w:name="X851d27663a7538d7f766c6bc4e2b2cb44b81e9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Proposed System Performance — Real-World Secondary Dataset</w:t>
      </w:r>
    </w:p>
    <w:p>
      <w:pPr>
        <w:pStyle w:val="FirstParagraph"/>
      </w:pPr>
      <w:r>
        <w:t xml:space="preserve">The secondary dataset is the more meaningful evaluation: real data, natural imbalance, real missing values.</w:t>
      </w:r>
    </w:p>
    <w:p>
      <w:pPr>
        <w:pStyle w:val="TableCaption"/>
      </w:pPr>
      <w:r>
        <w:t xml:space="preserve">Classification results on the real secondary dataset (MI-selected top-6 features). Bold = proposed system. {#tbl:secondary_results}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sification results on the real secondary dataset (MI-selected top-6 features). Bold = proposed system. {#tbl:secondary_results}"/>
      </w:tblPr>
      <w:tblGrid>
        <w:gridCol w:w="1610"/>
        <w:gridCol w:w="1342"/>
        <w:gridCol w:w="1342"/>
        <w:gridCol w:w="671"/>
        <w:gridCol w:w="1342"/>
        <w:gridCol w:w="939"/>
        <w:gridCol w:w="6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RF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0.9125 ± 0.0077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0.8364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0.9034 ± 0.0200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0.9034 ± 0.0183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0.8932 ± 0.0174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0.8875 ± 0.0170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0.8739 ± 0.0178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0.8705 ± 0.0170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SVM (RBF)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0.8545 ± 0.0226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GaussianNB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0.8011 ± 0.0711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0.7364 ± 0.0167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0.1107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findings:</w:t>
      </w:r>
    </w:p>
    <w:p>
      <w:pPr>
        <w:pStyle w:val="Compact"/>
        <w:numPr>
          <w:ilvl w:val="0"/>
          <w:numId w:val="1009"/>
        </w:numPr>
      </w:pPr>
      <w:r>
        <w:t xml:space="preserve">The proposed system achieves</w:t>
      </w:r>
      <w:r>
        <w:t xml:space="preserve"> </w:t>
      </w:r>
      <w:r>
        <w:rPr>
          <w:b/>
          <w:bCs/>
        </w:rPr>
        <w:t xml:space="preserve">91.25% accuracy</w:t>
      </w:r>
      <w:r>
        <w:t xml:space="preserve"> </w:t>
      </w:r>
      <w:r>
        <w:t xml:space="preserve">(</w:t>
      </w:r>
      <m:oMath>
        <m:r>
          <m:t>κ</m:t>
        </m:r>
      </m:oMath>
      <w:r>
        <w:t xml:space="preserve"> </w:t>
      </w:r>
      <w:r>
        <w:t xml:space="preserve">= 0.8364) on real, imbalanced data — outperforming all benchmarks.</w:t>
      </w:r>
    </w:p>
    <w:p>
      <w:pPr>
        <w:pStyle w:val="Compact"/>
        <w:numPr>
          <w:ilvl w:val="0"/>
          <w:numId w:val="1009"/>
        </w:numPr>
      </w:pPr>
      <w:r>
        <w:t xml:space="preserve">The accuracy–Macro-F1 gap (9.40pp) reveals the minority class challenge. The gap is much smaller for the proposed system than for benchmarks like MLP (24.37pp).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GaussianNB fails on imbalanced data:</w:t>
      </w:r>
      <w:r>
        <w:t xml:space="preserve"> </w:t>
      </w:r>
      <w:r>
        <w:t xml:space="preserve">drops to 80.11% with high variance (±7.11%) — compared to 99.45% on the balanced primary dataset.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LightGBM benefits from class_weight: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class_weight='balanced'</w:t>
      </w:r>
      <w:r>
        <w:t xml:space="preserve"> </w:t>
      </w:r>
      <w:r>
        <w:t xml:space="preserve">applied, LightGBM achieves 90.34% — competitive with XGBoost.</w:t>
      </w:r>
    </w:p>
    <w:bookmarkEnd w:id="63"/>
    <w:bookmarkStart w:id="64" w:name="feature-subset-ablation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Feature Subset Ablation</w:t>
      </w:r>
    </w:p>
    <w:p>
      <w:pPr>
        <w:pStyle w:val="TableCaption"/>
      </w:pPr>
      <w:r>
        <w:t xml:space="preserve">Feature ablation on the primary dataset. {#tbl:ablation}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 ablation on the primary dataset. {#tbl:ablation}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 Accuracy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 </w:t>
            </w:r>
            <w:r>
              <w:t xml:space="preserve">vs all_7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mi_top_5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Top-5 per 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mi_top_4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Top-4 per 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−1.68%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mi_top_3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Top-3 per 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−3.05%</w:t>
            </w:r>
          </w:p>
        </w:tc>
      </w:tr>
    </w:tbl>
    <w:p>
      <w:pPr>
        <w:pStyle w:val="BodyText"/>
      </w:pPr>
      <w:r>
        <w:t xml:space="preserve">Reducing from 7 to 5 features causes only 0.45% degradation, enabling a</w:t>
      </w:r>
      <w:r>
        <w:t xml:space="preserve"> </w:t>
      </w:r>
      <w:r>
        <w:rPr>
          <w:b/>
          <w:bCs/>
        </w:rPr>
        <w:t xml:space="preserve">29% reduction in sensor count</w:t>
      </w:r>
      <w:r>
        <w:t xml:space="preserve"> </w:t>
      </w:r>
      <w:r>
        <w:t xml:space="preserve">with minimal accuracy loss.</w:t>
      </w:r>
    </w:p>
    <w:bookmarkEnd w:id="64"/>
    <w:bookmarkStart w:id="69" w:name="sensor-degradation-robustness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Sensor Degradation Robustness</w:t>
      </w:r>
    </w:p>
    <w:p>
      <w:pPr>
        <w:pStyle w:val="TableCaption"/>
      </w:pPr>
      <w:r>
        <w:t xml:space="preserve">Proposed system robustness under literature-grounded monotonic sensor degradation. {#tbl:degradation}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posed system robustness under literature-grounded monotonic sensor degradation. {#tbl:degradation}"/>
      </w:tblPr>
      <w:tblGrid>
        <w:gridCol w:w="1147"/>
        <w:gridCol w:w="1377"/>
        <w:gridCol w:w="1147"/>
        <w:gridCol w:w="1147"/>
        <w:gridCol w:w="803"/>
        <w:gridCol w:w="22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Brier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 </w:t>
            </w:r>
            <w:r>
              <w:t xml:space="preserve">vs 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−29.09%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−83.41%</w:t>
            </w:r>
          </w:p>
        </w:tc>
      </w:tr>
    </w:tbl>
    <w:p>
      <w:pPr>
        <w:pStyle w:val="BodyText"/>
      </w:pPr>
      <w:r>
        <w:t xml:space="preserve">Performance degrades monotonically under sensor drift (Figure 5). The compounding effect of directional drift across correlated sensors explains the non-linear collapse.</w:t>
      </w:r>
    </w:p>
    <w:p>
      <w:pPr>
        <w:pStyle w:val="BodyText"/>
      </w:pPr>
      <w:r>
        <w:rPr>
          <w:b/>
          <w:bCs/>
        </w:rPr>
        <w:t xml:space="preserve">Practical recalibration guidance:</w:t>
      </w:r>
      <w:r>
        <w:t xml:space="preserve"> </w:t>
      </w:r>
      <w:r>
        <w:t xml:space="preserve">Weekly sensor recalibration maintains &gt;94% accuracy; monthly recalibration is insufficient (70.41%). The steep degradation curve means that</w:t>
      </w:r>
      <w:r>
        <w:t xml:space="preserve"> </w:t>
      </w:r>
      <w:r>
        <w:rPr>
          <w:b/>
          <w:bCs/>
        </w:rPr>
        <w:t xml:space="preserve">weekly recalibration is mandatory</w:t>
      </w:r>
      <w:r>
        <w:t xml:space="preserve"> </w:t>
      </w:r>
      <w:r>
        <w:t xml:space="preserve">for deployment reliability.</w:t>
      </w:r>
    </w:p>
    <w:bookmarkStart w:id="68" w:name="fig:robustness"/>
    <w:p>
      <w:pPr>
        <w:pStyle w:val="CaptionedFigure"/>
      </w:pPr>
      <w:r>
        <w:drawing>
          <wp:inline>
            <wp:extent cx="5334000" cy="1766789"/>
            <wp:effectExtent b="0" l="0" r="0" t="0"/>
            <wp:docPr descr="Sensor degradation robustness: accuracy under mild (7-day), moderate (30-day), and severe (90-day) monotonic drift." title="" id="66" name="Picture"/>
            <a:graphic>
              <a:graphicData uri="http://schemas.openxmlformats.org/drawingml/2006/picture">
                <pic:pic>
                  <pic:nvPicPr>
                    <pic:cNvPr descr="12_robustnes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Sensor degradation robustness: accuracy under mild (7-day), moderate (30-day), and severe (90-day) monotonic drift.</w:t>
      </w:r>
    </w:p>
    <w:bookmarkEnd w:id="68"/>
    <w:bookmarkEnd w:id="69"/>
    <w:bookmarkStart w:id="74" w:name="shap-explainability-analysis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SHAP Explainability Analysis</w:t>
      </w:r>
    </w:p>
    <w:p>
      <w:pPr>
        <w:pStyle w:val="FirstParagraph"/>
      </w:pPr>
      <w:r>
        <w:t xml:space="preserve">SHAP analysis</w:t>
      </w:r>
      <w:r>
        <w:t xml:space="preserve"> </w:t>
      </w:r>
      <w:r>
        <w:t xml:space="preserve">[17]</w:t>
      </w:r>
      <w:r>
        <w:t xml:space="preserve"> </w:t>
      </w:r>
      <w:r>
        <w:t xml:space="preserve">of the proposed Random Forest classifier provides both global feature importance and interaction insights.</w:t>
      </w:r>
    </w:p>
    <w:p>
      <w:pPr>
        <w:pStyle w:val="TableCaption"/>
      </w:pPr>
      <w:r>
        <w:t xml:space="preserve">SHAP global feature importance for the proposed Random Forest classifier. {#tbl:shap}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HAP global feature importance for the proposed Random Forest classifier. {#tbl:shap}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Relative Importance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Agronomic 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climate driver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Rainfall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for water-intensive crops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Moderate-High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soil nutrient for fruit/grain quality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Essential for vegetative growth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climate factor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nutrient for root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Least discriminative</w:t>
            </w:r>
          </w:p>
        </w:tc>
      </w:tr>
    </w:tbl>
    <w:p>
      <w:pPr>
        <w:pStyle w:val="BodyText"/>
      </w:pPr>
      <w:r>
        <w:t xml:space="preserve">The dominance of climate features (humidity, rainfall) over soil nutrients indicates that</w:t>
      </w:r>
      <w:r>
        <w:t xml:space="preserve"> </w:t>
      </w:r>
      <w:r>
        <w:rPr>
          <w:b/>
          <w:bCs/>
        </w:rPr>
        <w:t xml:space="preserve">macro-environmental conditions are the primary driver of crop suitability</w:t>
      </w:r>
      <w:r>
        <w:t xml:space="preserve">.</w:t>
      </w:r>
    </w:p>
    <w:bookmarkStart w:id="73" w:name="fig:shap"/>
    <w:p>
      <w:pPr>
        <w:pStyle w:val="CaptionedFigure"/>
      </w:pPr>
      <w:r>
        <w:drawing>
          <wp:inline>
            <wp:extent cx="5334000" cy="3148529"/>
            <wp:effectExtent b="0" l="0" r="0" t="0"/>
            <wp:docPr descr="SHAP feature importance for the Random Forest classifier on the primary dataset." title="" id="71" name="Picture"/>
            <a:graphic>
              <a:graphicData uri="http://schemas.openxmlformats.org/drawingml/2006/picture">
                <pic:pic>
                  <pic:nvPicPr>
                    <pic:cNvPr descr="11_shap_RandomFores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8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SHAP feature importance for the Random Forest classifier on the primary dataset.</w:t>
      </w:r>
    </w:p>
    <w:bookmarkEnd w:id="73"/>
    <w:bookmarkEnd w:id="74"/>
    <w:bookmarkStart w:id="79" w:name="cross-dataset-feature-consistency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Cross-Dataset Feature Consistency</w:t>
      </w:r>
    </w:p>
    <w:p>
      <w:pPr>
        <w:pStyle w:val="FirstParagraph"/>
      </w:pPr>
      <w:r>
        <w:t xml:space="preserve">We analyse whether feature importance rankings transfer across datasets. For the three shared features (N, P, K):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Consistency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primary</m:t>
              </m:r>
            </m:sub>
          </m:sSub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secondary</m:t>
              </m:r>
            </m:sub>
          </m:sSub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{#eq:consistency}</w:t>
      </w:r>
    </w:p>
    <w:p>
      <w:pPr>
        <w:pStyle w:val="BodyText"/>
      </w:pPr>
      <w:r>
        <w:t xml:space="preserve">where scores are normalised consensus rankings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TableCaption"/>
      </w:pPr>
      <w:r>
        <w:t xml:space="preserve">Cross-dataset feature importance consistency analysis. {#tbl:consistency}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ross-dataset feature importance consistency analysis. {#tbl:consistency}"/>
      </w:tblPr>
      <w:tblGrid>
        <w:gridCol w:w="1033"/>
        <w:gridCol w:w="1606"/>
        <w:gridCol w:w="1951"/>
        <w:gridCol w:w="1492"/>
        <w:gridCol w:w="18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transferable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Task-dependent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Least transferable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Phosphorus (P) is the most reliable feature across agricultural domains</w:t>
      </w:r>
      <w:r>
        <w:t xml:space="preserve"> </w:t>
      </w:r>
      <w:r>
        <w:t xml:space="preserve">(consistency = 0.804), while</w:t>
      </w:r>
      <w:r>
        <w:t xml:space="preserve"> </w:t>
      </w:r>
      <w:r>
        <w:rPr>
          <w:b/>
          <w:bCs/>
        </w:rPr>
        <w:t xml:space="preserve">Potassium (K) is the least transferable</w:t>
      </w:r>
      <w:r>
        <w:t xml:space="preserve"> </w:t>
      </w:r>
      <w:r>
        <w:t xml:space="preserve">(0.293). This divergence underscores that feature importance should not be generalised from a single dataset.</w:t>
      </w:r>
    </w:p>
    <w:bookmarkStart w:id="78" w:name="fig:cross_dataset"/>
    <w:p>
      <w:pPr>
        <w:pStyle w:val="CaptionedFigure"/>
      </w:pPr>
      <w:r>
        <w:drawing>
          <wp:inline>
            <wp:extent cx="5334000" cy="3789201"/>
            <wp:effectExtent b="0" l="0" r="0" t="0"/>
            <wp:docPr descr="Cross-dataset feature comparison for shared features (N, P, K)." title="" id="76" name="Picture"/>
            <a:graphic>
              <a:graphicData uri="http://schemas.openxmlformats.org/drawingml/2006/picture">
                <pic:pic>
                  <pic:nvPicPr>
                    <pic:cNvPr descr="07_shared_features_comparison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Cross-dataset feature comparison for shared features (N, P, K).</w:t>
      </w:r>
    </w:p>
    <w:bookmarkEnd w:id="78"/>
    <w:bookmarkEnd w:id="79"/>
    <w:bookmarkEnd w:id="80"/>
    <w:bookmarkStart w:id="90" w:name="discussio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Discussion</w:t>
      </w:r>
    </w:p>
    <w:bookmarkStart w:id="81" w:name="X91134634362f01e25bf5899beecbff910f774b4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Why Random Forest Outperforms on Imbalanced Real Data</w:t>
      </w:r>
    </w:p>
    <w:p>
      <w:pPr>
        <w:pStyle w:val="FirstParagraph"/>
      </w:pPr>
      <w:r>
        <w:t xml:space="preserve">The proposed Random Forest pipeline consistently outperforms gradient boosting methods on the imbalanced secondary dataset due to: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class_weight='balanced'</w:t>
      </w:r>
      <w:r>
        <w:rPr>
          <w:b/>
          <w:bCs/>
        </w:rPr>
        <w:t xml:space="preserve">:</w:t>
      </w:r>
      <w:r>
        <w:t xml:space="preserve"> </w:t>
      </w:r>
      <w:r>
        <w:t xml:space="preserve">RF natively supports class weighting, re-weighting the loss inversely to class frequency, directly addressing the 11.28:1 imbalance ratio.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Bagging vs boosting:</w:t>
      </w:r>
      <w:r>
        <w:t xml:space="preserve"> </w:t>
      </w:r>
      <w:r>
        <w:t xml:space="preserve">Boosting methods focus on misclassified samples in successive rounds, which can amplify noise in the minority class. Bagging (RF) provides variance reduction without over-focusing on hard examples.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Feature subsampling:</w:t>
      </w:r>
      <w:r>
        <w:t xml:space="preserve"> </w:t>
      </w:r>
      <w:r>
        <w:t xml:space="preserve">RF’s random feature subsampling decorrelates trees and reduces overfitting to the majority class’s feature distribution.</w:t>
      </w:r>
    </w:p>
    <w:bookmarkEnd w:id="81"/>
    <w:bookmarkStart w:id="86" w:name="calibration-and-decision-reliability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Calibration and Decision Reliability</w:t>
      </w:r>
    </w:p>
    <w:p>
      <w:pPr>
        <w:pStyle w:val="FirstParagraph"/>
      </w:pPr>
      <w:r>
        <w:t xml:space="preserve">For agricultural deployment, classification accuracy alone is insufficient. Our calibration analysis reveals that Random Forest is moderately well-calibrated (ECE = 0.0430) but tends toward overconfidence. LightGBM achieves the best calibration (ECE = 0.0068), making it preferred when probability estimates are critical. GaussianNB is poorly calibrated despite high accuracy, producing near-0/1 posteriors.</w:t>
      </w:r>
    </w:p>
    <w:bookmarkStart w:id="85" w:name="fig:calibration"/>
    <w:p>
      <w:pPr>
        <w:pStyle w:val="CaptionedFigure"/>
      </w:pPr>
      <w:r>
        <w:drawing>
          <wp:inline>
            <wp:extent cx="5334000" cy="1467174"/>
            <wp:effectExtent b="0" l="0" r="0" t="0"/>
            <wp:docPr descr="Calibration curves for the proposed Random Forest classifier." title="" id="83" name="Picture"/>
            <a:graphic>
              <a:graphicData uri="http://schemas.openxmlformats.org/drawingml/2006/picture">
                <pic:pic>
                  <pic:nvPicPr>
                    <pic:cNvPr descr="13_calibration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7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Calibration curves for the proposed Random Forest classifier.</w:t>
      </w:r>
    </w:p>
    <w:bookmarkEnd w:id="85"/>
    <w:bookmarkEnd w:id="86"/>
    <w:bookmarkStart w:id="87" w:name="practical-deployment-guidance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Practical Deployment Guidance</w:t>
      </w:r>
    </w:p>
    <w:p>
      <w:pPr>
        <w:pStyle w:val="TableCaption"/>
      </w:pPr>
      <w:r>
        <w:t xml:space="preserve">Practical deployment recommendations. {#tbl:guidance}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actical deployment recommendations. {#tbl:guidance}"/>
      </w:tblPr>
      <w:tblGrid>
        <w:gridCol w:w="2200"/>
        <w:gridCol w:w="352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Humidity &gt; Rainfall &gt; K &gt;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 importance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sensor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features (drop Temp, pH)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99.05% acc, 29% fewer sensors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Recalibration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Weekly (mandatory)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&gt;94% acc; monthly = 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 with class_weight=</w:t>
            </w:r>
            <w:r>
              <w:t xml:space="preserve">‘balanced’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on both datasets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 transferability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most reliable across domains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 = 0.804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Imbalance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apply class_weight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GaussianNB failure shows risk</w:t>
            </w:r>
          </w:p>
        </w:tc>
      </w:tr>
    </w:tbl>
    <w:bookmarkEnd w:id="87"/>
    <w:bookmarkStart w:id="88" w:name="limitations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Limitations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Semi-synthetic primary dataset:</w:t>
      </w:r>
      <w:r>
        <w:t xml:space="preserve"> </w:t>
      </w:r>
      <w:r>
        <w:t xml:space="preserve">The perfectly balanced 22-class dataset does not reflect real-world crop distributions. Our secondary dataset validation partially mitigates this.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Cross-dataset analysis, not validation:</w:t>
      </w:r>
      <w:r>
        <w:t xml:space="preserve"> </w:t>
      </w:r>
      <w:r>
        <w:t xml:space="preserve">The two datasets have different target variables. True cross-dataset validation would require a second crop recommendation dataset.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Sensor degradation model:</w:t>
      </w:r>
      <w:r>
        <w:t xml:space="preserve"> </w:t>
      </w:r>
      <w:r>
        <w:t xml:space="preserve">Our simulation uses literature-grounded monotonic drift. Real degradation may involve additional factors (temperature-dependent drift, cross-sensor interference).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SHAP depth:</w:t>
      </w:r>
      <w:r>
        <w:t xml:space="preserve"> </w:t>
      </w:r>
      <w:r>
        <w:t xml:space="preserve">Current analysis provides global feature importance. Per-class SHAP breakdowns would provide deeper agronomic insight.</w:t>
      </w:r>
    </w:p>
    <w:bookmarkEnd w:id="88"/>
    <w:bookmarkStart w:id="89" w:name="future-work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Future Work</w:t>
      </w:r>
    </w:p>
    <w:p>
      <w:pPr>
        <w:pStyle w:val="Compact"/>
        <w:numPr>
          <w:ilvl w:val="0"/>
          <w:numId w:val="1012"/>
        </w:numPr>
      </w:pPr>
      <w:r>
        <w:t xml:space="preserve">Field-collected data validation with GPS-tagged samples and actual crop outcomes.</w:t>
      </w:r>
    </w:p>
    <w:p>
      <w:pPr>
        <w:pStyle w:val="Compact"/>
        <w:numPr>
          <w:ilvl w:val="0"/>
          <w:numId w:val="1012"/>
        </w:numPr>
      </w:pPr>
      <w:r>
        <w:t xml:space="preserve">Noise-augmented training on sensor-degraded variants to build drift-resilient models.</w:t>
      </w:r>
    </w:p>
    <w:p>
      <w:pPr>
        <w:pStyle w:val="Compact"/>
        <w:numPr>
          <w:ilvl w:val="0"/>
          <w:numId w:val="1012"/>
        </w:numPr>
      </w:pPr>
      <w:r>
        <w:t xml:space="preserve">Deep learning with Transformer-based architectures for complex feature interactions.</w:t>
      </w:r>
    </w:p>
    <w:p>
      <w:pPr>
        <w:pStyle w:val="Compact"/>
        <w:numPr>
          <w:ilvl w:val="0"/>
          <w:numId w:val="1012"/>
        </w:numPr>
      </w:pPr>
      <w:r>
        <w:t xml:space="preserve">Federated learning for privacy-preserving collaborative training across agricultural regions.</w:t>
      </w:r>
    </w:p>
    <w:p>
      <w:pPr>
        <w:pStyle w:val="Compact"/>
        <w:numPr>
          <w:ilvl w:val="0"/>
          <w:numId w:val="1012"/>
        </w:numPr>
      </w:pPr>
      <w:r>
        <w:t xml:space="preserve">Per-class SHAP analysis for misclassified samples to identify agronomic edge cases.</w:t>
      </w:r>
    </w:p>
    <w:bookmarkEnd w:id="89"/>
    <w:bookmarkEnd w:id="90"/>
    <w:bookmarkStart w:id="91" w:name="conclusion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Conclusion</w:t>
      </w:r>
    </w:p>
    <w:p>
      <w:pPr>
        <w:pStyle w:val="FirstParagraph"/>
      </w:pPr>
      <w:r>
        <w:t xml:space="preserve">This paper proposes</w:t>
      </w:r>
      <w:r>
        <w:t xml:space="preserve"> </w:t>
      </w:r>
      <w:r>
        <w:rPr>
          <w:b/>
          <w:bCs/>
        </w:rPr>
        <w:t xml:space="preserve">RobustCrop</w:t>
      </w:r>
      <w:r>
        <w:t xml:space="preserve">, a leak-free ML pipeline for crop recommendation that addresses three critical gaps: data leakage in preprocessing, class imbalance in real-world data, and lack of external validation. Through dual-dataset evaluation with cross-dataset feature consistency analysis, we demonstrate that:</w:t>
      </w:r>
    </w:p>
    <w:p>
      <w:pPr>
        <w:numPr>
          <w:ilvl w:val="0"/>
          <w:numId w:val="1013"/>
        </w:numPr>
      </w:pPr>
      <w:r>
        <w:t xml:space="preserve">The proposed Random Forest pipeline achieves</w:t>
      </w:r>
      <w:r>
        <w:t xml:space="preserve"> </w:t>
      </w:r>
      <w:r>
        <w:rPr>
          <w:b/>
          <w:bCs/>
        </w:rPr>
        <w:t xml:space="preserve">99.50% accuracy</w:t>
      </w:r>
      <w:r>
        <w:t xml:space="preserve"> </w:t>
      </w:r>
      <w:r>
        <w:t xml:space="preserve">on the primary dataset and</w:t>
      </w:r>
      <w:r>
        <w:t xml:space="preserve"> </w:t>
      </w:r>
      <w:r>
        <w:rPr>
          <w:b/>
          <w:bCs/>
        </w:rPr>
        <w:t xml:space="preserve">91.25% accuracy</w:t>
      </w:r>
      <w:r>
        <w:t xml:space="preserve"> </w:t>
      </w:r>
      <w:r>
        <w:t xml:space="preserve">(</w:t>
      </w:r>
      <m:oMath>
        <m:r>
          <m:t>κ</m:t>
        </m:r>
      </m:oMath>
      <w:r>
        <w:t xml:space="preserve"> </w:t>
      </w:r>
      <w:r>
        <w:t xml:space="preserve">= 0.8364, macro-F1 = 81.85%) on the real-world imbalanced secondary dataset, outperforming nine benchmark classifiers.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BalWeightWrapper</w:t>
      </w:r>
      <w:r>
        <w:t xml:space="preserve"> </w:t>
      </w:r>
      <w:r>
        <w:t xml:space="preserve">provides uniform imbalance handling for all classifiers via</w:t>
      </w:r>
      <w:r>
        <w:t xml:space="preserve"> </w:t>
      </w:r>
      <w:r>
        <w:rPr>
          <w:rStyle w:val="VerbatimChar"/>
        </w:rPr>
        <w:t xml:space="preserve">sample_weight='balanced'</w:t>
      </w:r>
      <w:r>
        <w:t xml:space="preserve">, eliminating unfair comparison where only native</w:t>
      </w:r>
      <w:r>
        <w:t xml:space="preserve"> </w:t>
      </w:r>
      <w:r>
        <w:rPr>
          <w:rStyle w:val="VerbatimChar"/>
        </w:rPr>
        <w:t xml:space="preserve">class_weight</w:t>
      </w:r>
      <w:r>
        <w:t xml:space="preserve"> </w:t>
      </w:r>
      <w:r>
        <w:t xml:space="preserve">users received correction.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Leak-free Pipeline architecture</w:t>
      </w:r>
      <w:r>
        <w:t xml:space="preserve"> </w:t>
      </w:r>
      <w:r>
        <w:t xml:space="preserve">eliminates the data leakage that inflates accuracy in prior work. A Friedman test confirms statistically significant differences (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32.32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Consensus feature ranking</w:t>
      </w:r>
      <w:r>
        <w:t xml:space="preserve"> </w:t>
      </w:r>
      <w:r>
        <w:t xml:space="preserve">identifies humidity and rainfall as dominant predictors, with a 5-feature subset achieving 99.05% accuracy with 29% fewer sensors.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GaussianNB</w:t>
      </w:r>
      <w:r>
        <w:t xml:space="preserve"> </w:t>
      </w:r>
      <w:r>
        <w:t xml:space="preserve">fails on real-world imbalanced data (80.11%) despite competitive accuracy on balanced benchmarks — a cautionary finding for agricultural ML.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Sensor degradation</w:t>
      </w:r>
      <w:r>
        <w:t xml:space="preserve"> </w:t>
      </w:r>
      <w:r>
        <w:t xml:space="preserve">under monotonic drift is severe: weekly recalibration maintains &gt;94% accuracy, but 90-day uncalibrated deployment causes 83.41% degradation.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Cross-dataset feature consistency</w:t>
      </w:r>
      <w:r>
        <w:t xml:space="preserve"> </w:t>
      </w:r>
      <w:r>
        <w:t xml:space="preserve">reveals phosphorus as the most transferable feature (consistency = 0.804) while potassium importance is task-dependent (0.293).</w:t>
      </w:r>
    </w:p>
    <w:p>
      <w:pPr>
        <w:pStyle w:val="FirstParagraph"/>
      </w:pPr>
      <w:r>
        <w:t xml:space="preserve">These findings provide actionable guidance for deploying ML-based crop recommendation in precision agriculture, from sensor selection and feature engineering to classifier choice and maintenance scheduling.</w:t>
      </w:r>
    </w:p>
    <w:bookmarkEnd w:id="91"/>
    <w:bookmarkStart w:id="122" w:name="references"/>
    <w:p>
      <w:pPr>
        <w:pStyle w:val="Heading1"/>
      </w:pPr>
      <w:r>
        <w:t xml:space="preserve">References</w:t>
      </w:r>
    </w:p>
    <w:bookmarkStart w:id="121" w:name="refs"/>
    <w:bookmarkStart w:id="93" w:name="ref-WorldBank202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World Bank,</w:t>
      </w:r>
      <w:r>
        <w:t xml:space="preserve"> </w:t>
      </w:r>
      <w:r>
        <w:t xml:space="preserve">“Employment in Agriculture (% of Total Employment),”</w:t>
      </w:r>
      <w:r>
        <w:t xml:space="preserve"> </w:t>
      </w:r>
      <w:r>
        <w:t xml:space="preserve">World Bank Open Data. [Online]. Available:</w:t>
      </w:r>
      <w:r>
        <w:t xml:space="preserve"> </w:t>
      </w:r>
      <w:hyperlink r:id="rId92">
        <w:r>
          <w:rPr>
            <w:rStyle w:val="Hyperlink"/>
          </w:rPr>
          <w:t xml:space="preserve">https://data.worldbank.org/indicator/SL.AGR.EMPL.ZS</w:t>
        </w:r>
      </w:hyperlink>
    </w:p>
    <w:bookmarkEnd w:id="93"/>
    <w:bookmarkStart w:id="95" w:name="ref-Kapoor202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Kapoor and A. Narayanan,</w:t>
      </w:r>
      <w:r>
        <w:t xml:space="preserve"> </w:t>
      </w:r>
      <w:r>
        <w:t xml:space="preserve">“Leakage and the Reproducibility Crisis in Machine-Learning-Based Science,”</w:t>
      </w:r>
      <w:r>
        <w:t xml:space="preserve"> </w:t>
      </w:r>
      <w:r>
        <w:rPr>
          <w:i/>
          <w:iCs/>
        </w:rPr>
        <w:t xml:space="preserve">Patterns</w:t>
      </w:r>
      <w:r>
        <w:t xml:space="preserve">, vol. 4, no. 9, p. 100804, 2023, doi:</w:t>
      </w:r>
      <w:r>
        <w:t xml:space="preserve"> </w:t>
      </w:r>
      <w:hyperlink r:id="rId94">
        <w:r>
          <w:rPr>
            <w:rStyle w:val="Hyperlink"/>
          </w:rPr>
          <w:t xml:space="preserve">10.1016/j.patter.2023.100804</w:t>
        </w:r>
      </w:hyperlink>
      <w:r>
        <w:t xml:space="preserve">.</w:t>
      </w:r>
    </w:p>
    <w:bookmarkEnd w:id="95"/>
    <w:bookmarkStart w:id="97" w:name="ref-Liakos2018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G. Liakos, P. Busato, D. Moshou, S. Pearson, and D. Bochtis,</w:t>
      </w:r>
      <w:r>
        <w:t xml:space="preserve"> </w:t>
      </w:r>
      <w:r>
        <w:t xml:space="preserve">“Machine Learning in Agriculture: A Review,”</w:t>
      </w:r>
      <w:r>
        <w:t xml:space="preserve"> </w:t>
      </w:r>
      <w:r>
        <w:rPr>
          <w:i/>
          <w:iCs/>
        </w:rPr>
        <w:t xml:space="preserve">Sensors</w:t>
      </w:r>
      <w:r>
        <w:t xml:space="preserve">, vol. 18, no. 8, p. 2674, 2018, doi:</w:t>
      </w:r>
      <w:r>
        <w:t xml:space="preserve"> </w:t>
      </w:r>
      <w:hyperlink r:id="rId96">
        <w:r>
          <w:rPr>
            <w:rStyle w:val="Hyperlink"/>
          </w:rPr>
          <w:t xml:space="preserve">10.3390/s18082674</w:t>
        </w:r>
      </w:hyperlink>
      <w:r>
        <w:t xml:space="preserve">.</w:t>
      </w:r>
    </w:p>
    <w:bookmarkEnd w:id="97"/>
    <w:bookmarkStart w:id="99" w:name="ref-Shah202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K. Shah, H. Patel, and A. Jain,</w:t>
      </w:r>
      <w:r>
        <w:t xml:space="preserve"> </w:t>
      </w:r>
      <w:r>
        <w:t xml:space="preserve">“Crop Recommendation Using Machine Learning,”</w:t>
      </w:r>
      <w:r>
        <w:t xml:space="preserve"> </w:t>
      </w:r>
      <w:r>
        <w:rPr>
          <w:i/>
          <w:iCs/>
        </w:rPr>
        <w:t xml:space="preserve">International Journal of Engineering Trends and Technology</w:t>
      </w:r>
      <w:r>
        <w:t xml:space="preserve">, vol. 70, no. 3, pp. 134–142, 2022, doi:</w:t>
      </w:r>
      <w:r>
        <w:t xml:space="preserve"> </w:t>
      </w:r>
      <w:hyperlink r:id="rId98">
        <w:r>
          <w:rPr>
            <w:rStyle w:val="Hyperlink"/>
          </w:rPr>
          <w:t xml:space="preserve">10.14445/22315381/IJETT-V70I3P214</w:t>
        </w:r>
      </w:hyperlink>
      <w:r>
        <w:t xml:space="preserve">.</w:t>
      </w:r>
    </w:p>
    <w:bookmarkEnd w:id="99"/>
    <w:bookmarkStart w:id="101" w:name="ref-Kamilaris201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Kamilaris and F. X. Prenafeta-Boldú,</w:t>
      </w:r>
      <w:r>
        <w:t xml:space="preserve"> </w:t>
      </w:r>
      <w:r>
        <w:t xml:space="preserve">“Deep Learning in Agriculture: A Survey,”</w:t>
      </w:r>
      <w:r>
        <w:t xml:space="preserve"> </w:t>
      </w:r>
      <w:r>
        <w:rPr>
          <w:i/>
          <w:iCs/>
        </w:rPr>
        <w:t xml:space="preserve">Computers and Electronics in Agriculture</w:t>
      </w:r>
      <w:r>
        <w:t xml:space="preserve">, vol. 147, pp. 70–90, 2018, doi:</w:t>
      </w:r>
      <w:r>
        <w:t xml:space="preserve"> </w:t>
      </w:r>
      <w:hyperlink r:id="rId100">
        <w:r>
          <w:rPr>
            <w:rStyle w:val="Hyperlink"/>
          </w:rPr>
          <w:t xml:space="preserve">10.1016/j.compag.2018.02.016</w:t>
        </w:r>
      </w:hyperlink>
      <w:r>
        <w:t xml:space="preserve">.</w:t>
      </w:r>
    </w:p>
    <w:bookmarkEnd w:id="101"/>
    <w:bookmarkStart w:id="102" w:name="ref-Guyon2003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I. Guyon and A. Elisseeff,</w:t>
      </w:r>
      <w:r>
        <w:t xml:space="preserve"> </w:t>
      </w:r>
      <w:r>
        <w:t xml:space="preserve">“An Introduction to Variable and Feature Selection,”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3, pp. 1157–1182, 2003.</w:t>
      </w:r>
    </w:p>
    <w:bookmarkEnd w:id="102"/>
    <w:bookmarkStart w:id="104" w:name="ref-Chandrashekar201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Chandrashekar and F. Sahin,</w:t>
      </w:r>
      <w:r>
        <w:t xml:space="preserve"> </w:t>
      </w:r>
      <w:r>
        <w:t xml:space="preserve">“A Survey on Feature Selection Methods,”</w:t>
      </w:r>
      <w:r>
        <w:t xml:space="preserve"> </w:t>
      </w:r>
      <w:r>
        <w:rPr>
          <w:i/>
          <w:iCs/>
        </w:rPr>
        <w:t xml:space="preserve">Computers &amp; Electrical Engineering</w:t>
      </w:r>
      <w:r>
        <w:t xml:space="preserve">, vol. 40, no. 1, pp. 16–28, 2014, doi:</w:t>
      </w:r>
      <w:r>
        <w:t xml:space="preserve"> </w:t>
      </w:r>
      <w:hyperlink r:id="rId103">
        <w:r>
          <w:rPr>
            <w:rStyle w:val="Hyperlink"/>
          </w:rPr>
          <w:t xml:space="preserve">10.1016/j.compeleceng.2013.11.024</w:t>
        </w:r>
      </w:hyperlink>
      <w:r>
        <w:t xml:space="preserve">.</w:t>
      </w:r>
    </w:p>
    <w:bookmarkEnd w:id="104"/>
    <w:bookmarkStart w:id="106" w:name="ref-Wolfert201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S. Wolfert, L. Ge, C. Verdouw, and M.-J. Bogaardt,</w:t>
      </w:r>
      <w:r>
        <w:t xml:space="preserve"> </w:t>
      </w:r>
      <w:r>
        <w:t xml:space="preserve">“Big Data in Smart Farming: A Review,”</w:t>
      </w:r>
      <w:r>
        <w:t xml:space="preserve"> </w:t>
      </w:r>
      <w:r>
        <w:rPr>
          <w:i/>
          <w:iCs/>
        </w:rPr>
        <w:t xml:space="preserve">Agricultural Systems</w:t>
      </w:r>
      <w:r>
        <w:t xml:space="preserve">, vol. 153, pp. 69–80, 2017, doi:</w:t>
      </w:r>
      <w:r>
        <w:t xml:space="preserve"> </w:t>
      </w:r>
      <w:hyperlink r:id="rId105">
        <w:r>
          <w:rPr>
            <w:rStyle w:val="Hyperlink"/>
          </w:rPr>
          <w:t xml:space="preserve">10.1016/j.agsy.2017.01.023</w:t>
        </w:r>
      </w:hyperlink>
      <w:r>
        <w:t xml:space="preserve">.</w:t>
      </w:r>
    </w:p>
    <w:bookmarkEnd w:id="106"/>
    <w:bookmarkStart w:id="108" w:name="ref-Rana2019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S. Rana, R. Bhargava, and R. Sharma,</w:t>
      </w:r>
      <w:r>
        <w:t xml:space="preserve"> </w:t>
      </w:r>
      <w:r>
        <w:t xml:space="preserve">“IoT-based Smart Agriculture Sensor Networks,”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 7, pp. 155274–155291, 2019, doi:</w:t>
      </w:r>
      <w:r>
        <w:t xml:space="preserve"> </w:t>
      </w:r>
      <w:hyperlink r:id="rId107">
        <w:r>
          <w:rPr>
            <w:rStyle w:val="Hyperlink"/>
          </w:rPr>
          <w:t xml:space="preserve">10.1109/ACCESS.2019.2949363</w:t>
        </w:r>
      </w:hyperlink>
      <w:r>
        <w:t xml:space="preserve">.</w:t>
      </w:r>
    </w:p>
    <w:bookmarkEnd w:id="108"/>
    <w:bookmarkStart w:id="110" w:name="ref-Lobnik201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Lobnik, M. Oćwieja, and D. Križaj,</w:t>
      </w:r>
      <w:r>
        <w:t xml:space="preserve"> </w:t>
      </w:r>
      <w:r>
        <w:t xml:space="preserve">“Long-term Stability of pH Sensors,”</w:t>
      </w:r>
      <w:r>
        <w:t xml:space="preserve"> </w:t>
      </w:r>
      <w:r>
        <w:rPr>
          <w:i/>
          <w:iCs/>
        </w:rPr>
        <w:t xml:space="preserve">Sensors and Actuators B: Chemical</w:t>
      </w:r>
      <w:r>
        <w:t xml:space="preserve">, vol. 156, no. 2, pp. 593–599, 2011, doi:</w:t>
      </w:r>
      <w:r>
        <w:t xml:space="preserve"> </w:t>
      </w:r>
      <w:hyperlink r:id="rId109">
        <w:r>
          <w:rPr>
            <w:rStyle w:val="Hyperlink"/>
          </w:rPr>
          <w:t xml:space="preserve">10.1016/j.snb.2011.02.035</w:t>
        </w:r>
      </w:hyperlink>
      <w:r>
        <w:t xml:space="preserve">.</w:t>
      </w:r>
    </w:p>
    <w:bookmarkEnd w:id="110"/>
    <w:bookmarkStart w:id="111" w:name="ref-Pedregosa201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F. Pedregosa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“Scikit-learn: Machine Learning in Python,”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12, pp. 2825–2830, 2011.</w:t>
      </w:r>
    </w:p>
    <w:bookmarkEnd w:id="111"/>
    <w:bookmarkStart w:id="113" w:name="ref-Breiman20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 45, no. 1, pp. 5–32, 2001, doi:</w:t>
      </w:r>
      <w:r>
        <w:t xml:space="preserve"> </w:t>
      </w:r>
      <w:hyperlink r:id="rId112">
        <w:r>
          <w:rPr>
            <w:rStyle w:val="Hyperlink"/>
          </w:rPr>
          <w:t xml:space="preserve">10.1023/A:1010933404324</w:t>
        </w:r>
      </w:hyperlink>
      <w:r>
        <w:t xml:space="preserve">.</w:t>
      </w:r>
    </w:p>
    <w:bookmarkEnd w:id="113"/>
    <w:bookmarkStart w:id="114" w:name="ref-Kohavi1995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Kohavi,</w:t>
      </w:r>
      <w:r>
        <w:t xml:space="preserve"> </w:t>
      </w:r>
      <w:r>
        <w:t xml:space="preserve">“A Study of Cross-Validation and Bootstrap for Accuracy Estimation and Model Selection,”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14th International Joint Conference on Artificial Intelligence</w:t>
      </w:r>
      <w:r>
        <w:t xml:space="preserve">, 1995, pp. 1137–1143.</w:t>
      </w:r>
    </w:p>
    <w:bookmarkEnd w:id="114"/>
    <w:bookmarkStart w:id="116" w:name="ref-Friedman1937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M. Friedman,</w:t>
      </w:r>
      <w:r>
        <w:t xml:space="preserve"> </w:t>
      </w:r>
      <w:r>
        <w:t xml:space="preserve">“The Use of Ranks to Avoid the Assumption of Normality Implicit in the Analysis of Variance,”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32, no. 200, pp. 675–701, 1937, doi:</w:t>
      </w:r>
      <w:r>
        <w:t xml:space="preserve"> </w:t>
      </w:r>
      <w:hyperlink r:id="rId115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bookmarkEnd w:id="116"/>
    <w:bookmarkStart w:id="117" w:name="ref-Guo2017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C. Guo, G. Pleiss, Y. Sun, and K. Q. Weinberger,</w:t>
      </w:r>
      <w:r>
        <w:t xml:space="preserve"> </w:t>
      </w:r>
      <w:r>
        <w:t xml:space="preserve">“On Calibration of Modern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34th International Conference on Machine Learning</w:t>
      </w:r>
      <w:r>
        <w:t xml:space="preserve">, 2017, pp. 1321–1330.</w:t>
      </w:r>
    </w:p>
    <w:bookmarkEnd w:id="117"/>
    <w:bookmarkStart w:id="119" w:name="ref-Akiba2019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T. Akiba, S. Sano, T. Yanase, T. Ohta, and M. Koyama,</w:t>
      </w:r>
      <w:r>
        <w:t xml:space="preserve"> </w:t>
      </w:r>
      <w:r>
        <w:t xml:space="preserve">“Optuna: A Next-generation Hyperparameter Optimization Framework,”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25th ACM SIGKDD International Conference on Knowledge Discovery &amp; Data Mining</w:t>
      </w:r>
      <w:r>
        <w:t xml:space="preserve">, ACM, 2019, pp. 2623–2631. doi:</w:t>
      </w:r>
      <w:r>
        <w:t xml:space="preserve"> </w:t>
      </w:r>
      <w:hyperlink r:id="rId118">
        <w:r>
          <w:rPr>
            <w:rStyle w:val="Hyperlink"/>
          </w:rPr>
          <w:t xml:space="preserve">10.1145/3292500.3330701</w:t>
        </w:r>
      </w:hyperlink>
      <w:r>
        <w:t xml:space="preserve">.</w:t>
      </w:r>
    </w:p>
    <w:bookmarkEnd w:id="119"/>
    <w:bookmarkStart w:id="120" w:name="ref-Lundberg2017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2017.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52" Target="media/rId52.png" /><Relationship Type="http://schemas.openxmlformats.org/officeDocument/2006/relationships/image" Id="rId75" Target="media/rId75.png" /><Relationship Type="http://schemas.openxmlformats.org/officeDocument/2006/relationships/image" Id="rId58" Target="media/rId58.png" /><Relationship Type="http://schemas.openxmlformats.org/officeDocument/2006/relationships/image" Id="rId70" Target="media/rId70.png" /><Relationship Type="http://schemas.openxmlformats.org/officeDocument/2006/relationships/image" Id="rId65" Target="media/rId65.png" /><Relationship Type="http://schemas.openxmlformats.org/officeDocument/2006/relationships/image" Id="rId82" Target="media/rId82.png" /><Relationship Type="http://schemas.openxmlformats.org/officeDocument/2006/relationships/hyperlink" Id="rId92" Target="https://data.worldbank.org/indicator/SL.AGR.EMPL.ZS" TargetMode="External" /><Relationship Type="http://schemas.openxmlformats.org/officeDocument/2006/relationships/hyperlink" Id="rId105" Target="https://doi.org/10.1016/j.agsy.2017.01.023" TargetMode="External" /><Relationship Type="http://schemas.openxmlformats.org/officeDocument/2006/relationships/hyperlink" Id="rId100" Target="https://doi.org/10.1016/j.compag.2018.02.016" TargetMode="External" /><Relationship Type="http://schemas.openxmlformats.org/officeDocument/2006/relationships/hyperlink" Id="rId103" Target="https://doi.org/10.1016/j.compeleceng.2013.11.024" TargetMode="External" /><Relationship Type="http://schemas.openxmlformats.org/officeDocument/2006/relationships/hyperlink" Id="rId94" Target="https://doi.org/10.1016/j.patter.2023.100804" TargetMode="External" /><Relationship Type="http://schemas.openxmlformats.org/officeDocument/2006/relationships/hyperlink" Id="rId109" Target="https://doi.org/10.1016/j.snb.2011.02.035" TargetMode="External" /><Relationship Type="http://schemas.openxmlformats.org/officeDocument/2006/relationships/hyperlink" Id="rId112" Target="https://doi.org/10.1023/A:1010933404324" TargetMode="External" /><Relationship Type="http://schemas.openxmlformats.org/officeDocument/2006/relationships/hyperlink" Id="rId115" Target="https://doi.org/10.1080/01621459.1937.10503522" TargetMode="External" /><Relationship Type="http://schemas.openxmlformats.org/officeDocument/2006/relationships/hyperlink" Id="rId107" Target="https://doi.org/10.1109/ACCESS.2019.2949363" TargetMode="External" /><Relationship Type="http://schemas.openxmlformats.org/officeDocument/2006/relationships/hyperlink" Id="rId118" Target="https://doi.org/10.1145/3292500.3330701" TargetMode="External" /><Relationship Type="http://schemas.openxmlformats.org/officeDocument/2006/relationships/hyperlink" Id="rId98" Target="https://doi.org/10.14445/22315381/IJETT-V70I3P214" TargetMode="External" /><Relationship Type="http://schemas.openxmlformats.org/officeDocument/2006/relationships/hyperlink" Id="rId96" Target="https://doi.org/10.3390/s1808267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s://data.worldbank.org/indicator/SL.AGR.EMPL.ZS" TargetMode="External" /><Relationship Type="http://schemas.openxmlformats.org/officeDocument/2006/relationships/hyperlink" Id="rId105" Target="https://doi.org/10.1016/j.agsy.2017.01.023" TargetMode="External" /><Relationship Type="http://schemas.openxmlformats.org/officeDocument/2006/relationships/hyperlink" Id="rId100" Target="https://doi.org/10.1016/j.compag.2018.02.016" TargetMode="External" /><Relationship Type="http://schemas.openxmlformats.org/officeDocument/2006/relationships/hyperlink" Id="rId103" Target="https://doi.org/10.1016/j.compeleceng.2013.11.024" TargetMode="External" /><Relationship Type="http://schemas.openxmlformats.org/officeDocument/2006/relationships/hyperlink" Id="rId94" Target="https://doi.org/10.1016/j.patter.2023.100804" TargetMode="External" /><Relationship Type="http://schemas.openxmlformats.org/officeDocument/2006/relationships/hyperlink" Id="rId109" Target="https://doi.org/10.1016/j.snb.2011.02.035" TargetMode="External" /><Relationship Type="http://schemas.openxmlformats.org/officeDocument/2006/relationships/hyperlink" Id="rId112" Target="https://doi.org/10.1023/A:1010933404324" TargetMode="External" /><Relationship Type="http://schemas.openxmlformats.org/officeDocument/2006/relationships/hyperlink" Id="rId115" Target="https://doi.org/10.1080/01621459.1937.10503522" TargetMode="External" /><Relationship Type="http://schemas.openxmlformats.org/officeDocument/2006/relationships/hyperlink" Id="rId107" Target="https://doi.org/10.1109/ACCESS.2019.2949363" TargetMode="External" /><Relationship Type="http://schemas.openxmlformats.org/officeDocument/2006/relationships/hyperlink" Id="rId118" Target="https://doi.org/10.1145/3292500.3330701" TargetMode="External" /><Relationship Type="http://schemas.openxmlformats.org/officeDocument/2006/relationships/hyperlink" Id="rId98" Target="https://doi.org/10.14445/22315381/IJETT-V70I3P214" TargetMode="External" /><Relationship Type="http://schemas.openxmlformats.org/officeDocument/2006/relationships/hyperlink" Id="rId96" Target="https://doi.org/10.3390/s1808267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2026-04-28T16:29:36Z</dcterms:created>
  <dcterms:modified xsi:type="dcterms:W3CDTF">2026-04-28T16:29:36Z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references.json</vt:lpwstr>
  </property>
  <property fmtid="{D5CDD505-2E9C-101B-9397-08002B2CF9AE}" pid="3" name="csl">
    <vt:lpwstr>https://raw.githubusercontent.com/citation-style-language/styles/master/ieee.csl</vt:lpwstr>
  </property>
  <property fmtid="{D5CDD505-2E9C-101B-9397-08002B2CF9AE}" pid="4" name="fontsize">
    <vt:lpwstr>11pt</vt:lpwstr>
  </property>
  <property fmtid="{D5CDD505-2E9C-101B-9397-08002B2CF9AE}" pid="5" name="geometry">
    <vt:lpwstr>margin=1in</vt:lpwstr>
  </property>
  <property fmtid="{D5CDD505-2E9C-101B-9397-08002B2CF9AE}" pid="6" name="linestretch">
    <vt:lpwstr>1.5</vt:lpwstr>
  </property>
  <property fmtid="{D5CDD505-2E9C-101B-9397-08002B2CF9AE}" pid="7" name="numbersections">
    <vt:lpwstr>True</vt:lpwstr>
  </property>
  <property fmtid="{D5CDD505-2E9C-101B-9397-08002B2CF9AE}" pid="8" name="toc">
    <vt:lpwstr>True</vt:lpwstr>
  </property>
</Properties>
</file>