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Anonymous Submission</w:t>
      </w:r>
    </w:p>
    <w:p>
      <w:pPr>
        <w:pStyle w:val="Author"/>
      </w:pPr>
      <w:r>
        <w:rPr>
          <w:b w:val="0"/>
        </w:rPr>
        <w:t>Author details withheld for double-blind review</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sectPr>
          <w:type w:val="continuous"/>
          <w:pgSz w:w="595.30pt" w:h="841.90pt" w:code="9"/>
          <w:pgMar w:top="54pt" w:right="1080" w:bottom="72pt" w:left="1080" w:header="36pt" w:footer="36pt" w:gutter="0pt"/>
          <w:cols w:space="288" w:num="1" w:equalWidth="1"/>
          <w:docGrid w:linePitch="360"/>
        </w:sectPr>
      </w:pP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[2], and has extended to NHANES dysglycemia screening with decision-curve analysis [6], to external validation of NHANES-trained models on BRFSS with a 9.7% relative AUC drop [7], and to feature selection on BRFSS at AUC 0.823 [8]. Widely used claims about survey-based diabetes models are not reproducible under a leakage-audited protocol: on this same 253,680-row dataset, published pipelines report AUC near 0.99 [7],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[1],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[12]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[4], and selection-rate gap, each with per-group supports, 300-resample bootstrap confidence intervals, design-effect sensitivity, and intersectional cells. Model comparison uses a paired bootstrap of the test-set AUC difference (2,000 resamples); utility uses decision-curve net benefit. TreeSHAP [3]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[13].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[17].</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the number of predicted positives with the number of observed positives in the calibration split. That correction assumes the base scores are mildly and roughly uniformly over-confident;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w:t>
      </w:r>
    </w:p>
    <w:p>
      <w:pPr>
        <w:pStyle w:val="tablehead"/>
        <w:keepNext/>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[7].</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[5].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with per-band ECE at most 0.0208 and 0.0246, so the age gap is not a calibration failure; net benefit at the recommended threshold stays positive in every band from 50–54 upward in 2021 (0.0692–0.1556).</w:t>
      </w:r>
    </w:p>
    <w:p>
      <w:pPr>
        <w:pStyle w:val="tablehead"/>
        <w:keepNext/>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by 2021 the income policy's own gap has grown to 0.8647 and the education policy's to 0.7128, and the age policy, which should equalize age, produces a TPR gap of 0.9087 in sample and 0.8937–0.8992 out of time—worse than the global threshold. Per-group calibration before thresholding, an alternative stabiliser, narrows the sex gap further (0.0171 → 0.0072) and the age gap modestly (0.5111 → 0.4780) but leaves other attributes unchanged or worse; it too is fitted on a single split, and transporting the same age-wise recalibration to 2021 gives overall ECE 0.0116 against 0.0097 for the global map, so per-group recalibration does not transport better than a single global calibrator.</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1)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SHAP's known limitations [13],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show that a one-point change in general health flips 67.5% of them, a ±5 change in BMI flips 88.2%, and a one-point change in age flips 48.0%, whereas changes in high blood pressure or high cholesterol flip none. The contrast between the SHAP ranking and the flip behaviour of binary features cautions against reading SHAP values as clinical leverage.</w:t>
      </w:r>
    </w:p>
    <w:p>
      <w:pPr>
        <w:jc w:val="center"/>
      </w:pPr>
      <w:r>
        <w:drawing>
          <wp:inline xmlns:a="http://schemas.openxmlformats.org/drawingml/2006/main" xmlns:pic="http://schemas.openxmlformats.org/drawingml/2006/picture">
            <wp:extent cx="2880360" cy="2057400"/>
            <wp:docPr id="1" name="Picture 1"/>
            <wp:cNvGraphicFramePr>
              <a:graphicFrameLocks noChangeAspect="1"/>
            </wp:cNvGraphicFramePr>
            <a:graphic>
              <a:graphicData uri="http://schemas.openxmlformats.org/drawingml/2006/picture">
                <pic:pic>
                  <pic:nvPicPr>
                    <pic:cNvPr id="0" name="shap_top_features.png"/>
                    <pic:cNvPicPr/>
                  </pic:nvPicPr>
                  <pic:blipFill>
                    <a:blip r:embed="rId13"/>
                    <a:stretch>
                      <a:fillRect/>
                    </a:stretch>
                  </pic:blipFill>
                  <pic:spPr>
                    <a:xfrm>
                      <a:off x="0" y="0"/>
                      <a:ext cx="2880360" cy="2057400"/>
                    </a:xfrm>
                    <a:prstGeom prst="rect"/>
                  </pic:spPr>
                </pic:pic>
              </a:graphicData>
            </a:graphic>
          </wp:inline>
        </w:drawing>
      </w:r>
    </w:p>
    <w:p>
      <w:pPr>
        <w:pStyle w:val="figurecaption"/>
      </w:pPr>
      <w:r>
        <w:rPr>
          <w:b w:val="0"/>
        </w:rPr>
        <w:t>Top 12 features by mean |SHAP|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[8].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against threshold probability gives net benefit 0.068 against 0.044 for treat-all at a threshold of 0.10 and 0.009 against -0.076 at 0.20, with treat-all becoming actively harmful beyond 0.10; the model therefore dominates treat-all and treat-none across the clinically relevant range, supporting the sensitivity-oriented operating points of Table 4 and indicating a useful threshold range well below 0.5, consistent with the strong over-prediction of the class-weighted model. Finally, bounded perturbation probes, clipping each modified feature to its historical range, characterise model behaviour rather than causal effects: a +5 BMI shift raises mean predicted probability by 0.0694 on raw scores but only 0.0410 on recalibrated scores, while setting heavy alcohol use to present decreases it. The model encodes the historical associations of this survey, and we do not read these probes as clinical guidance.</w:t>
      </w:r>
    </w:p>
    <w:p>
      <w:pPr>
        <w:pStyle w:val="Heading1"/>
      </w:pPr>
      <w:r>
        <w:rPr>
          <w:b w:val="0"/>
        </w:rPr>
        <w:t>Discussion</w:t>
      </w:r>
    </w:p>
    <w:p>
      <w:pPr>
        <w:pStyle w:val="BodyText"/>
      </w:pPr>
      <w:r>
        <w:rPr>
          <w:b w:val="0"/>
        </w:rPr>
        <w:t>Our discrimination (AUC 0.8288, AUPRC 0.4229) exceeds earlier BRFSS studies reporting 0.72–0.80 [2] and approaches NHANES dysglycemia screening at 0.820 [6], but is markedly more conservative than BRFSS pipelines reporting AUC near 0.99 with stacked ensembles and resampling-based balancing [7]: our audit shows duplicate profiles and fold construction move AUC by at most 0.010 on this same 253,680-row dataset, so we regard those figures as unlikely to be reproducible. Where an NHANES-trained model was externally validated on BRFSS, AUC fell from 0.794 to 0.717 under shift [7], whereas our in-domain transfer is milder (0.8338 to 0.8198). A copula filter reports 0.823 with 10 features [8] against our 0.8248 for SHAP at k=10, though differing years and splits preclude a decisive win; multi-task frameworks that pair leakage control with calibration reach comparable macro-AUROC on similar survey data [16], and this single-task audit complements them by isolating the pitfalls. Our finding that class weighting dominates miscalibration is consistent with the wider literature, in which isotonic and Platt can themselves degrade proper scoring for strong tabular learners [14];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using an unweighted model with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the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[7];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[9],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[11]. Our release carries none of those variables, so that route requires the raw BRFSS XPT files. Future work: design-weighted inference, race-stratified reliability, a fairness mitigation validated out of time [10],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[1]. The analysis code, run manifests, logged results, and a SHA-256 hash manifest of every artifact are held in a private repository for review and will be made public on acceptance [17]. This study analyses a publicly available, de-identified survey dataset under CC0; no identifiable human subject data were accessed, so no ethics approval was required.</w:t>
      </w:r>
    </w:p>
    <w:p>
      <w:pPr>
        <w:pStyle w:val="references"/>
      </w:pPr>
      <w:r>
        <w:rPr>
          <w:b w:val="0"/>
        </w:rPr>
        <w:t>CDC Diabetes Health Indicators [Dataset]. (2017). UCI ML Repository. https://doi.org/10.24432/C53919 (accessed 17 Oct. 2026).</w:t>
      </w:r>
    </w:p>
    <w:p>
      <w:pPr>
        <w:pStyle w:val="references"/>
      </w:pPr>
      <w:r>
        <w:rPr>
          <w:b w:val="0"/>
        </w:rPr>
        <w:t>Z. Xie et al., “Building risk prediction models for type 2 diabetes using machine learning techniques,” Prev. Chronic Dis., vol. 16, p. e130, 2019.</w:t>
      </w:r>
    </w:p>
    <w:p>
      <w:pPr>
        <w:pStyle w:val="references"/>
      </w:pPr>
      <w:r>
        <w:rPr>
          <w:b w:val="0"/>
        </w:rPr>
        <w:t>S. M. Lundberg and S.-I. Lee, “A unified approach to interpreting model predictions,” in Adv. Neural Inf. Process. Syst., vol. 30, pp. 4768–4777, 2017.</w:t>
      </w:r>
    </w:p>
    <w:p>
      <w:pPr>
        <w:pStyle w:val="references"/>
      </w:pPr>
      <w:r>
        <w:rPr>
          <w:b w:val="0"/>
        </w:rPr>
        <w:t>M. Hardt, E. Price, and N. Srebro, “Equality of opportunity in supervised learning,” in Adv. Neural Inf. Process. Syst., vol. 29, pp. 3315–3323, 2016.</w:t>
      </w:r>
    </w:p>
    <w:p>
      <w:pPr>
        <w:pStyle w:val="references"/>
      </w:pPr>
      <w:r>
        <w:rPr>
          <w:b w:val="0"/>
        </w:rPr>
        <w:t>N. Mehrabi et al., “A survey on bias and fairness in machine learning,” ACM Comput. Surv., vol. 54, no. 6, art. 115, 2021.</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S. Roy et al., “KAISEN: Reproducible subgroup fairness auditing for clinical risk models,” arXiv:2607.28608, 2026.</w:t>
      </w:r>
    </w:p>
    <w:p>
      <w:pPr>
        <w:pStyle w:val="references"/>
      </w:pPr>
      <w:r>
        <w:rPr>
          <w:b w:val="0"/>
        </w:rPr>
        <w:t>CDC, “National weighting of data from the Behavioral Risk Factor Surveillance System (BRFSS),” 2016. https://stacks.cdc.gov/view/cdc/43284.</w:t>
      </w:r>
    </w:p>
    <w:p>
      <w:pPr>
        <w:pStyle w:val="references"/>
      </w:pPr>
      <w:r>
        <w:rPr>
          <w:b w:val="0"/>
        </w:rPr>
        <w:t>T. Chen and C. Guestrin, “XGBoost: a scalable tree boosting system,” in Proc. ACM SIGKDD, pp. 785–794, 2016.</w:t>
      </w:r>
    </w:p>
    <w:p>
      <w:pPr>
        <w:pStyle w:val="references"/>
      </w:pPr>
      <w:r>
        <w:rPr>
          <w:b w:val="0"/>
        </w:rPr>
        <w:t>O. L\'etoff\'e et al., “Towards rigorous explainability by feature attribution,” arXiv:2604.15898,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Anonymous, “BRFSS diabetes screening: code and artifact manifest,” GitHub repository, 2026. [repository withheld for double-blind review]</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