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[Author Name]</w:t>
      </w:r>
    </w:p>
    <w:p>
      <w:pPr>
        <w:pStyle w:val="Author"/>
      </w:pPr>
      <w:r>
        <w:rPr>
          <w:b w:val="0"/>
        </w:rPr>
        <w:t>[Department]</w:t>
      </w:r>
    </w:p>
    <w:p>
      <w:pPr>
        <w:pStyle w:val="Author"/>
      </w:pPr>
      <w:r>
        <w:rPr>
          <w:b w:val="0"/>
        </w:rPr>
        <w:t>[Institution]</w:t>
      </w:r>
    </w:p>
    <w:p>
      <w:pPr>
        <w:pStyle w:val="Author"/>
      </w:pPr>
      <w:r>
        <w:rPr>
          <w:b w:val="0"/>
        </w:rPr>
        <w:t>[City], [Country]</w:t>
      </w:r>
    </w:p>
    <w:p>
      <w:pPr>
        <w:pStyle w:val="Author"/>
      </w:pPr>
      <w:r>
        <w:rPr>
          <w:b w:val="0"/>
        </w:rPr>
        <w:t>[email]</w:t>
      </w:r>
    </w:p>
    <w:p>
      <w:pPr>
        <w:sectPr>
          <w:type w:val="continuous"/>
          <w:pgSz w:w="595.30pt" w:h="841.90pt" w:code="9"/>
          <w:pgMar w:top="54pt" w:right="1080" w:bottom="72pt" w:left="1080" w:header="36pt" w:footer="36pt" w:gutter="0pt"/>
          <w:cols w:space="288" w:num="1" w:equalWidth="1"/>
          <w:docGrid w:linePitch="360"/>
        </w:sectPr>
      </w:pP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and has extended to NHANES dysglycemia screening with decision-curve analysis, to external validation of NHANES-trained models on BRFSS with a 9.7% relative AUC drop, and to feature selection on BRFSS at AUC 0.823 [1]-[4]. Widely used claims about survey-based diabetes models are not reproducible under a leakage-audited protocol: on this same 253,680-row dataset, published pipelines report AUC near 0.99,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[5],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[6]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[7], and selection-rate gap, each with per-group supports, 300-resample bootstrap confidence intervals, design-effect sensitivity, and intersectional cells. Model comparison uses a paired bootstrap of the test-set AUC difference (2,000 resamples); utility uses decision-curve net benefit. TreeSHAP [8]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[9].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(repository in the Data and Code Availability section).</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keepLines/>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predicted and observed positives in the calibration split. That correction assumes mildly and uniformly over-confident base scores;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 Figure 1 shows why: the weighted ensemble is calibrated only in the low-risk bins, and recalibration moves the whole curve onto the diagonal.</w:t>
      </w:r>
    </w:p>
    <w:p>
      <w:pPr>
        <w:jc w:val="center"/>
      </w:pPr>
      <w:r>
        <w:drawing>
          <wp:inline xmlns:a="http://schemas.openxmlformats.org/drawingml/2006/main" xmlns:pic="http://schemas.openxmlformats.org/drawingml/2006/picture">
            <wp:extent cx="2880360" cy="1845230"/>
            <wp:docPr id="1" name="Picture 1"/>
            <wp:cNvGraphicFramePr>
              <a:graphicFrameLocks noChangeAspect="1"/>
            </wp:cNvGraphicFramePr>
            <a:graphic>
              <a:graphicData uri="http://schemas.openxmlformats.org/drawingml/2006/picture">
                <pic:pic>
                  <pic:nvPicPr>
                    <pic:cNvPr id="0" name="calibration_reliability_col.png"/>
                    <pic:cNvPicPr/>
                  </pic:nvPicPr>
                  <pic:blipFill>
                    <a:blip r:embed="rId13"/>
                    <a:stretch>
                      <a:fillRect/>
                    </a:stretch>
                  </pic:blipFill>
                  <pic:spPr>
                    <a:xfrm>
                      <a:off x="0" y="0"/>
                      <a:ext cx="2880360" cy="1845230"/>
                    </a:xfrm>
                    <a:prstGeom prst="rect"/>
                  </pic:spPr>
                </pic:pic>
              </a:graphicData>
            </a:graphic>
          </wp:inline>
        </w:drawing>
      </w:r>
    </w:p>
    <w:p>
      <w:pPr>
        <w:pStyle w:val="figurecaption"/>
        <w:keepLines/>
      </w:pPr>
      <w:r>
        <w:rPr>
          <w:b w:val="0"/>
        </w:rPr>
        <w:t>Reliability of the class-weighted model before and after isotonic recalibration (HGB, 2015 test, 10 bins). The uncalibrated ensemble is badly over-confident at moderate predicted risks, which is the source of its ECE of 0.2367.</w:t>
      </w:r>
    </w:p>
    <w:p>
      <w:pPr>
        <w:pStyle w:val="tablehead"/>
        <w:keepNext/>
        <w:keepLines/>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[3].</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[11].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while per-band ECE stays at most 0.0208 and 0.0246 (Fig. 2), so the age gap is not a calibration failure; net benefit at the recommended threshold stays positive in every band from 50–54 upward in 2021 (0.0692–0.1556).</w:t>
      </w:r>
    </w:p>
    <w:p>
      <w:pPr>
        <w:jc w:val="center"/>
      </w:pPr>
      <w:r>
        <w:drawing>
          <wp:inline xmlns:a="http://schemas.openxmlformats.org/drawingml/2006/main" xmlns:pic="http://schemas.openxmlformats.org/drawingml/2006/picture">
            <wp:extent cx="2880360" cy="1265613"/>
            <wp:docPr id="2" name="Picture 2"/>
            <wp:cNvGraphicFramePr>
              <a:graphicFrameLocks noChangeAspect="1"/>
            </wp:cNvGraphicFramePr>
            <a:graphic>
              <a:graphicData uri="http://schemas.openxmlformats.org/drawingml/2006/picture">
                <pic:pic>
                  <pic:nvPicPr>
                    <pic:cNvPr id="0" name="age_band_diagnostics.png"/>
                    <pic:cNvPicPr/>
                  </pic:nvPicPr>
                  <pic:blipFill>
                    <a:blip r:embed="rId14"/>
                    <a:stretch>
                      <a:fillRect/>
                    </a:stretch>
                  </pic:blipFill>
                  <pic:spPr>
                    <a:xfrm>
                      <a:off x="0" y="0"/>
                      <a:ext cx="2880360" cy="1265613"/>
                    </a:xfrm>
                    <a:prstGeom prst="rect"/>
                  </pic:spPr>
                </pic:pic>
              </a:graphicData>
            </a:graphic>
          </wp:inline>
        </w:drawing>
      </w:r>
    </w:p>
    <w:p>
      <w:pPr>
        <w:pStyle w:val="figurecaption"/>
        <w:keepLines/>
      </w:pPr>
      <w:r>
        <w:rPr>
          <w:b w:val="0"/>
        </w:rPr>
        <w:t>Per-age-band diagnostics over the seven support-retained bands, at the recommended threshold: (a) ROC-AUC, (b) expected calibration error, (c) decision-curve net benefit at threshold probability 0.10. Discrimination falls with age while calibration stays flat, so the age TPR gap is a score-geometry effect rather than a calibration failure. The six lower-support bands are reported in the released logs.</w:t>
      </w:r>
    </w:p>
    <w:p>
      <w:pPr>
        <w:pStyle w:val="tablehead"/>
        <w:keepNext/>
        <w:keepLines/>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(Fig. 3): by 2021 the income policy's own gap has grown to 0.8647 and the education policy's to 0.7128, and the age policy, which should equalize age, produces a TPR gap of 0.9087 in sample and 0.8937–0.8992 out of time—worse than the global threshold.</w:t>
      </w:r>
    </w:p>
    <w:p>
      <w:pPr>
        <w:jc w:val="center"/>
      </w:pPr>
      <w:r>
        <w:drawing>
          <wp:inline xmlns:a="http://schemas.openxmlformats.org/drawingml/2006/main" xmlns:pic="http://schemas.openxmlformats.org/drawingml/2006/picture">
            <wp:extent cx="2880360" cy="1755219"/>
            <wp:docPr id="3" name="Picture 3"/>
            <wp:cNvGraphicFramePr>
              <a:graphicFrameLocks noChangeAspect="1"/>
            </wp:cNvGraphicFramePr>
            <a:graphic>
              <a:graphicData uri="http://schemas.openxmlformats.org/drawingml/2006/picture">
                <pic:pic>
                  <pic:nvPicPr>
                    <pic:cNvPr id="0" name="threshold_transfer_col.png"/>
                    <pic:cNvPicPr/>
                  </pic:nvPicPr>
                  <pic:blipFill>
                    <a:blip r:embed="rId15"/>
                    <a:stretch>
                      <a:fillRect/>
                    </a:stretch>
                  </pic:blipFill>
                  <pic:spPr>
                    <a:xfrm>
                      <a:off x="0" y="0"/>
                      <a:ext cx="2880360" cy="1755219"/>
                    </a:xfrm>
                    <a:prstGeom prst="rect"/>
                  </pic:spPr>
                </pic:pic>
              </a:graphicData>
            </a:graphic>
          </wp:inline>
        </w:drawing>
      </w:r>
    </w:p>
    <w:p>
      <w:pPr>
        <w:pStyle w:val="figurecaption"/>
        <w:keepLines/>
      </w:pPr>
      <w:r>
        <w:rPr>
          <w:b w:val="0"/>
        </w:rPr>
        <w:t>Transfer of the attribute-specific thresholds. Each bar pair is the TPR gap of the policy's own target attribute, fitted in sample on 2015 and applied unchanged to 2021. The income and education policies equalize their attribute in sample and lose that property out of time; the age policy never held.</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keepLines/>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4)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the known limitations of attribution methods,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tell a different story: a one-point change in general health flips 67.5% of them, a ±5 change in BMI flips 88.2%, and a one-point change in age flips 48.0%, whereas changes in blood pressure or cholesterol flip none. SHAP magnitude is therefore not decision leverage.</w:t>
      </w:r>
    </w:p>
    <w:p>
      <w:pPr>
        <w:jc w:val="center"/>
      </w:pPr>
      <w:r>
        <w:drawing>
          <wp:inline xmlns:a="http://schemas.openxmlformats.org/drawingml/2006/main" xmlns:pic="http://schemas.openxmlformats.org/drawingml/2006/picture">
            <wp:extent cx="2880360" cy="2115264"/>
            <wp:docPr id="4" name="Picture 4"/>
            <wp:cNvGraphicFramePr>
              <a:graphicFrameLocks noChangeAspect="1"/>
            </wp:cNvGraphicFramePr>
            <a:graphic>
              <a:graphicData uri="http://schemas.openxmlformats.org/drawingml/2006/picture">
                <pic:pic>
                  <pic:nvPicPr>
                    <pic:cNvPr id="0" name="shap_top_features_col.png"/>
                    <pic:cNvPicPr/>
                  </pic:nvPicPr>
                  <pic:blipFill>
                    <a:blip r:embed="rId16"/>
                    <a:stretch>
                      <a:fillRect/>
                    </a:stretch>
                  </pic:blipFill>
                  <pic:spPr>
                    <a:xfrm>
                      <a:off x="0" y="0"/>
                      <a:ext cx="2880360" cy="2115264"/>
                    </a:xfrm>
                    <a:prstGeom prst="rect"/>
                  </pic:spPr>
                </pic:pic>
              </a:graphicData>
            </a:graphic>
          </wp:inline>
        </w:drawing>
      </w:r>
    </w:p>
    <w:p>
      <w:pPr>
        <w:pStyle w:val="figurecaption"/>
        <w:keepLines/>
      </w:pPr>
      <w:r>
        <w:rPr>
          <w:b w:val="0"/>
        </w:rPr>
        <w:t>Mean |SHAP| for all 21 features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[4].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(Fig. 5) gives 0.068 against 0.044 for treat-all at a threshold of 0.10 and 0.009 against -0.076 at 0.20, with treat-all actively harmful beyond 0.10; the model dominates treat-all and treat-none across the clinically relevant range, supporting the operating points of Table 4.</w:t>
      </w:r>
    </w:p>
    <w:p>
      <w:pPr>
        <w:jc w:val="center"/>
      </w:pPr>
      <w:r>
        <w:drawing>
          <wp:inline xmlns:a="http://schemas.openxmlformats.org/drawingml/2006/main" xmlns:pic="http://schemas.openxmlformats.org/drawingml/2006/picture">
            <wp:extent cx="2880360" cy="1935242"/>
            <wp:docPr id="5" name="Picture 5"/>
            <wp:cNvGraphicFramePr>
              <a:graphicFrameLocks noChangeAspect="1"/>
            </wp:cNvGraphicFramePr>
            <a:graphic>
              <a:graphicData uri="http://schemas.openxmlformats.org/drawingml/2006/picture">
                <pic:pic>
                  <pic:nvPicPr>
                    <pic:cNvPr id="0" name="decision_curve_col.png"/>
                    <pic:cNvPicPr/>
                  </pic:nvPicPr>
                  <pic:blipFill>
                    <a:blip r:embed="rId17"/>
                    <a:stretch>
                      <a:fillRect/>
                    </a:stretch>
                  </pic:blipFill>
                  <pic:spPr>
                    <a:xfrm>
                      <a:off x="0" y="0"/>
                      <a:ext cx="2880360" cy="1935242"/>
                    </a:xfrm>
                    <a:prstGeom prst="rect"/>
                  </pic:spPr>
                </pic:pic>
              </a:graphicData>
            </a:graphic>
          </wp:inline>
        </w:drawing>
      </w:r>
    </w:p>
    <w:p>
      <w:pPr>
        <w:pStyle w:val="figurecaption"/>
        <w:keepLines/>
      </w:pPr>
      <w:r>
        <w:rPr>
          <w:b w:val="0"/>
        </w:rPr>
        <w:t>Decision-curve net benefit against threshold probability (HGB, 2015 test). The model dominates treat-all and treat-none across the clinically relevant range, and treat-all becomes actively harmful beyond a threshold probability of 0.10, which supports the sensitivity-oriented operating points of Table 4.</w:t>
      </w:r>
    </w:p>
    <w:p>
      <w:pPr>
        <w:pStyle w:val="Heading1"/>
      </w:pPr>
      <w:r>
        <w:rPr>
          <w:b w:val="0"/>
        </w:rPr>
        <w:t>Discussion</w:t>
      </w:r>
    </w:p>
    <w:p>
      <w:pPr>
        <w:pStyle w:val="BodyText"/>
      </w:pPr>
      <w:r>
        <w:rPr>
          <w:b w:val="0"/>
        </w:rPr>
        <w:t>Our discrimination (AUC 0.8288, AUPRC 0.4229) exceeds earlier BRFSS studies reporting 0.72–0.80 and approaches NHANES dysglycemia screening at 0.820, but is markedly more conservative than BRFSS pipelines reporting AUC near 0.99 with stacked ensembles and resampling-based balancing [1]-[3]: our audit shows duplicate profiles and fold construction move AUC by at most 0.010 on this same 253,680-row dataset, so we regard those figures as unlikely to be reproducible, and the 0.794 to 0.717 drop reported for externally validated models is not reproduced by our in-domain transfer (0.8338 to 0.8198). A copula filter reports 0.823 with 10 features against our 0.8248 for SHAP at k=10, though differing years and splits preclude a decisive win; multi-task frameworks that pair leakage control with calibration reach comparable macro-AUROC on similar survey data [12], which this single-task audit complements by isolating the pitfalls. Our finding that class weighting dominates miscalibration is consistent with the wider literature, in which isotonic and Platt can themselves degrade proper scoring for strong tabular learners [13];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with an unweighted model and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[14],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[16]. Our release carries none of those variables, so that route requires the raw BRFSS XPT files. Future work: design-weighted inference, race-stratified reliability, a fairness mitigation validated out of time,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through the UCI repository (https://doi.org/10.24432/C53919). The analysis code, run manifests, logged results, and a SHA-256 hash manifest of every artifact are released at https://github.com/Aldrin7/brfss-diabetes-screening-iccica2027. This study analyses a publicly available, de-identified survey dataset under CC0; no identifiable human subject data were accessed, so no ethics approval was required.</w:t>
      </w:r>
    </w:p>
    <w:p>
      <w:pPr>
        <w:pStyle w:val="references"/>
      </w:pPr>
      <w:r>
        <w:rPr>
          <w:b w:val="0"/>
        </w:rPr>
        <w:t>Z. Xie et al., “Building risk prediction models for type 2 diabetes using machine learning techniques,” Prev. Chronic Dis., vol. 16, p. e130, 2019.</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CDC Diabetes Health Indicators [Dataset]. (2017). UCI ML Repository. https://doi.org/10.24432/C53919 (accessed 17 Oct. 2026).</w:t>
      </w:r>
    </w:p>
    <w:p>
      <w:pPr>
        <w:pStyle w:val="references"/>
      </w:pPr>
      <w:r>
        <w:rPr>
          <w:b w:val="0"/>
        </w:rPr>
        <w:t>T. Chen and C. Guestrin, “XGBoost: a scalable tree boosting system,” in Proc. ACM SIGKDD, pp. 785–794, 2016.</w:t>
      </w:r>
    </w:p>
    <w:p>
      <w:pPr>
        <w:pStyle w:val="references"/>
      </w:pPr>
      <w:r>
        <w:rPr>
          <w:b w:val="0"/>
        </w:rPr>
        <w:t>M. Hardt, E. Price, and N. Srebro, “Equality of opportunity in supervised learning,” in Adv. Neural Inf. Process. Syst., vol. 29, pp. 3315–3323, 2016.</w:t>
      </w:r>
    </w:p>
    <w:p>
      <w:pPr>
        <w:pStyle w:val="references"/>
      </w:pPr>
      <w:r>
        <w:rPr>
          <w:b w:val="0"/>
        </w:rPr>
        <w:t>S. M. Lundberg and S.-I. Lee, “A unified approach to interpreting model predictions,” in Adv. Neural Inf. Process. Syst., vol. 30, pp. 4768–4777, 2017.</w:t>
      </w:r>
    </w:p>
    <w:p>
      <w:pPr>
        <w:pStyle w:val="references"/>
      </w:pPr>
      <w:r>
        <w:rPr>
          <w:b w:val="0"/>
        </w:rPr>
        <w:t>O. L\'etoff\'e et al., “Towards rigorous explainability by feature attribution,” arXiv:2604.15898, 2026.</w:t>
      </w:r>
    </w:p>
    <w:p>
      <w:pPr>
        <w:pStyle w:val="references"/>
      </w:pPr>
      <w:r>
        <w:rPr>
          <w:b w:val="0"/>
        </w:rPr>
        <w:t>S. Roy et al., “KAISEN: Reproducible subgroup fairness auditing for clinical risk models,” arXiv:2607.28608, 2026.</w:t>
      </w:r>
    </w:p>
    <w:p>
      <w:pPr>
        <w:pStyle w:val="references"/>
      </w:pPr>
      <w:r>
        <w:rPr>
          <w:b w:val="0"/>
        </w:rPr>
        <w:t>N. Mehrabi et al., “A survey on bias and fairness in machine learning,” ACM Comput. Surv., vol. 54, no. 6, art. 115, 2021.</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CDC, “National weighting of data from the Behavioral Risk Factor Surveillance System (BRFSS),” 2016. https://stacks.cdc.gov/view/cdc/43284.</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