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Anonymous Submission</w:t>
      </w:r>
    </w:p>
    <w:p>
      <w:pPr>
        <w:pStyle w:val="Author"/>
      </w:pPr>
      <w:r>
        <w:rPr>
          <w:b w:val="0"/>
        </w:rPr>
        <w:t>Author details withheld for double-blind review</w:t>
      </w:r>
    </w:p>
    <w:p>
      <w:pPr>
        <w:sectPr>
          <w:type w:val="continuous"/>
          <w:pgSz w:w="595.30pt" w:h="841.90pt" w:code="9"/>
          <w:pgMar w:top="54pt" w:right="1080" w:bottom="72pt" w:left="1080" w:header="36pt" w:footer="36pt" w:gutter="0pt"/>
          <w:cols w:space="288" w:num="1" w:equalWidth="1"/>
          <w:docGrid w:linePitch="360"/>
        </w:sectPr>
      </w:pP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predicted and observed positives in the calibration split. That correction assumes mildly and uniformly over-confident base scores;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 Figure 1 shows why: the weighted ensemble is calibrated only in the low-risk bins, and recalibration moves the whole curve onto the diagonal.</w:t>
      </w:r>
    </w:p>
    <w:p>
      <w:pPr>
        <w:jc w:val="center"/>
      </w:pPr>
      <w:r>
        <w:drawing>
          <wp:inline xmlns:a="http://schemas.openxmlformats.org/drawingml/2006/main" xmlns:pic="http://schemas.openxmlformats.org/drawingml/2006/picture">
            <wp:extent cx="2880360" cy="1845230"/>
            <wp:docPr id="1" name="Picture 1"/>
            <wp:cNvGraphicFramePr>
              <a:graphicFrameLocks noChangeAspect="1"/>
            </wp:cNvGraphicFramePr>
            <a:graphic>
              <a:graphicData uri="http://schemas.openxmlformats.org/drawingml/2006/picture">
                <pic:pic>
                  <pic:nvPicPr>
                    <pic:cNvPr id="0" name="calibration_reliability_col.png"/>
                    <pic:cNvPicPr/>
                  </pic:nvPicPr>
                  <pic:blipFill>
                    <a:blip r:embed="rId13"/>
                    <a:stretch>
                      <a:fillRect/>
                    </a:stretch>
                  </pic:blipFill>
                  <pic:spPr>
                    <a:xfrm>
                      <a:off x="0" y="0"/>
                      <a:ext cx="2880360" cy="1845230"/>
                    </a:xfrm>
                    <a:prstGeom prst="rect"/>
                  </pic:spPr>
                </pic:pic>
              </a:graphicData>
            </a:graphic>
          </wp:inline>
        </w:drawing>
      </w:r>
    </w:p>
    <w:p>
      <w:pPr>
        <w:pStyle w:val="figurecaption"/>
        <w:keepLines/>
      </w:pPr>
      <w:r>
        <w:rPr>
          <w:b w:val="0"/>
        </w:rPr>
        <w:t>Reliability of the class-weighted model before and after isotonic recalibration (HGB, 2015 test, 10 bins). The uncalibrated ensemble is badly over-confident at moderate predicted risks, which is the source of its ECE of 0.2367.</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2),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2" name="Picture 2"/>
            <wp:cNvGraphicFramePr>
              <a:graphicFrameLocks noChangeAspect="1"/>
            </wp:cNvGraphicFramePr>
            <a:graphic>
              <a:graphicData uri="http://schemas.openxmlformats.org/drawingml/2006/picture">
                <pic:pic>
                  <pic:nvPicPr>
                    <pic:cNvPr id="0" name="age_band_diagnostics.png"/>
                    <pic:cNvPicPr/>
                  </pic:nvPicPr>
                  <pic:blipFill>
                    <a:blip r:embed="rId14"/>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(Fig. 3): by 2021 the income policy's own gap has grown to 0.8647 and the education policy's to 0.7128, and the age policy, which should equalize age, produces a TPR gap of 0.9087 in sample and 0.8937–0.8992 out of time—worse than the global threshold.</w:t>
      </w:r>
    </w:p>
    <w:p>
      <w:pPr>
        <w:jc w:val="center"/>
      </w:pPr>
      <w:r>
        <w:drawing>
          <wp:inline xmlns:a="http://schemas.openxmlformats.org/drawingml/2006/main" xmlns:pic="http://schemas.openxmlformats.org/drawingml/2006/picture">
            <wp:extent cx="2880360" cy="1755219"/>
            <wp:docPr id="3" name="Picture 3"/>
            <wp:cNvGraphicFramePr>
              <a:graphicFrameLocks noChangeAspect="1"/>
            </wp:cNvGraphicFramePr>
            <a:graphic>
              <a:graphicData uri="http://schemas.openxmlformats.org/drawingml/2006/picture">
                <pic:pic>
                  <pic:nvPicPr>
                    <pic:cNvPr id="0" name="threshold_transfer_col.png"/>
                    <pic:cNvPicPr/>
                  </pic:nvPicPr>
                  <pic:blipFill>
                    <a:blip r:embed="rId15"/>
                    <a:stretch>
                      <a:fillRect/>
                    </a:stretch>
                  </pic:blipFill>
                  <pic:spPr>
                    <a:xfrm>
                      <a:off x="0" y="0"/>
                      <a:ext cx="2880360" cy="1755219"/>
                    </a:xfrm>
                    <a:prstGeom prst="rect"/>
                  </pic:spPr>
                </pic:pic>
              </a:graphicData>
            </a:graphic>
          </wp:inline>
        </w:drawing>
      </w:r>
    </w:p>
    <w:p>
      <w:pPr>
        <w:pStyle w:val="figurecaption"/>
        <w:keepLines/>
      </w:pPr>
      <w:r>
        <w:rPr>
          <w:b w:val="0"/>
        </w:rPr>
        <w:t>Transfer of the attribute-specific thresholds. Each bar pair is the TPR gap of the policy's own target attribute, fitted in sample on 2015 and applied unchanged to 2021. The income and education policies equalize their attribute in sample and lose that property out of time; the age policy never held.</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4)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tell a different story: a one-point change in general health flips 67.5% of them, a ±5 change in BMI flips 88.2%, and a one-point change in age flips 48.0%, whereas changes in blood pressure or cholesterol flip none. SHAP magnitude is therefore not decision leverage.</w:t>
      </w:r>
    </w:p>
    <w:p>
      <w:pPr>
        <w:jc w:val="center"/>
      </w:pPr>
      <w:r>
        <w:drawing>
          <wp:inline xmlns:a="http://schemas.openxmlformats.org/drawingml/2006/main" xmlns:pic="http://schemas.openxmlformats.org/drawingml/2006/picture">
            <wp:extent cx="2880360" cy="2115264"/>
            <wp:docPr id="4" name="Picture 4"/>
            <wp:cNvGraphicFramePr>
              <a:graphicFrameLocks noChangeAspect="1"/>
            </wp:cNvGraphicFramePr>
            <a:graphic>
              <a:graphicData uri="http://schemas.openxmlformats.org/drawingml/2006/picture">
                <pic:pic>
                  <pic:nvPicPr>
                    <pic:cNvPr id="0" name="shap_top_features_col.png"/>
                    <pic:cNvPicPr/>
                  </pic:nvPicPr>
                  <pic:blipFill>
                    <a:blip r:embed="rId16"/>
                    <a:stretch>
                      <a:fillRect/>
                    </a:stretch>
                  </pic:blipFill>
                  <pic:spPr>
                    <a:xfrm>
                      <a:off x="0" y="0"/>
                      <a:ext cx="2880360" cy="2115264"/>
                    </a:xfrm>
                    <a:prstGeom prst="rect"/>
                  </pic:spPr>
                </pic:pic>
              </a:graphicData>
            </a:graphic>
          </wp:inline>
        </w:drawing>
      </w:r>
    </w:p>
    <w:p>
      <w:pPr>
        <w:pStyle w:val="figurecaption"/>
        <w:keepLines/>
      </w:pPr>
      <w:r>
        <w:rPr>
          <w:b w:val="0"/>
        </w:rPr>
        <w:t>Mean |SHAP| for all 21 features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5)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5" name="Picture 5"/>
            <wp:cNvGraphicFramePr>
              <a:graphicFrameLocks noChangeAspect="1"/>
            </wp:cNvGraphicFramePr>
            <a:graphic>
              <a:graphicData uri="http://schemas.openxmlformats.org/drawingml/2006/picture">
                <pic:pic>
                  <pic:nvPicPr>
                    <pic:cNvPr id="0" name="decision_curve_col.png"/>
                    <pic:cNvPicPr/>
                  </pic:nvPicPr>
                  <pic:blipFill>
                    <a:blip r:embed="rId17"/>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with an unweighted model and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withheld during review and will be released on acceptance.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