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Anonymous Submission</w:t>
      </w:r>
    </w:p>
    <w:p>
      <w:pPr>
        <w:pStyle w:val="Author"/>
      </w:pPr>
      <w:r>
        <w:rPr>
          <w:b w:val="0"/>
        </w:rPr>
        <w:t>Author details withheld for double-blind review</w:t>
      </w: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[2], and has extended to NHANES dysglycemia screening with decision-curve analysis [6], to external validation of NHANES-trained models on BRFSS with a 9.7% relative AUC drop [7], and to feature selection on BRFSS at AUC 0.823 [8]. Widely used claims about survey-based diabetes models are not reproducible under a leakage-audited protocol: on this same 253,680-row dataset, published pipelines report AUC near 0.99 [7],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[1],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[12]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[4], and selection-rate gap, each with per-group supports, 300-resample bootstrap confidence intervals, design-effect sensitivity, and intersectional cells. Model comparison uses a paired bootstrap of the test-set AUC difference (2,000 resamples); utility uses decision-curve net benefit. TreeSHAP [3]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[13].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[17].</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pPr>
      <w:r>
        <w:rPr>
          <w:b w:val="0"/>
        </w:rPr>
        <w:t>Test performance (mean ± std over 5 seeds). Accuracy spans 0.7308–0.7458.</w:t>
      </w:r>
    </w:p>
    <w:tbl>
      <w:tblPr>
        <w:tblW w:type="auto" w:w="0"/>
        <w:jc w:val="center"/>
        <w:tblLayout w:type="fixed"/>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Pr>
      <w:tblGrid>
        <w:gridCol w:w="2088"/>
        <w:gridCol w:w="1944"/>
        <w:gridCol w:w="1944"/>
        <w:gridCol w:w="1944"/>
      </w:tblGrid>
      <w:tr>
        <w:trPr>
          <w:tblHeader/>
          <w:cantSplit/>
        </w:trPr>
        <w:tc>
          <w:tcPr>
            <w:tcW w:type="dxa" w:w="2088"/>
            <w:tcBorders>
              <w:bottom w:val="single" w:sz="6" w:space="0" w:color="000000"/>
            </w:tcBorders>
          </w:tcPr>
          <w:p>
            <w:pPr>
              <w:pStyle w:val="tablecolhead"/>
            </w:pPr>
            <w:r>
              <w:rPr>
                <w:b w:val="0"/>
              </w:rPr>
              <w:t>Model</w:t>
            </w:r>
          </w:p>
        </w:tc>
        <w:tc>
          <w:tcPr>
            <w:tcW w:type="dxa" w:w="1944"/>
            <w:tcBorders>
              <w:bottom w:val="single" w:sz="6" w:space="0" w:color="000000"/>
            </w:tcBorders>
          </w:tcPr>
          <w:p>
            <w:pPr>
              <w:pStyle w:val="tablecolhead"/>
            </w:pPr>
            <w:r>
              <w:rPr>
                <w:b w:val="0"/>
              </w:rPr>
              <w:t>F1</w:t>
            </w:r>
          </w:p>
        </w:tc>
        <w:tc>
          <w:tcPr>
            <w:tcW w:type="dxa" w:w="1944"/>
            <w:tcBorders>
              <w:bottom w:val="single" w:sz="6" w:space="0" w:color="000000"/>
            </w:tcBorders>
          </w:tcPr>
          <w:p>
            <w:pPr>
              <w:pStyle w:val="tablecolhead"/>
            </w:pPr>
            <w:r>
              <w:rPr>
                <w:b w:val="0"/>
              </w:rPr>
              <w:t>ROC-AUC</w:t>
            </w:r>
          </w:p>
        </w:tc>
        <w:tc>
          <w:tcPr>
            <w:tcW w:type="dxa" w:w="1944"/>
            <w:tcBorders>
              <w:bottom w:val="single" w:sz="6" w:space="0" w:color="000000"/>
            </w:tcBorders>
          </w:tcPr>
          <w:p>
            <w:pPr>
              <w:pStyle w:val="tablecolhead"/>
            </w:pPr>
            <w:r>
              <w:rPr>
                <w:b w:val="0"/>
              </w:rPr>
              <w:t>AUPRC</w:t>
            </w:r>
          </w:p>
        </w:tc>
      </w:tr>
      <w:tr>
        <w:trPr>
          <w:cantSplit/>
        </w:trPr>
        <w:tc>
          <w:tcPr>
            <w:tcW w:type="dxa" w:w="2088"/>
          </w:tcPr>
          <w:p>
            <w:pPr>
              <w:pStyle w:val="tablecopy"/>
            </w:pPr>
            <w:r>
              <w:rPr>
                <w:b w:val="0"/>
              </w:rPr>
              <w:t>Logistic Reg.</w:t>
            </w:r>
          </w:p>
        </w:tc>
        <w:tc>
          <w:tcPr>
            <w:tcW w:type="dxa" w:w="1944"/>
          </w:tcPr>
          <w:p>
            <w:pPr>
              <w:pStyle w:val="tablecopy"/>
            </w:pPr>
            <w:r>
              <w:rPr>
                <w:b w:val="0"/>
              </w:rPr>
              <w:t>0.4418 ± 0.0015</w:t>
            </w:r>
          </w:p>
        </w:tc>
        <w:tc>
          <w:tcPr>
            <w:tcW w:type="dxa" w:w="1944"/>
          </w:tcPr>
          <w:p>
            <w:pPr>
              <w:pStyle w:val="tablecopy"/>
            </w:pPr>
            <w:r>
              <w:rPr>
                <w:b w:val="0"/>
              </w:rPr>
              <w:t>0.8212 ± 0.0014</w:t>
            </w:r>
          </w:p>
        </w:tc>
        <w:tc>
          <w:tcPr>
            <w:tcW w:type="dxa" w:w="1944"/>
          </w:tcPr>
          <w:p>
            <w:pPr>
              <w:pStyle w:val="tablecopy"/>
            </w:pPr>
            <w:r>
              <w:rPr>
                <w:b w:val="0"/>
              </w:rPr>
              <w:t>0.3926</w:t>
            </w:r>
          </w:p>
        </w:tc>
      </w:tr>
      <w:tr>
        <w:trPr>
          <w:cantSplit/>
        </w:trPr>
        <w:tc>
          <w:tcPr>
            <w:tcW w:type="dxa" w:w="2088"/>
          </w:tcPr>
          <w:p>
            <w:pPr>
              <w:pStyle w:val="tablecopy"/>
            </w:pPr>
            <w:r>
              <w:rPr>
                <w:b w:val="0"/>
              </w:rPr>
              <w:t>Random Forest</w:t>
            </w:r>
          </w:p>
        </w:tc>
        <w:tc>
          <w:tcPr>
            <w:tcW w:type="dxa" w:w="1944"/>
          </w:tcPr>
          <w:p>
            <w:pPr>
              <w:pStyle w:val="tablecopy"/>
            </w:pPr>
            <w:r>
              <w:rPr>
                <w:b w:val="0"/>
              </w:rPr>
              <w:t>0.4515 ± 0.0007</w:t>
            </w:r>
          </w:p>
        </w:tc>
        <w:tc>
          <w:tcPr>
            <w:tcW w:type="dxa" w:w="1944"/>
          </w:tcPr>
          <w:p>
            <w:pPr>
              <w:pStyle w:val="tablecopy"/>
            </w:pPr>
            <w:r>
              <w:rPr>
                <w:b w:val="0"/>
              </w:rPr>
              <w:t>0.8261 ± 0.0015</w:t>
            </w:r>
          </w:p>
        </w:tc>
        <w:tc>
          <w:tcPr>
            <w:tcW w:type="dxa" w:w="1944"/>
          </w:tcPr>
          <w:p>
            <w:pPr>
              <w:pStyle w:val="tablecopy"/>
            </w:pPr>
            <w:r>
              <w:rPr>
                <w:b w:val="0"/>
              </w:rPr>
              <w:t>0.4153</w:t>
            </w:r>
          </w:p>
        </w:tc>
      </w:tr>
      <w:tr>
        <w:trPr>
          <w:cantSplit/>
        </w:trPr>
        <w:tc>
          <w:tcPr>
            <w:tcW w:type="dxa" w:w="2088"/>
          </w:tcPr>
          <w:p>
            <w:pPr>
              <w:pStyle w:val="tablecopy"/>
            </w:pPr>
            <w:r>
              <w:rPr>
                <w:b w:val="0"/>
              </w:rPr>
              <w:t>Hist. GB</w:t>
            </w:r>
          </w:p>
        </w:tc>
        <w:tc>
          <w:tcPr>
            <w:tcW w:type="dxa" w:w="1944"/>
          </w:tcPr>
          <w:p>
            <w:pPr>
              <w:pStyle w:val="tablecopy"/>
            </w:pPr>
            <w:r>
              <w:rPr>
                <w:b w:val="0"/>
              </w:rPr>
              <w:t>0.4426 ± 0.0023</w:t>
            </w:r>
          </w:p>
        </w:tc>
        <w:tc>
          <w:tcPr>
            <w:tcW w:type="dxa" w:w="1944"/>
          </w:tcPr>
          <w:p>
            <w:pPr>
              <w:pStyle w:val="tablecopy"/>
            </w:pPr>
            <w:r>
              <w:rPr>
                <w:b w:val="0"/>
              </w:rPr>
              <w:t>0.8288 ± 0.0014</w:t>
            </w:r>
          </w:p>
        </w:tc>
        <w:tc>
          <w:tcPr>
            <w:tcW w:type="dxa" w:w="1944"/>
          </w:tcPr>
          <w:p>
            <w:pPr>
              <w:pStyle w:val="tablecopy"/>
            </w:pPr>
            <w:r>
              <w:rPr>
                <w:b w:val="0"/>
              </w:rPr>
              <w:t>0.4229</w:t>
            </w:r>
          </w:p>
        </w:tc>
      </w:tr>
      <w:tr>
        <w:trPr>
          <w:cantSplit/>
        </w:trPr>
        <w:tc>
          <w:tcPr>
            <w:tcW w:type="dxa" w:w="2088"/>
          </w:tcPr>
          <w:p>
            <w:pPr>
              <w:pStyle w:val="tablecopy"/>
            </w:pPr>
            <w:r>
              <w:rPr>
                <w:b w:val="0"/>
              </w:rPr>
              <w:t>XGBoost (tuned)</w:t>
            </w:r>
          </w:p>
        </w:tc>
        <w:tc>
          <w:tcPr>
            <w:tcW w:type="dxa" w:w="1944"/>
          </w:tcPr>
          <w:p>
            <w:pPr>
              <w:pStyle w:val="tablecopy"/>
            </w:pPr>
            <w:r>
              <w:rPr>
                <w:b w:val="0"/>
              </w:rPr>
              <w:t>—</w:t>
            </w:r>
          </w:p>
        </w:tc>
        <w:tc>
          <w:tcPr>
            <w:tcW w:type="dxa" w:w="1944"/>
          </w:tcPr>
          <w:p>
            <w:pPr>
              <w:pStyle w:val="tablecopy"/>
            </w:pPr>
            <w:r>
              <w:rPr>
                <w:b w:val="0"/>
              </w:rPr>
              <w:t>0.8274</w:t>
            </w:r>
          </w:p>
        </w:tc>
        <w:tc>
          <w:tcPr>
            <w:tcW w:type="dxa" w:w="1944"/>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the number of predicted positives with the number of observed positives in the calibration split. That correction assumes the base scores are mildly and roughly uniformly over-confident;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w:t>
      </w:r>
    </w:p>
    <w:p>
      <w:pPr>
        <w:pStyle w:val="tablehead"/>
      </w:pPr>
      <w:r>
        <w:rPr>
          <w:b w:val="0"/>
        </w:rPr>
        <w:t>Calibration before and after post-hoc recalibration (HGB, 2015 test, n=50,736). Upper block: class-weighted base. Lower block: the unweighted base recommended for deployment.</w:t>
      </w:r>
    </w:p>
    <w:tbl>
      <w:tblPr>
        <w:tblW w:type="auto" w:w="0"/>
        <w:jc w:val="center"/>
        <w:tblLayout w:type="fixed"/>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Pr>
      <w:tblGrid>
        <w:gridCol w:w="2088"/>
        <w:gridCol w:w="1440"/>
        <w:gridCol w:w="1440"/>
        <w:gridCol w:w="1440"/>
        <w:gridCol w:w="1440"/>
      </w:tblGrid>
      <w:tr>
        <w:trPr>
          <w:tblHeader/>
          <w:cantSplit/>
        </w:trPr>
        <w:tc>
          <w:tcPr>
            <w:tcW w:type="dxa" w:w="2088"/>
            <w:tcBorders>
              <w:bottom w:val="single" w:sz="6" w:space="0" w:color="000000"/>
            </w:tcBorders>
          </w:tcPr>
          <w:p>
            <w:pPr>
              <w:pStyle w:val="tablecolhead"/>
            </w:pPr>
            <w:r>
              <w:rPr>
                <w:b w:val="0"/>
              </w:rPr>
              <w:t>Calibrator</w:t>
            </w:r>
          </w:p>
        </w:tc>
        <w:tc>
          <w:tcPr>
            <w:tcW w:type="dxa" w:w="1440"/>
            <w:tcBorders>
              <w:bottom w:val="single" w:sz="6" w:space="0" w:color="000000"/>
            </w:tcBorders>
          </w:tcPr>
          <w:p>
            <w:pPr>
              <w:pStyle w:val="tablecolhead"/>
            </w:pPr>
            <w:r>
              <w:rPr>
                <w:b w:val="0"/>
              </w:rPr>
              <w:t>Brier</w:t>
            </w:r>
          </w:p>
        </w:tc>
        <w:tc>
          <w:tcPr>
            <w:tcW w:type="dxa" w:w="1440"/>
            <w:tcBorders>
              <w:bottom w:val="single" w:sz="6" w:space="0" w:color="000000"/>
            </w:tcBorders>
          </w:tcPr>
          <w:p>
            <w:pPr>
              <w:pStyle w:val="tablecolhead"/>
            </w:pPr>
            <w:r>
              <w:rPr>
                <w:b w:val="0"/>
              </w:rPr>
              <w:t>ECE</w:t>
            </w:r>
          </w:p>
        </w:tc>
        <w:tc>
          <w:tcPr>
            <w:tcW w:type="dxa" w:w="1440"/>
            <w:tcBorders>
              <w:bottom w:val="single" w:sz="6" w:space="0" w:color="000000"/>
            </w:tcBorders>
          </w:tcPr>
          <w:p>
            <w:pPr>
              <w:pStyle w:val="tablecolhead"/>
            </w:pPr>
            <w:r>
              <w:rPr>
                <w:b w:val="0"/>
              </w:rPr>
              <w:t>MCE</w:t>
            </w:r>
          </w:p>
        </w:tc>
        <w:tc>
          <w:tcPr>
            <w:tcW w:type="dxa" w:w="1440"/>
            <w:tcBorders>
              <w:bottom w:val="single" w:sz="6" w:space="0" w:color="000000"/>
            </w:tcBorders>
          </w:tcPr>
          <w:p>
            <w:pPr>
              <w:pStyle w:val="tablecolhead"/>
            </w:pPr>
            <w:r>
              <w:rPr>
                <w:b w:val="0"/>
              </w:rPr>
              <w:t>Mean pred.</w:t>
            </w:r>
          </w:p>
        </w:tc>
      </w:tr>
      <w:tr>
        <w:trPr>
          <w:cantSplit/>
        </w:trPr>
        <w:tc>
          <w:tcPr>
            <w:tcW w:type="dxa" w:w="2088"/>
          </w:tcPr>
          <w:p>
            <w:pPr>
              <w:pStyle w:val="tablecopy"/>
            </w:pPr>
            <w:r>
              <w:rPr>
                <w:b w:val="0"/>
              </w:rPr>
              <w:t>Uncal. (weighted)</w:t>
            </w:r>
          </w:p>
        </w:tc>
        <w:tc>
          <w:tcPr>
            <w:tcW w:type="dxa" w:w="1440"/>
          </w:tcPr>
          <w:p>
            <w:pPr>
              <w:pStyle w:val="tablecopy"/>
            </w:pPr>
            <w:r>
              <w:rPr>
                <w:b w:val="0"/>
              </w:rPr>
              <w:t>0.1757</w:t>
            </w:r>
          </w:p>
        </w:tc>
        <w:tc>
          <w:tcPr>
            <w:tcW w:type="dxa" w:w="1440"/>
          </w:tcPr>
          <w:p>
            <w:pPr>
              <w:pStyle w:val="tablecopy"/>
            </w:pPr>
            <w:r>
              <w:rPr>
                <w:b w:val="0"/>
              </w:rPr>
              <w:t>0.2367</w:t>
            </w:r>
          </w:p>
        </w:tc>
        <w:tc>
          <w:tcPr>
            <w:tcW w:type="dxa" w:w="1440"/>
          </w:tcPr>
          <w:p>
            <w:pPr>
              <w:pStyle w:val="tablecopy"/>
            </w:pPr>
            <w:r>
              <w:rPr>
                <w:b w:val="0"/>
              </w:rPr>
              <w:t>0.4201</w:t>
            </w:r>
          </w:p>
        </w:tc>
        <w:tc>
          <w:tcPr>
            <w:tcW w:type="dxa" w:w="1440"/>
          </w:tcPr>
          <w:p>
            <w:pPr>
              <w:pStyle w:val="tablecopy"/>
            </w:pPr>
            <w:r>
              <w:rPr>
                <w:b w:val="0"/>
              </w:rPr>
              <w:t>0.376</w:t>
            </w:r>
          </w:p>
        </w:tc>
      </w:tr>
      <w:tr>
        <w:trPr>
          <w:cantSplit/>
        </w:trPr>
        <w:tc>
          <w:tcPr>
            <w:tcW w:type="dxa" w:w="2088"/>
          </w:tcPr>
          <w:p>
            <w:pPr>
              <w:pStyle w:val="tablecopy"/>
            </w:pPr>
            <w:r>
              <w:rPr>
                <w:b w:val="0"/>
              </w:rPr>
              <w:t>Isotonic</w:t>
            </w:r>
          </w:p>
        </w:tc>
        <w:tc>
          <w:tcPr>
            <w:tcW w:type="dxa" w:w="1440"/>
          </w:tcPr>
          <w:p>
            <w:pPr>
              <w:pStyle w:val="tablecopy"/>
            </w:pPr>
            <w:r>
              <w:rPr>
                <w:b w:val="0"/>
              </w:rPr>
              <w:t>0.0976</w:t>
            </w:r>
          </w:p>
        </w:tc>
        <w:tc>
          <w:tcPr>
            <w:tcW w:type="dxa" w:w="1440"/>
          </w:tcPr>
          <w:p>
            <w:pPr>
              <w:pStyle w:val="tablecopy"/>
            </w:pPr>
            <w:r>
              <w:rPr>
                <w:b w:val="0"/>
              </w:rPr>
              <w:t>0.0031</w:t>
            </w:r>
          </w:p>
        </w:tc>
        <w:tc>
          <w:tcPr>
            <w:tcW w:type="dxa" w:w="1440"/>
          </w:tcPr>
          <w:p>
            <w:pPr>
              <w:pStyle w:val="tablecopy"/>
            </w:pPr>
            <w:r>
              <w:rPr>
                <w:b w:val="0"/>
              </w:rPr>
              <w:t>0.2500</w:t>
            </w:r>
          </w:p>
        </w:tc>
        <w:tc>
          <w:tcPr>
            <w:tcW w:type="dxa" w:w="1440"/>
          </w:tcPr>
          <w:p>
            <w:pPr>
              <w:pStyle w:val="tablecopy"/>
            </w:pPr>
            <w:r>
              <w:rPr>
                <w:b w:val="0"/>
              </w:rPr>
              <w:t>0.140</w:t>
            </w:r>
          </w:p>
        </w:tc>
      </w:tr>
      <w:tr>
        <w:trPr>
          <w:cantSplit/>
        </w:trPr>
        <w:tc>
          <w:tcPr>
            <w:tcW w:type="dxa" w:w="2088"/>
          </w:tcPr>
          <w:p>
            <w:pPr>
              <w:pStyle w:val="tablecopy"/>
            </w:pPr>
            <w:r>
              <w:rPr>
                <w:b w:val="0"/>
              </w:rPr>
              <w:t>Platt (logistic)</w:t>
            </w:r>
          </w:p>
        </w:tc>
        <w:tc>
          <w:tcPr>
            <w:tcW w:type="dxa" w:w="1440"/>
          </w:tcPr>
          <w:p>
            <w:pPr>
              <w:pStyle w:val="tablecopy"/>
            </w:pPr>
            <w:r>
              <w:rPr>
                <w:b w:val="0"/>
              </w:rPr>
              <w:t>0.0977</w:t>
            </w:r>
          </w:p>
        </w:tc>
        <w:tc>
          <w:tcPr>
            <w:tcW w:type="dxa" w:w="1440"/>
          </w:tcPr>
          <w:p>
            <w:pPr>
              <w:pStyle w:val="tablecopy"/>
            </w:pPr>
            <w:r>
              <w:rPr>
                <w:b w:val="0"/>
              </w:rPr>
              <w:t>0.0083</w:t>
            </w:r>
          </w:p>
        </w:tc>
        <w:tc>
          <w:tcPr>
            <w:tcW w:type="dxa" w:w="1440"/>
          </w:tcPr>
          <w:p>
            <w:pPr>
              <w:pStyle w:val="tablecopy"/>
            </w:pPr>
            <w:r>
              <w:rPr>
                <w:b w:val="0"/>
              </w:rPr>
              <w:t>0.0559</w:t>
            </w:r>
          </w:p>
        </w:tc>
        <w:tc>
          <w:tcPr>
            <w:tcW w:type="dxa" w:w="1440"/>
          </w:tcPr>
          <w:p>
            <w:pPr>
              <w:pStyle w:val="tablecopy"/>
            </w:pPr>
            <w:r>
              <w:rPr>
                <w:b w:val="0"/>
              </w:rPr>
              <w:t>0.139</w:t>
            </w:r>
          </w:p>
        </w:tc>
      </w:tr>
      <w:tr>
        <w:trPr>
          <w:cantSplit/>
        </w:trPr>
        <w:tc>
          <w:tcPr>
            <w:tcW w:type="dxa" w:w="2088"/>
          </w:tcPr>
          <w:p>
            <w:pPr>
              <w:pStyle w:val="tablecopy"/>
            </w:pPr>
            <w:r>
              <w:rPr>
                <w:b w:val="0"/>
              </w:rPr>
              <w:t>Beta</w:t>
            </w:r>
          </w:p>
        </w:tc>
        <w:tc>
          <w:tcPr>
            <w:tcW w:type="dxa" w:w="1440"/>
          </w:tcPr>
          <w:p>
            <w:pPr>
              <w:pStyle w:val="tablecopy"/>
            </w:pPr>
            <w:r>
              <w:rPr>
                <w:b w:val="0"/>
              </w:rPr>
              <w:t>0.0974</w:t>
            </w:r>
          </w:p>
        </w:tc>
        <w:tc>
          <w:tcPr>
            <w:tcW w:type="dxa" w:w="1440"/>
          </w:tcPr>
          <w:p>
            <w:pPr>
              <w:pStyle w:val="tablecopy"/>
            </w:pPr>
            <w:r>
              <w:rPr>
                <w:b w:val="0"/>
              </w:rPr>
              <w:t>0.0026</w:t>
            </w:r>
          </w:p>
        </w:tc>
        <w:tc>
          <w:tcPr>
            <w:tcW w:type="dxa" w:w="1440"/>
          </w:tcPr>
          <w:p>
            <w:pPr>
              <w:pStyle w:val="tablecopy"/>
            </w:pPr>
            <w:r>
              <w:rPr>
                <w:b w:val="0"/>
              </w:rPr>
              <w:t>0.0508</w:t>
            </w:r>
          </w:p>
        </w:tc>
        <w:tc>
          <w:tcPr>
            <w:tcW w:type="dxa" w:w="1440"/>
          </w:tcPr>
          <w:p>
            <w:pPr>
              <w:pStyle w:val="tablecopy"/>
            </w:pPr>
            <w:r>
              <w:rPr>
                <w:b w:val="0"/>
              </w:rPr>
              <w:t>0.139</w:t>
            </w:r>
          </w:p>
        </w:tc>
      </w:tr>
      <w:tr>
        <w:trPr>
          <w:cantSplit/>
        </w:trPr>
        <w:tc>
          <w:tcPr>
            <w:tcW w:type="dxa" w:w="2088"/>
          </w:tcPr>
          <w:p>
            <w:pPr>
              <w:pStyle w:val="tablecopy"/>
            </w:pPr>
            <w:r>
              <w:rPr>
                <w:b w:val="0"/>
              </w:rPr>
              <w:t>Venn–Abers</w:t>
            </w:r>
          </w:p>
        </w:tc>
        <w:tc>
          <w:tcPr>
            <w:tcW w:type="dxa" w:w="1440"/>
          </w:tcPr>
          <w:p>
            <w:pPr>
              <w:pStyle w:val="tablecopy"/>
            </w:pPr>
            <w:r>
              <w:rPr>
                <w:b w:val="0"/>
              </w:rPr>
              <w:t>0.1266</w:t>
            </w:r>
          </w:p>
        </w:tc>
        <w:tc>
          <w:tcPr>
            <w:tcW w:type="dxa" w:w="1440"/>
          </w:tcPr>
          <w:p>
            <w:pPr>
              <w:pStyle w:val="tablecopy"/>
            </w:pPr>
            <w:r>
              <w:rPr>
                <w:b w:val="0"/>
              </w:rPr>
              <w:t>0.1534</w:t>
            </w:r>
          </w:p>
        </w:tc>
        <w:tc>
          <w:tcPr>
            <w:tcW w:type="dxa" w:w="1440"/>
          </w:tcPr>
          <w:p>
            <w:pPr>
              <w:pStyle w:val="tablecopy"/>
            </w:pPr>
            <w:r>
              <w:rPr>
                <w:b w:val="0"/>
              </w:rPr>
              <w:t>0.2420</w:t>
            </w:r>
          </w:p>
        </w:tc>
        <w:tc>
          <w:tcPr>
            <w:tcW w:type="dxa" w:w="1440"/>
          </w:tcPr>
          <w:p>
            <w:pPr>
              <w:pStyle w:val="tablecopy"/>
            </w:pPr>
            <w:r>
              <w:rPr>
                <w:b w:val="0"/>
              </w:rPr>
              <w:t>0.282</w:t>
            </w:r>
          </w:p>
        </w:tc>
      </w:tr>
      <w:tr>
        <w:trPr>
          <w:cantSplit/>
        </w:trPr>
        <w:tc>
          <w:tcPr>
            <w:tcW w:type="dxa" w:w="2088"/>
          </w:tcPr>
          <w:p>
            <w:pPr>
              <w:pStyle w:val="tablecopy"/>
            </w:pPr>
            <w:r>
              <w:rPr>
                <w:b w:val="0"/>
              </w:rPr>
              <w:t>Uncal. (unweighted)</w:t>
            </w:r>
          </w:p>
        </w:tc>
        <w:tc>
          <w:tcPr>
            <w:tcW w:type="dxa" w:w="1440"/>
          </w:tcPr>
          <w:p>
            <w:pPr>
              <w:pStyle w:val="tablecopy"/>
            </w:pPr>
            <w:r>
              <w:rPr>
                <w:b w:val="0"/>
              </w:rPr>
              <w:t>0.0976</w:t>
            </w:r>
          </w:p>
        </w:tc>
        <w:tc>
          <w:tcPr>
            <w:tcW w:type="dxa" w:w="1440"/>
          </w:tcPr>
          <w:p>
            <w:pPr>
              <w:pStyle w:val="tablecopy"/>
            </w:pPr>
            <w:r>
              <w:rPr>
                <w:b w:val="0"/>
              </w:rPr>
              <w:t>0.0038</w:t>
            </w:r>
          </w:p>
        </w:tc>
        <w:tc>
          <w:tcPr>
            <w:tcW w:type="dxa" w:w="1440"/>
          </w:tcPr>
          <w:p>
            <w:pPr>
              <w:pStyle w:val="tablecopy"/>
            </w:pPr>
            <w:r>
              <w:rPr>
                <w:b w:val="0"/>
              </w:rPr>
              <w:t>—</w:t>
            </w:r>
          </w:p>
        </w:tc>
        <w:tc>
          <w:tcPr>
            <w:tcW w:type="dxa" w:w="1440"/>
          </w:tcPr>
          <w:p>
            <w:pPr>
              <w:pStyle w:val="tablecopy"/>
            </w:pPr>
            <w:r>
              <w:rPr>
                <w:b w:val="0"/>
              </w:rPr>
              <w:t>0.139</w:t>
            </w:r>
          </w:p>
        </w:tc>
      </w:tr>
      <w:tr>
        <w:trPr>
          <w:cantSplit/>
        </w:trPr>
        <w:tc>
          <w:tcPr>
            <w:tcW w:type="dxa" w:w="2088"/>
          </w:tcPr>
          <w:p>
            <w:pPr>
              <w:pStyle w:val="tablecopy"/>
            </w:pPr>
            <w:r>
              <w:rPr>
                <w:b w:val="0"/>
              </w:rPr>
              <w:t>Isotonic</w:t>
            </w:r>
          </w:p>
        </w:tc>
        <w:tc>
          <w:tcPr>
            <w:tcW w:type="dxa" w:w="1440"/>
          </w:tcPr>
          <w:p>
            <w:pPr>
              <w:pStyle w:val="tablecopy"/>
            </w:pPr>
            <w:r>
              <w:rPr>
                <w:b w:val="0"/>
              </w:rPr>
              <w:t>—</w:t>
            </w:r>
          </w:p>
        </w:tc>
        <w:tc>
          <w:tcPr>
            <w:tcW w:type="dxa" w:w="1440"/>
          </w:tcPr>
          <w:p>
            <w:pPr>
              <w:pStyle w:val="tablecopy"/>
            </w:pPr>
            <w:r>
              <w:rPr>
                <w:b w:val="0"/>
              </w:rPr>
              <w:t>0.0034</w:t>
            </w:r>
          </w:p>
        </w:tc>
        <w:tc>
          <w:tcPr>
            <w:tcW w:type="dxa" w:w="1440"/>
          </w:tcPr>
          <w:p>
            <w:pPr>
              <w:pStyle w:val="tablecopy"/>
            </w:pPr>
            <w:r>
              <w:rPr>
                <w:b w:val="0"/>
              </w:rPr>
              <w:t>—</w:t>
            </w:r>
          </w:p>
        </w:tc>
        <w:tc>
          <w:tcPr>
            <w:tcW w:type="dxa" w:w="1440"/>
          </w:tcPr>
          <w:p>
            <w:pPr>
              <w:pStyle w:val="tablecopy"/>
            </w:pPr>
            <w:r>
              <w:rPr>
                <w:b w:val="0"/>
              </w:rPr>
              <w:t>—</w:t>
            </w:r>
          </w:p>
        </w:tc>
      </w:tr>
      <w:tr>
        <w:trPr>
          <w:cantSplit/>
        </w:trPr>
        <w:tc>
          <w:tcPr>
            <w:tcW w:type="dxa" w:w="2088"/>
          </w:tcPr>
          <w:p>
            <w:pPr>
              <w:pStyle w:val="tablecopy"/>
            </w:pPr>
            <w:r>
              <w:rPr>
                <w:b w:val="0"/>
              </w:rPr>
              <w:t>Beta</w:t>
            </w:r>
          </w:p>
        </w:tc>
        <w:tc>
          <w:tcPr>
            <w:tcW w:type="dxa" w:w="1440"/>
          </w:tcPr>
          <w:p>
            <w:pPr>
              <w:pStyle w:val="tablecopy"/>
            </w:pPr>
            <w:r>
              <w:rPr>
                <w:b w:val="0"/>
              </w:rPr>
              <w:t>—</w:t>
            </w:r>
          </w:p>
        </w:tc>
        <w:tc>
          <w:tcPr>
            <w:tcW w:type="dxa" w:w="1440"/>
          </w:tcPr>
          <w:p>
            <w:pPr>
              <w:pStyle w:val="tablecopy"/>
            </w:pPr>
            <w:r>
              <w:rPr>
                <w:b w:val="0"/>
              </w:rPr>
              <w:t>0.0042</w:t>
            </w:r>
          </w:p>
        </w:tc>
        <w:tc>
          <w:tcPr>
            <w:tcW w:type="dxa" w:w="1440"/>
          </w:tcPr>
          <w:p>
            <w:pPr>
              <w:pStyle w:val="tablecopy"/>
            </w:pPr>
            <w:r>
              <w:rPr>
                <w:b w:val="0"/>
              </w:rPr>
              <w:t>—</w:t>
            </w:r>
          </w:p>
        </w:tc>
        <w:tc>
          <w:tcPr>
            <w:tcW w:type="dxa" w:w="1440"/>
          </w:tcPr>
          <w:p>
            <w:pPr>
              <w:pStyle w:val="tablecopy"/>
            </w:pPr>
            <w:r>
              <w:rPr>
                <w:b w:val="0"/>
              </w:rPr>
              <w:t>—</w:t>
            </w:r>
          </w:p>
        </w:tc>
      </w:tr>
      <w:tr>
        <w:trPr>
          <w:cantSplit/>
        </w:trPr>
        <w:tc>
          <w:tcPr>
            <w:tcW w:type="dxa" w:w="2088"/>
          </w:tcPr>
          <w:p>
            <w:pPr>
              <w:pStyle w:val="tablecopy"/>
            </w:pPr>
            <w:r>
              <w:rPr>
                <w:b w:val="0"/>
              </w:rPr>
              <w:t>Observed prev.</w:t>
            </w:r>
          </w:p>
        </w:tc>
        <w:tc>
          <w:tcPr>
            <w:tcW w:type="dxa" w:w="1440"/>
          </w:tcPr>
          <w:p>
            <w:pPr>
              <w:pStyle w:val="tablecopy"/>
            </w:pPr>
            <w:r>
              <w:rPr>
                <w:b w:val="0"/>
              </w:rPr>
              <w:t>—</w:t>
            </w:r>
          </w:p>
        </w:tc>
        <w:tc>
          <w:tcPr>
            <w:tcW w:type="dxa" w:w="1440"/>
          </w:tcPr>
          <w:p>
            <w:pPr>
              <w:pStyle w:val="tablecopy"/>
            </w:pPr>
            <w:r>
              <w:rPr>
                <w:b w:val="0"/>
              </w:rPr>
              <w:t>—</w:t>
            </w:r>
          </w:p>
        </w:tc>
        <w:tc>
          <w:tcPr>
            <w:tcW w:type="dxa" w:w="1440"/>
          </w:tcPr>
          <w:p>
            <w:pPr>
              <w:pStyle w:val="tablecopy"/>
            </w:pPr>
            <w:r>
              <w:rPr>
                <w:b w:val="0"/>
              </w:rPr>
              <w:t>—</w:t>
            </w:r>
          </w:p>
        </w:tc>
        <w:tc>
          <w:tcPr>
            <w:tcW w:type="dxa" w:w="1440"/>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[7].</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[5].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with per-band ECE at most 0.0208 and 0.0246, so the age gap is not a calibration failure; net benefit at the recommended threshold stays positive in every band from 50–54 upward in 2021 (0.0692–0.1556).</w:t>
      </w:r>
    </w:p>
    <w:p>
      <w:pPr>
        <w:pStyle w:val="tablehead"/>
      </w:pPr>
      <w:r>
        <w:rPr>
          <w:b w:val="0"/>
        </w:rPr>
        <w:t>Subgroup disparities with support and bootstrap inference (HGB, global threshold 0.5 on raw scores). 95% TPR-gap CIs: sex (0.0066, 0.0417), age (0.6421, 0.8774).</w:t>
      </w:r>
    </w:p>
    <w:tbl>
      <w:tblPr>
        <w:tblW w:type="auto" w:w="0"/>
        <w:jc w:val="center"/>
        <w:tblLayout w:type="fixed"/>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Pr>
      <w:tblGrid>
        <w:gridCol w:w="2088"/>
        <w:gridCol w:w="1440"/>
        <w:gridCol w:w="1440"/>
        <w:gridCol w:w="1440"/>
        <w:gridCol w:w="1440"/>
      </w:tblGrid>
      <w:tr>
        <w:trPr>
          <w:tblHeader/>
          <w:cantSplit/>
        </w:trPr>
        <w:tc>
          <w:tcPr>
            <w:tcW w:type="dxa" w:w="2088"/>
            <w:tcBorders>
              <w:bottom w:val="single" w:sz="6" w:space="0" w:color="000000"/>
            </w:tcBorders>
          </w:tcPr>
          <w:p>
            <w:pPr>
              <w:pStyle w:val="tablecolhead"/>
            </w:pPr>
            <w:r>
              <w:rPr>
                <w:b w:val="0"/>
              </w:rPr>
              <w:t>Stratifier</w:t>
            </w:r>
          </w:p>
        </w:tc>
        <w:tc>
          <w:tcPr>
            <w:tcW w:type="dxa" w:w="1440"/>
            <w:tcBorders>
              <w:bottom w:val="single" w:sz="6" w:space="0" w:color="000000"/>
            </w:tcBorders>
          </w:tcPr>
          <w:p>
            <w:pPr>
              <w:pStyle w:val="tablecolhead"/>
            </w:pPr>
            <w:r>
              <w:rPr>
                <w:b w:val="0"/>
              </w:rPr>
              <w:t>TPR gap</w:t>
            </w:r>
          </w:p>
        </w:tc>
        <w:tc>
          <w:tcPr>
            <w:tcW w:type="dxa" w:w="1440"/>
            <w:tcBorders>
              <w:bottom w:val="single" w:sz="6" w:space="0" w:color="000000"/>
            </w:tcBorders>
          </w:tcPr>
          <w:p>
            <w:pPr>
              <w:pStyle w:val="tablecolhead"/>
            </w:pPr>
            <w:r>
              <w:rPr>
                <w:b w:val="0"/>
              </w:rPr>
              <w:t>FPR gap</w:t>
            </w:r>
          </w:p>
        </w:tc>
        <w:tc>
          <w:tcPr>
            <w:tcW w:type="dxa" w:w="1440"/>
            <w:tcBorders>
              <w:bottom w:val="single" w:sz="6" w:space="0" w:color="000000"/>
            </w:tcBorders>
          </w:tcPr>
          <w:p>
            <w:pPr>
              <w:pStyle w:val="tablecolhead"/>
            </w:pPr>
            <w:r>
              <w:rPr>
                <w:b w:val="0"/>
              </w:rPr>
              <w:t>Min n</w:t>
            </w:r>
          </w:p>
        </w:tc>
        <w:tc>
          <w:tcPr>
            <w:tcW w:type="dxa" w:w="1440"/>
            <w:tcBorders>
              <w:bottom w:val="single" w:sz="6" w:space="0" w:color="000000"/>
            </w:tcBorders>
          </w:tcPr>
          <w:p>
            <w:pPr>
              <w:pStyle w:val="tablecolhead"/>
            </w:pPr>
            <w:r>
              <w:rPr>
                <w:b w:val="0"/>
              </w:rPr>
              <w:t>Min npos</w:t>
            </w:r>
          </w:p>
        </w:tc>
      </w:tr>
      <w:tr>
        <w:trPr>
          <w:cantSplit/>
        </w:trPr>
        <w:tc>
          <w:tcPr>
            <w:tcW w:type="dxa" w:w="2088"/>
          </w:tcPr>
          <w:p>
            <w:pPr>
              <w:pStyle w:val="tablecopy"/>
            </w:pPr>
            <w:r>
              <w:rPr>
                <w:b w:val="0"/>
              </w:rPr>
              <w:t>Sex</w:t>
            </w:r>
          </w:p>
        </w:tc>
        <w:tc>
          <w:tcPr>
            <w:tcW w:type="dxa" w:w="1440"/>
          </w:tcPr>
          <w:p>
            <w:pPr>
              <w:pStyle w:val="tablecopy"/>
            </w:pPr>
            <w:r>
              <w:rPr>
                <w:b w:val="0"/>
              </w:rPr>
              <w:t>0.0241</w:t>
            </w:r>
          </w:p>
        </w:tc>
        <w:tc>
          <w:tcPr>
            <w:tcW w:type="dxa" w:w="1440"/>
          </w:tcPr>
          <w:p>
            <w:pPr>
              <w:pStyle w:val="tablecopy"/>
            </w:pPr>
            <w:r>
              <w:rPr>
                <w:b w:val="0"/>
              </w:rPr>
              <w:t>0.0643</w:t>
            </w:r>
          </w:p>
        </w:tc>
        <w:tc>
          <w:tcPr>
            <w:tcW w:type="dxa" w:w="1440"/>
          </w:tcPr>
          <w:p>
            <w:pPr>
              <w:pStyle w:val="tablecopy"/>
            </w:pPr>
            <w:r>
              <w:rPr>
                <w:b w:val="0"/>
              </w:rPr>
              <w:t>22,205</w:t>
            </w:r>
          </w:p>
        </w:tc>
        <w:tc>
          <w:tcPr>
            <w:tcW w:type="dxa" w:w="1440"/>
          </w:tcPr>
          <w:p>
            <w:pPr>
              <w:pStyle w:val="tablecopy"/>
            </w:pPr>
            <w:r>
              <w:rPr>
                <w:b w:val="0"/>
              </w:rPr>
              <w:t>3,384</w:t>
            </w:r>
          </w:p>
        </w:tc>
      </w:tr>
      <w:tr>
        <w:trPr>
          <w:cantSplit/>
        </w:trPr>
        <w:tc>
          <w:tcPr>
            <w:tcW w:type="dxa" w:w="2088"/>
          </w:tcPr>
          <w:p>
            <w:pPr>
              <w:pStyle w:val="tablecopy"/>
            </w:pPr>
            <w:r>
              <w:rPr>
                <w:b w:val="0"/>
              </w:rPr>
              <w:t>Age (13)</w:t>
            </w:r>
          </w:p>
        </w:tc>
        <w:tc>
          <w:tcPr>
            <w:tcW w:type="dxa" w:w="1440"/>
          </w:tcPr>
          <w:p>
            <w:pPr>
              <w:pStyle w:val="tablecopy"/>
            </w:pPr>
            <w:r>
              <w:rPr>
                <w:b w:val="0"/>
              </w:rPr>
              <w:t>0.7889</w:t>
            </w:r>
          </w:p>
        </w:tc>
        <w:tc>
          <w:tcPr>
            <w:tcW w:type="dxa" w:w="1440"/>
          </w:tcPr>
          <w:p>
            <w:pPr>
              <w:pStyle w:val="tablecopy"/>
            </w:pPr>
            <w:r>
              <w:rPr>
                <w:b w:val="0"/>
              </w:rPr>
              <w:t>0.5320</w:t>
            </w:r>
          </w:p>
        </w:tc>
        <w:tc>
          <w:tcPr>
            <w:tcW w:type="dxa" w:w="1440"/>
          </w:tcPr>
          <w:p>
            <w:pPr>
              <w:pStyle w:val="tablecopy"/>
            </w:pPr>
            <w:r>
              <w:rPr>
                <w:b w:val="0"/>
              </w:rPr>
              <w:t>1,207</w:t>
            </w:r>
          </w:p>
        </w:tc>
        <w:tc>
          <w:tcPr>
            <w:tcW w:type="dxa" w:w="1440"/>
          </w:tcPr>
          <w:p>
            <w:pPr>
              <w:pStyle w:val="tablecopy"/>
            </w:pPr>
            <w:r>
              <w:rPr>
                <w:b w:val="0"/>
              </w:rPr>
              <w:t>14</w:t>
            </w:r>
          </w:p>
        </w:tc>
      </w:tr>
      <w:tr>
        <w:trPr>
          <w:cantSplit/>
        </w:trPr>
        <w:tc>
          <w:tcPr>
            <w:tcW w:type="dxa" w:w="2088"/>
          </w:tcPr>
          <w:p>
            <w:pPr>
              <w:pStyle w:val="tablecopy"/>
            </w:pPr>
            <w:r>
              <w:rPr>
                <w:b w:val="0"/>
              </w:rPr>
              <w:t>Income (8)</w:t>
            </w:r>
          </w:p>
        </w:tc>
        <w:tc>
          <w:tcPr>
            <w:tcW w:type="dxa" w:w="1440"/>
          </w:tcPr>
          <w:p>
            <w:pPr>
              <w:pStyle w:val="tablecopy"/>
            </w:pPr>
            <w:r>
              <w:rPr>
                <w:b w:val="0"/>
              </w:rPr>
              <w:t>0.2849</w:t>
            </w:r>
          </w:p>
        </w:tc>
        <w:tc>
          <w:tcPr>
            <w:tcW w:type="dxa" w:w="1440"/>
          </w:tcPr>
          <w:p>
            <w:pPr>
              <w:pStyle w:val="tablecopy"/>
            </w:pPr>
            <w:r>
              <w:rPr>
                <w:b w:val="0"/>
              </w:rPr>
              <w:t>0.4229</w:t>
            </w:r>
          </w:p>
        </w:tc>
        <w:tc>
          <w:tcPr>
            <w:tcW w:type="dxa" w:w="1440"/>
          </w:tcPr>
          <w:p>
            <w:pPr>
              <w:pStyle w:val="tablecopy"/>
            </w:pPr>
            <w:r>
              <w:rPr>
                <w:b w:val="0"/>
              </w:rPr>
              <w:t>1,941</w:t>
            </w:r>
          </w:p>
        </w:tc>
        <w:tc>
          <w:tcPr>
            <w:tcW w:type="dxa" w:w="1440"/>
          </w:tcPr>
          <w:p>
            <w:pPr>
              <w:pStyle w:val="tablecopy"/>
            </w:pPr>
            <w:r>
              <w:rPr>
                <w:b w:val="0"/>
              </w:rPr>
              <w:t>475</w:t>
            </w:r>
          </w:p>
        </w:tc>
      </w:tr>
      <w:tr>
        <w:trPr>
          <w:cantSplit/>
        </w:trPr>
        <w:tc>
          <w:tcPr>
            <w:tcW w:type="dxa" w:w="2088"/>
          </w:tcPr>
          <w:p>
            <w:pPr>
              <w:pStyle w:val="tablecopy"/>
            </w:pPr>
            <w:r>
              <w:rPr>
                <w:b w:val="0"/>
              </w:rPr>
              <w:t>Educ. (6)</w:t>
            </w:r>
          </w:p>
        </w:tc>
        <w:tc>
          <w:tcPr>
            <w:tcW w:type="dxa" w:w="1440"/>
          </w:tcPr>
          <w:p>
            <w:pPr>
              <w:pStyle w:val="tablecopy"/>
            </w:pPr>
            <w:r>
              <w:rPr>
                <w:b w:val="0"/>
              </w:rPr>
              <w:t>0.2436</w:t>
            </w:r>
          </w:p>
        </w:tc>
        <w:tc>
          <w:tcPr>
            <w:tcW w:type="dxa" w:w="1440"/>
          </w:tcPr>
          <w:p>
            <w:pPr>
              <w:pStyle w:val="tablecopy"/>
            </w:pPr>
            <w:r>
              <w:rPr>
                <w:b w:val="0"/>
              </w:rPr>
              <w:t>0.4738</w:t>
            </w:r>
          </w:p>
        </w:tc>
        <w:tc>
          <w:tcPr>
            <w:tcW w:type="dxa" w:w="1440"/>
          </w:tcPr>
          <w:p>
            <w:pPr>
              <w:pStyle w:val="tablecopy"/>
            </w:pPr>
            <w:r>
              <w:rPr>
                <w:b w:val="0"/>
              </w:rPr>
              <w:t>795</w:t>
            </w:r>
          </w:p>
        </w:tc>
        <w:tc>
          <w:tcPr>
            <w:tcW w:type="dxa" w:w="1440"/>
          </w:tcPr>
          <w:p>
            <w:pPr>
              <w:pStyle w:val="tablecopy"/>
            </w:pPr>
            <w:r>
              <w:rPr>
                <w:b w:val="0"/>
              </w:rPr>
              <w:t>221</w:t>
            </w:r>
          </w:p>
        </w:tc>
      </w:tr>
      <w:tr>
        <w:trPr>
          <w:cantSplit/>
        </w:trPr>
        <w:tc>
          <w:tcPr>
            <w:tcW w:type="dxa" w:w="2088"/>
          </w:tcPr>
          <w:p>
            <w:pPr>
              <w:pStyle w:val="tablecopy"/>
            </w:pPr>
            <w:r>
              <w:rPr>
                <w:b w:val="0"/>
              </w:rPr>
              <w:t>Sex × Age (21)</w:t>
            </w:r>
          </w:p>
        </w:tc>
        <w:tc>
          <w:tcPr>
            <w:tcW w:type="dxa" w:w="1440"/>
          </w:tcPr>
          <w:p>
            <w:pPr>
              <w:pStyle w:val="tablecopy"/>
            </w:pPr>
            <w:r>
              <w:rPr>
                <w:b w:val="0"/>
              </w:rPr>
              <w:t>0.5078</w:t>
            </w:r>
          </w:p>
        </w:tc>
        <w:tc>
          <w:tcPr>
            <w:tcW w:type="dxa" w:w="1440"/>
          </w:tcPr>
          <w:p>
            <w:pPr>
              <w:pStyle w:val="tablecopy"/>
            </w:pPr>
            <w:r>
              <w:rPr>
                <w:b w:val="0"/>
              </w:rPr>
              <w:t>0.6045</w:t>
            </w:r>
          </w:p>
        </w:tc>
        <w:tc>
          <w:tcPr>
            <w:tcW w:type="dxa" w:w="1440"/>
          </w:tcPr>
          <w:p>
            <w:pPr>
              <w:pStyle w:val="tablecopy"/>
            </w:pPr>
            <w:r>
              <w:rPr>
                <w:b w:val="0"/>
              </w:rPr>
              <w:t>1,200</w:t>
            </w:r>
          </w:p>
        </w:tc>
        <w:tc>
          <w:tcPr>
            <w:tcW w:type="dxa" w:w="1440"/>
          </w:tcPr>
          <w:p>
            <w:pPr>
              <w:pStyle w:val="tablecopy"/>
            </w:pPr>
            <w:r>
              <w:rPr>
                <w:b w:val="0"/>
              </w:rPr>
              <w:t>39</w:t>
            </w:r>
          </w:p>
        </w:tc>
      </w:tr>
      <w:tr>
        <w:trPr>
          <w:cantSplit/>
        </w:trPr>
        <w:tc>
          <w:tcPr>
            <w:tcW w:type="dxa" w:w="2088"/>
          </w:tcPr>
          <w:p>
            <w:pPr>
              <w:pStyle w:val="tablecopy"/>
            </w:pPr>
            <w:r>
              <w:rPr>
                <w:b w:val="0"/>
              </w:rPr>
              <w:t>Age × Income (64)</w:t>
            </w:r>
          </w:p>
        </w:tc>
        <w:tc>
          <w:tcPr>
            <w:tcW w:type="dxa" w:w="1440"/>
          </w:tcPr>
          <w:p>
            <w:pPr>
              <w:pStyle w:val="tablecopy"/>
            </w:pPr>
            <w:r>
              <w:rPr>
                <w:b w:val="0"/>
              </w:rPr>
              <w:t>0.7778</w:t>
            </w:r>
          </w:p>
        </w:tc>
        <w:tc>
          <w:tcPr>
            <w:tcW w:type="dxa" w:w="1440"/>
          </w:tcPr>
          <w:p>
            <w:pPr>
              <w:pStyle w:val="tablecopy"/>
            </w:pPr>
            <w:r>
              <w:rPr>
                <w:b w:val="0"/>
              </w:rPr>
              <w:t>0.7622</w:t>
            </w:r>
          </w:p>
        </w:tc>
        <w:tc>
          <w:tcPr>
            <w:tcW w:type="dxa" w:w="1440"/>
          </w:tcPr>
          <w:p>
            <w:pPr>
              <w:pStyle w:val="tablecopy"/>
            </w:pPr>
            <w:r>
              <w:rPr>
                <w:b w:val="0"/>
              </w:rPr>
              <w:t>113</w:t>
            </w:r>
          </w:p>
        </w:tc>
        <w:tc>
          <w:tcPr>
            <w:tcW w:type="dxa" w:w="1440"/>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by 2021 the income policy's own gap has grown to 0.8647 and the education policy's to 0.7128, and the age policy, which should equalize age, produces a TPR gap of 0.9087 in sample and 0.8937–0.8992 out of time—worse than the global threshold. Per-group calibration before thresholding, an alternative stabiliser, narrows the sex gap further (0.0171 → 0.0072) and the age gap modestly (0.5111 → 0.4780) but leaves other attributes unchanged or worse; it too is fitted on a single split, and transporting the same age-wise recalibration to 2021 gives overall ECE 0.0116 against 0.0097 for the global map, so per-group recalibration does not transport better than a single global calibrator.</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ayout w:type="fixed"/>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Pr>
      <w:tblGrid>
        <w:gridCol w:w="2088"/>
        <w:gridCol w:w="1152"/>
        <w:gridCol w:w="1152"/>
        <w:gridCol w:w="1152"/>
        <w:gridCol w:w="1152"/>
        <w:gridCol w:w="1152"/>
      </w:tblGrid>
      <w:tr>
        <w:trPr>
          <w:tblHeader/>
          <w:cantSplit/>
        </w:trPr>
        <w:tc>
          <w:tcPr>
            <w:tcW w:type="dxa" w:w="2088"/>
            <w:tcBorders>
              <w:bottom w:val="single" w:sz="6" w:space="0" w:color="000000"/>
            </w:tcBorders>
          </w:tcPr>
          <w:p>
            <w:pPr>
              <w:pStyle w:val="tablecolhead"/>
            </w:pPr>
            <w:r>
              <w:rPr>
                <w:b w:val="0"/>
              </w:rPr>
              <w:t>Policy</w:t>
            </w:r>
          </w:p>
        </w:tc>
        <w:tc>
          <w:tcPr>
            <w:tcW w:type="dxa" w:w="1152"/>
            <w:tcBorders>
              <w:bottom w:val="single" w:sz="6" w:space="0" w:color="000000"/>
            </w:tcBorders>
          </w:tcPr>
          <w:p>
            <w:pPr>
              <w:pStyle w:val="tablecolhead"/>
            </w:pPr>
            <w:r>
              <w:rPr>
                <w:b w:val="0"/>
              </w:rPr>
              <w:t>Sens.</w:t>
            </w:r>
          </w:p>
        </w:tc>
        <w:tc>
          <w:tcPr>
            <w:tcW w:type="dxa" w:w="1152"/>
            <w:tcBorders>
              <w:bottom w:val="single" w:sz="6" w:space="0" w:color="000000"/>
            </w:tcBorders>
          </w:tcPr>
          <w:p>
            <w:pPr>
              <w:pStyle w:val="tablecolhead"/>
            </w:pPr>
            <w:r>
              <w:rPr>
                <w:b w:val="0"/>
              </w:rPr>
              <w:t>Spec.</w:t>
            </w:r>
          </w:p>
        </w:tc>
        <w:tc>
          <w:tcPr>
            <w:tcW w:type="dxa" w:w="1152"/>
            <w:tcBorders>
              <w:bottom w:val="single" w:sz="6" w:space="0" w:color="000000"/>
            </w:tcBorders>
          </w:tcPr>
          <w:p>
            <w:pPr>
              <w:pStyle w:val="tablecolhead"/>
            </w:pPr>
            <w:r>
              <w:rPr>
                <w:b w:val="0"/>
              </w:rPr>
              <w:t>Sex</w:t>
            </w:r>
          </w:p>
        </w:tc>
        <w:tc>
          <w:tcPr>
            <w:tcW w:type="dxa" w:w="1152"/>
            <w:tcBorders>
              <w:bottom w:val="single" w:sz="6" w:space="0" w:color="000000"/>
            </w:tcBorders>
          </w:tcPr>
          <w:p>
            <w:pPr>
              <w:pStyle w:val="tablecolhead"/>
            </w:pPr>
            <w:r>
              <w:rPr>
                <w:b w:val="0"/>
              </w:rPr>
              <w:t>Income</w:t>
            </w:r>
          </w:p>
        </w:tc>
        <w:tc>
          <w:tcPr>
            <w:tcW w:type="dxa" w:w="1152"/>
            <w:tcBorders>
              <w:bottom w:val="single" w:sz="6" w:space="0" w:color="000000"/>
            </w:tcBorders>
          </w:tcPr>
          <w:p>
            <w:pPr>
              <w:pStyle w:val="tablecolhead"/>
            </w:pPr>
            <w:r>
              <w:rPr>
                <w:b w:val="0"/>
              </w:rPr>
              <w:t>Educ.</w:t>
            </w:r>
          </w:p>
        </w:tc>
      </w:tr>
      <w:tr>
        <w:trPr>
          <w:cantSplit/>
        </w:trPr>
        <w:tc>
          <w:tcPr>
            <w:tcW w:type="dxa" w:w="7848"/>
            <w:gridSpan w:val="6"/>
          </w:tcPr>
          <w:p>
            <w:pPr>
              <w:pStyle w:val="tablecopy"/>
            </w:pPr>
            <w:r>
              <w:rPr>
                <w:b w:val="0"/>
              </w:rPr>
              <w:t>2015 test set (in sample)</w:t>
            </w:r>
          </w:p>
        </w:tc>
      </w:tr>
      <w:tr>
        <w:trPr>
          <w:cantSplit/>
        </w:trPr>
        <w:tc>
          <w:tcPr>
            <w:tcW w:type="dxa" w:w="2088"/>
          </w:tcPr>
          <w:p>
            <w:pPr>
              <w:pStyle w:val="tablecopy"/>
            </w:pPr>
            <w:r>
              <w:rPr>
                <w:b w:val="0"/>
              </w:rPr>
              <w:t>Global, sens.-targeted</w:t>
            </w:r>
          </w:p>
        </w:tc>
        <w:tc>
          <w:tcPr>
            <w:tcW w:type="dxa" w:w="1152"/>
          </w:tcPr>
          <w:p>
            <w:pPr>
              <w:pStyle w:val="tablecopy"/>
            </w:pPr>
            <w:r>
              <w:rPr>
                <w:b w:val="0"/>
              </w:rPr>
              <w:t>0.865</w:t>
            </w:r>
          </w:p>
        </w:tc>
        <w:tc>
          <w:tcPr>
            <w:tcW w:type="dxa" w:w="1152"/>
          </w:tcPr>
          <w:p>
            <w:pPr>
              <w:pStyle w:val="tablecopy"/>
            </w:pPr>
            <w:r>
              <w:rPr>
                <w:b w:val="0"/>
              </w:rPr>
              <w:t>0.623</w:t>
            </w:r>
          </w:p>
        </w:tc>
        <w:tc>
          <w:tcPr>
            <w:tcW w:type="dxa" w:w="1152"/>
          </w:tcPr>
          <w:p>
            <w:pPr>
              <w:pStyle w:val="tablecopy"/>
            </w:pPr>
            <w:r>
              <w:rPr>
                <w:b w:val="0"/>
              </w:rPr>
              <w:t>0.0171</w:t>
            </w:r>
          </w:p>
        </w:tc>
        <w:tc>
          <w:tcPr>
            <w:tcW w:type="dxa" w:w="1152"/>
          </w:tcPr>
          <w:p>
            <w:pPr>
              <w:pStyle w:val="tablecopy"/>
            </w:pPr>
            <w:r>
              <w:rPr>
                <w:b w:val="0"/>
              </w:rPr>
              <w:t>0.2158</w:t>
            </w:r>
          </w:p>
        </w:tc>
        <w:tc>
          <w:tcPr>
            <w:tcW w:type="dxa" w:w="1152"/>
          </w:tcPr>
          <w:p>
            <w:pPr>
              <w:pStyle w:val="tablecopy"/>
            </w:pPr>
            <w:r>
              <w:rPr>
                <w:b w:val="0"/>
              </w:rPr>
              <w:t>0.1727</w:t>
            </w:r>
          </w:p>
        </w:tc>
      </w:tr>
      <w:tr>
        <w:trPr>
          <w:cantSplit/>
        </w:trPr>
        <w:tc>
          <w:tcPr>
            <w:tcW w:type="dxa" w:w="2088"/>
          </w:tcPr>
          <w:p>
            <w:pPr>
              <w:pStyle w:val="tablecopy"/>
            </w:pPr>
            <w:r>
              <w:rPr>
                <w:b w:val="0"/>
              </w:rPr>
              <w:t>Sex-specific</w:t>
            </w:r>
          </w:p>
        </w:tc>
        <w:tc>
          <w:tcPr>
            <w:tcW w:type="dxa" w:w="1152"/>
          </w:tcPr>
          <w:p>
            <w:pPr>
              <w:pStyle w:val="tablecopy"/>
            </w:pPr>
            <w:r>
              <w:rPr>
                <w:b w:val="0"/>
              </w:rPr>
              <w:t>0.865</w:t>
            </w:r>
          </w:p>
        </w:tc>
        <w:tc>
          <w:tcPr>
            <w:tcW w:type="dxa" w:w="1152"/>
          </w:tcPr>
          <w:p>
            <w:pPr>
              <w:pStyle w:val="tablecopy"/>
            </w:pPr>
            <w:r>
              <w:rPr>
                <w:b w:val="0"/>
              </w:rPr>
              <w:t>0.623</w:t>
            </w:r>
          </w:p>
        </w:tc>
        <w:tc>
          <w:tcPr>
            <w:tcW w:type="dxa" w:w="1152"/>
          </w:tcPr>
          <w:p>
            <w:pPr>
              <w:pStyle w:val="tablecopy"/>
            </w:pPr>
            <w:r>
              <w:rPr>
                <w:b w:val="0"/>
              </w:rPr>
              <w:t>0.0171</w:t>
            </w:r>
          </w:p>
        </w:tc>
        <w:tc>
          <w:tcPr>
            <w:tcW w:type="dxa" w:w="1152"/>
          </w:tcPr>
          <w:p>
            <w:pPr>
              <w:pStyle w:val="tablecopy"/>
            </w:pPr>
            <w:r>
              <w:rPr>
                <w:b w:val="0"/>
              </w:rPr>
              <w:t>0.2158</w:t>
            </w:r>
          </w:p>
        </w:tc>
        <w:tc>
          <w:tcPr>
            <w:tcW w:type="dxa" w:w="1152"/>
          </w:tcPr>
          <w:p>
            <w:pPr>
              <w:pStyle w:val="tablecopy"/>
            </w:pPr>
            <w:r>
              <w:rPr>
                <w:b w:val="0"/>
              </w:rPr>
              <w:t>0.1727</w:t>
            </w:r>
          </w:p>
        </w:tc>
      </w:tr>
      <w:tr>
        <w:trPr>
          <w:cantSplit/>
        </w:trPr>
        <w:tc>
          <w:tcPr>
            <w:tcW w:type="dxa" w:w="2088"/>
          </w:tcPr>
          <w:p>
            <w:pPr>
              <w:pStyle w:val="tablecopy"/>
            </w:pPr>
            <w:r>
              <w:rPr>
                <w:b w:val="0"/>
              </w:rPr>
              <w:t>Age-specific</w:t>
            </w:r>
          </w:p>
        </w:tc>
        <w:tc>
          <w:tcPr>
            <w:tcW w:type="dxa" w:w="1152"/>
          </w:tcPr>
          <w:p>
            <w:pPr>
              <w:pStyle w:val="tablecopy"/>
            </w:pPr>
            <w:r>
              <w:rPr>
                <w:b w:val="0"/>
              </w:rPr>
              <w:t>0.840</w:t>
            </w:r>
          </w:p>
        </w:tc>
        <w:tc>
          <w:tcPr>
            <w:tcW w:type="dxa" w:w="1152"/>
          </w:tcPr>
          <w:p>
            <w:pPr>
              <w:pStyle w:val="tablecopy"/>
            </w:pPr>
            <w:r>
              <w:rPr>
                <w:b w:val="0"/>
              </w:rPr>
              <w:t>0.634</w:t>
            </w:r>
          </w:p>
        </w:tc>
        <w:tc>
          <w:tcPr>
            <w:tcW w:type="dxa" w:w="1152"/>
          </w:tcPr>
          <w:p>
            <w:pPr>
              <w:pStyle w:val="tablecopy"/>
            </w:pPr>
            <w:r>
              <w:rPr>
                <w:b w:val="0"/>
              </w:rPr>
              <w:t>0.0340</w:t>
            </w:r>
          </w:p>
        </w:tc>
        <w:tc>
          <w:tcPr>
            <w:tcW w:type="dxa" w:w="1152"/>
          </w:tcPr>
          <w:p>
            <w:pPr>
              <w:pStyle w:val="tablecopy"/>
            </w:pPr>
            <w:r>
              <w:rPr>
                <w:b w:val="0"/>
              </w:rPr>
              <w:t>0.2106</w:t>
            </w:r>
          </w:p>
        </w:tc>
        <w:tc>
          <w:tcPr>
            <w:tcW w:type="dxa" w:w="1152"/>
          </w:tcPr>
          <w:p>
            <w:pPr>
              <w:pStyle w:val="tablecopy"/>
            </w:pPr>
            <w:r>
              <w:rPr>
                <w:b w:val="0"/>
              </w:rPr>
              <w:t>0.1876</w:t>
            </w:r>
          </w:p>
        </w:tc>
      </w:tr>
      <w:tr>
        <w:trPr>
          <w:cantSplit/>
        </w:trPr>
        <w:tc>
          <w:tcPr>
            <w:tcW w:type="dxa" w:w="2088"/>
          </w:tcPr>
          <w:p>
            <w:pPr>
              <w:pStyle w:val="tablecopy"/>
            </w:pPr>
            <w:r>
              <w:rPr>
                <w:b w:val="0"/>
              </w:rPr>
              <w:t>Income-specific</w:t>
            </w:r>
          </w:p>
        </w:tc>
        <w:tc>
          <w:tcPr>
            <w:tcW w:type="dxa" w:w="1152"/>
          </w:tcPr>
          <w:p>
            <w:pPr>
              <w:pStyle w:val="tablecopy"/>
            </w:pPr>
            <w:r>
              <w:rPr>
                <w:b w:val="0"/>
              </w:rPr>
              <w:t>0.867</w:t>
            </w:r>
          </w:p>
        </w:tc>
        <w:tc>
          <w:tcPr>
            <w:tcW w:type="dxa" w:w="1152"/>
          </w:tcPr>
          <w:p>
            <w:pPr>
              <w:pStyle w:val="tablecopy"/>
            </w:pPr>
            <w:r>
              <w:rPr>
                <w:b w:val="0"/>
              </w:rPr>
              <w:t>0.604</w:t>
            </w:r>
          </w:p>
        </w:tc>
        <w:tc>
          <w:tcPr>
            <w:tcW w:type="dxa" w:w="1152"/>
          </w:tcPr>
          <w:p>
            <w:pPr>
              <w:pStyle w:val="tablecopy"/>
            </w:pPr>
            <w:r>
              <w:rPr>
                <w:b w:val="0"/>
              </w:rPr>
              <w:t>0.0476</w:t>
            </w:r>
          </w:p>
        </w:tc>
        <w:tc>
          <w:tcPr>
            <w:tcW w:type="dxa" w:w="1152"/>
          </w:tcPr>
          <w:p>
            <w:pPr>
              <w:pStyle w:val="tablecopy"/>
            </w:pPr>
            <w:r>
              <w:rPr>
                <w:b/>
              </w:rPr>
              <w:t>0.0899</w:t>
            </w:r>
          </w:p>
        </w:tc>
        <w:tc>
          <w:tcPr>
            <w:tcW w:type="dxa" w:w="1152"/>
          </w:tcPr>
          <w:p>
            <w:pPr>
              <w:pStyle w:val="tablecopy"/>
            </w:pPr>
            <w:r>
              <w:rPr>
                <w:b w:val="0"/>
              </w:rPr>
              <w:t>0.1141</w:t>
            </w:r>
          </w:p>
        </w:tc>
      </w:tr>
      <w:tr>
        <w:trPr>
          <w:cantSplit/>
        </w:trPr>
        <w:tc>
          <w:tcPr>
            <w:tcW w:type="dxa" w:w="2088"/>
          </w:tcPr>
          <w:p>
            <w:pPr>
              <w:pStyle w:val="tablecopy"/>
            </w:pPr>
            <w:r>
              <w:rPr>
                <w:b w:val="0"/>
              </w:rPr>
              <w:t>Education-specific</w:t>
            </w:r>
          </w:p>
        </w:tc>
        <w:tc>
          <w:tcPr>
            <w:tcW w:type="dxa" w:w="1152"/>
          </w:tcPr>
          <w:p>
            <w:pPr>
              <w:pStyle w:val="tablecopy"/>
            </w:pPr>
            <w:r>
              <w:rPr>
                <w:b w:val="0"/>
              </w:rPr>
              <w:t>0.859</w:t>
            </w:r>
          </w:p>
        </w:tc>
        <w:tc>
          <w:tcPr>
            <w:tcW w:type="dxa" w:w="1152"/>
          </w:tcPr>
          <w:p>
            <w:pPr>
              <w:pStyle w:val="tablecopy"/>
            </w:pPr>
            <w:r>
              <w:rPr>
                <w:b w:val="0"/>
              </w:rPr>
              <w:t>0.613</w:t>
            </w:r>
          </w:p>
        </w:tc>
        <w:tc>
          <w:tcPr>
            <w:tcW w:type="dxa" w:w="1152"/>
          </w:tcPr>
          <w:p>
            <w:pPr>
              <w:pStyle w:val="tablecopy"/>
            </w:pPr>
            <w:r>
              <w:rPr>
                <w:b w:val="0"/>
              </w:rPr>
              <w:t>0.0288</w:t>
            </w:r>
          </w:p>
        </w:tc>
        <w:tc>
          <w:tcPr>
            <w:tcW w:type="dxa" w:w="1152"/>
          </w:tcPr>
          <w:p>
            <w:pPr>
              <w:pStyle w:val="tablecopy"/>
            </w:pPr>
            <w:r>
              <w:rPr>
                <w:b w:val="0"/>
              </w:rPr>
              <w:t>0.1590</w:t>
            </w:r>
          </w:p>
        </w:tc>
        <w:tc>
          <w:tcPr>
            <w:tcW w:type="dxa" w:w="1152"/>
          </w:tcPr>
          <w:p>
            <w:pPr>
              <w:pStyle w:val="tablecopy"/>
            </w:pPr>
            <w:r>
              <w:rPr>
                <w:b/>
              </w:rPr>
              <w:t>0.0933</w:t>
            </w:r>
          </w:p>
        </w:tc>
      </w:tr>
      <w:tr>
        <w:trPr>
          <w:cantSplit/>
        </w:trPr>
        <w:tc>
          <w:tcPr>
            <w:tcW w:type="dxa" w:w="2088"/>
          </w:tcPr>
          <w:p>
            <w:pPr>
              <w:pStyle w:val="tablecopy"/>
            </w:pPr>
            <w:r>
              <w:rPr>
                <w:b w:val="0"/>
              </w:rPr>
              <w:t>Joint sex × age</w:t>
            </w:r>
          </w:p>
        </w:tc>
        <w:tc>
          <w:tcPr>
            <w:tcW w:type="dxa" w:w="1152"/>
          </w:tcPr>
          <w:p>
            <w:pPr>
              <w:pStyle w:val="tablecopy"/>
            </w:pPr>
            <w:r>
              <w:rPr>
                <w:b w:val="0"/>
              </w:rPr>
              <w:t>0.846</w:t>
            </w:r>
          </w:p>
        </w:tc>
        <w:tc>
          <w:tcPr>
            <w:tcW w:type="dxa" w:w="1152"/>
          </w:tcPr>
          <w:p>
            <w:pPr>
              <w:pStyle w:val="tablecopy"/>
            </w:pPr>
            <w:r>
              <w:rPr>
                <w:b w:val="0"/>
              </w:rPr>
              <w:t>0.624</w:t>
            </w:r>
          </w:p>
        </w:tc>
        <w:tc>
          <w:tcPr>
            <w:tcW w:type="dxa" w:w="1152"/>
          </w:tcPr>
          <w:p>
            <w:pPr>
              <w:pStyle w:val="tablecopy"/>
            </w:pPr>
            <w:r>
              <w:rPr>
                <w:b w:val="0"/>
              </w:rPr>
              <w:t>0.0144</w:t>
            </w:r>
          </w:p>
        </w:tc>
        <w:tc>
          <w:tcPr>
            <w:tcW w:type="dxa" w:w="1152"/>
          </w:tcPr>
          <w:p>
            <w:pPr>
              <w:pStyle w:val="tablecopy"/>
            </w:pPr>
            <w:r>
              <w:rPr>
                <w:b w:val="0"/>
              </w:rPr>
              <w:t>0.2224</w:t>
            </w:r>
          </w:p>
        </w:tc>
        <w:tc>
          <w:tcPr>
            <w:tcW w:type="dxa" w:w="1152"/>
          </w:tcPr>
          <w:p>
            <w:pPr>
              <w:pStyle w:val="tablecopy"/>
            </w:pPr>
            <w:r>
              <w:rPr>
                <w:b w:val="0"/>
              </w:rPr>
              <w:t>0.1962</w:t>
            </w:r>
          </w:p>
        </w:tc>
      </w:tr>
      <w:tr>
        <w:trPr>
          <w:cantSplit/>
        </w:trPr>
        <w:tc>
          <w:tcPr>
            <w:tcW w:type="dxa" w:w="7848"/>
            <w:gridSpan w:val="6"/>
          </w:tcPr>
          <w:p>
            <w:pPr>
              <w:pStyle w:val="tablecopy"/>
            </w:pPr>
            <w:r>
              <w:rPr>
                <w:b w:val="0"/>
              </w:rPr>
              <w:t>2021 wave (thresholds fitted on 2015, transported)</w:t>
            </w:r>
          </w:p>
        </w:tc>
      </w:tr>
      <w:tr>
        <w:trPr>
          <w:cantSplit/>
        </w:trPr>
        <w:tc>
          <w:tcPr>
            <w:tcW w:type="dxa" w:w="2088"/>
          </w:tcPr>
          <w:p>
            <w:pPr>
              <w:pStyle w:val="tablecopy"/>
            </w:pPr>
            <w:r>
              <w:rPr>
                <w:b w:val="0"/>
              </w:rPr>
              <w:t>Global, sens.-targeted</w:t>
            </w:r>
          </w:p>
        </w:tc>
        <w:tc>
          <w:tcPr>
            <w:tcW w:type="dxa" w:w="1152"/>
          </w:tcPr>
          <w:p>
            <w:pPr>
              <w:pStyle w:val="tablecopy"/>
            </w:pPr>
            <w:r>
              <w:rPr>
                <w:b w:val="0"/>
              </w:rPr>
              <w:t>0.842</w:t>
            </w:r>
          </w:p>
        </w:tc>
        <w:tc>
          <w:tcPr>
            <w:tcW w:type="dxa" w:w="1152"/>
          </w:tcPr>
          <w:p>
            <w:pPr>
              <w:pStyle w:val="tablecopy"/>
            </w:pPr>
            <w:r>
              <w:rPr>
                <w:b w:val="0"/>
              </w:rPr>
              <w:t>0.639</w:t>
            </w:r>
          </w:p>
        </w:tc>
        <w:tc>
          <w:tcPr>
            <w:tcW w:type="dxa" w:w="1152"/>
          </w:tcPr>
          <w:p>
            <w:pPr>
              <w:pStyle w:val="tablecopy"/>
            </w:pPr>
            <w:r>
              <w:rPr>
                <w:b w:val="0"/>
              </w:rPr>
              <w:t>0.0275</w:t>
            </w:r>
          </w:p>
        </w:tc>
        <w:tc>
          <w:tcPr>
            <w:tcW w:type="dxa" w:w="1152"/>
          </w:tcPr>
          <w:p>
            <w:pPr>
              <w:pStyle w:val="tablecopy"/>
            </w:pPr>
            <w:r>
              <w:rPr>
                <w:b w:val="0"/>
              </w:rPr>
              <w:t>0.3079</w:t>
            </w:r>
          </w:p>
        </w:tc>
        <w:tc>
          <w:tcPr>
            <w:tcW w:type="dxa" w:w="1152"/>
          </w:tcPr>
          <w:p>
            <w:pPr>
              <w:pStyle w:val="tablecopy"/>
            </w:pPr>
            <w:r>
              <w:rPr>
                <w:b w:val="0"/>
              </w:rPr>
              <w:t>0.1411</w:t>
            </w:r>
          </w:p>
        </w:tc>
      </w:tr>
      <w:tr>
        <w:trPr>
          <w:cantSplit/>
        </w:trPr>
        <w:tc>
          <w:tcPr>
            <w:tcW w:type="dxa" w:w="2088"/>
          </w:tcPr>
          <w:p>
            <w:pPr>
              <w:pStyle w:val="tablecopy"/>
            </w:pPr>
            <w:r>
              <w:rPr>
                <w:b w:val="0"/>
              </w:rPr>
              <w:t>Sex-specific</w:t>
            </w:r>
          </w:p>
        </w:tc>
        <w:tc>
          <w:tcPr>
            <w:tcW w:type="dxa" w:w="1152"/>
          </w:tcPr>
          <w:p>
            <w:pPr>
              <w:pStyle w:val="tablecopy"/>
            </w:pPr>
            <w:r>
              <w:rPr>
                <w:b w:val="0"/>
              </w:rPr>
              <w:t>0.842</w:t>
            </w:r>
          </w:p>
        </w:tc>
        <w:tc>
          <w:tcPr>
            <w:tcW w:type="dxa" w:w="1152"/>
          </w:tcPr>
          <w:p>
            <w:pPr>
              <w:pStyle w:val="tablecopy"/>
            </w:pPr>
            <w:r>
              <w:rPr>
                <w:b w:val="0"/>
              </w:rPr>
              <w:t>0.639</w:t>
            </w:r>
          </w:p>
        </w:tc>
        <w:tc>
          <w:tcPr>
            <w:tcW w:type="dxa" w:w="1152"/>
          </w:tcPr>
          <w:p>
            <w:pPr>
              <w:pStyle w:val="tablecopy"/>
            </w:pPr>
            <w:r>
              <w:rPr>
                <w:b w:val="0"/>
              </w:rPr>
              <w:t>0.0275</w:t>
            </w:r>
          </w:p>
        </w:tc>
        <w:tc>
          <w:tcPr>
            <w:tcW w:type="dxa" w:w="1152"/>
          </w:tcPr>
          <w:p>
            <w:pPr>
              <w:pStyle w:val="tablecopy"/>
            </w:pPr>
            <w:r>
              <w:rPr>
                <w:b w:val="0"/>
              </w:rPr>
              <w:t>0.3079</w:t>
            </w:r>
          </w:p>
        </w:tc>
        <w:tc>
          <w:tcPr>
            <w:tcW w:type="dxa" w:w="1152"/>
          </w:tcPr>
          <w:p>
            <w:pPr>
              <w:pStyle w:val="tablecopy"/>
            </w:pPr>
            <w:r>
              <w:rPr>
                <w:b w:val="0"/>
              </w:rPr>
              <w:t>0.1411</w:t>
            </w:r>
          </w:p>
        </w:tc>
      </w:tr>
      <w:tr>
        <w:trPr>
          <w:cantSplit/>
        </w:trPr>
        <w:tc>
          <w:tcPr>
            <w:tcW w:type="dxa" w:w="2088"/>
          </w:tcPr>
          <w:p>
            <w:pPr>
              <w:pStyle w:val="tablecopy"/>
            </w:pPr>
            <w:r>
              <w:rPr>
                <w:b w:val="0"/>
              </w:rPr>
              <w:t>Age-specific</w:t>
            </w:r>
          </w:p>
        </w:tc>
        <w:tc>
          <w:tcPr>
            <w:tcW w:type="dxa" w:w="1152"/>
          </w:tcPr>
          <w:p>
            <w:pPr>
              <w:pStyle w:val="tablecopy"/>
            </w:pPr>
            <w:r>
              <w:rPr>
                <w:b w:val="0"/>
              </w:rPr>
              <w:t>0.819</w:t>
            </w:r>
          </w:p>
        </w:tc>
        <w:tc>
          <w:tcPr>
            <w:tcW w:type="dxa" w:w="1152"/>
          </w:tcPr>
          <w:p>
            <w:pPr>
              <w:pStyle w:val="tablecopy"/>
            </w:pPr>
            <w:r>
              <w:rPr>
                <w:b w:val="0"/>
              </w:rPr>
              <w:t>0.648</w:t>
            </w:r>
          </w:p>
        </w:tc>
        <w:tc>
          <w:tcPr>
            <w:tcW w:type="dxa" w:w="1152"/>
          </w:tcPr>
          <w:p>
            <w:pPr>
              <w:pStyle w:val="tablecopy"/>
            </w:pPr>
            <w:r>
              <w:rPr>
                <w:b w:val="0"/>
              </w:rPr>
              <w:t>0.0368</w:t>
            </w:r>
          </w:p>
        </w:tc>
        <w:tc>
          <w:tcPr>
            <w:tcW w:type="dxa" w:w="1152"/>
          </w:tcPr>
          <w:p>
            <w:pPr>
              <w:pStyle w:val="tablecopy"/>
            </w:pPr>
            <w:r>
              <w:rPr>
                <w:b w:val="0"/>
              </w:rPr>
              <w:t>0.2987</w:t>
            </w:r>
          </w:p>
        </w:tc>
        <w:tc>
          <w:tcPr>
            <w:tcW w:type="dxa" w:w="1152"/>
          </w:tcPr>
          <w:p>
            <w:pPr>
              <w:pStyle w:val="tablecopy"/>
            </w:pPr>
            <w:r>
              <w:rPr>
                <w:b w:val="0"/>
              </w:rPr>
              <w:t>0.1567</w:t>
            </w:r>
          </w:p>
        </w:tc>
      </w:tr>
      <w:tr>
        <w:trPr>
          <w:cantSplit/>
        </w:trPr>
        <w:tc>
          <w:tcPr>
            <w:tcW w:type="dxa" w:w="2088"/>
          </w:tcPr>
          <w:p>
            <w:pPr>
              <w:pStyle w:val="tablecopy"/>
            </w:pPr>
            <w:r>
              <w:rPr>
                <w:b w:val="0"/>
              </w:rPr>
              <w:t>Income-specific</w:t>
            </w:r>
          </w:p>
        </w:tc>
        <w:tc>
          <w:tcPr>
            <w:tcW w:type="dxa" w:w="1152"/>
          </w:tcPr>
          <w:p>
            <w:pPr>
              <w:pStyle w:val="tablecopy"/>
            </w:pPr>
            <w:r>
              <w:rPr>
                <w:b w:val="0"/>
              </w:rPr>
              <w:t>0.734</w:t>
            </w:r>
          </w:p>
        </w:tc>
        <w:tc>
          <w:tcPr>
            <w:tcW w:type="dxa" w:w="1152"/>
          </w:tcPr>
          <w:p>
            <w:pPr>
              <w:pStyle w:val="tablecopy"/>
            </w:pPr>
            <w:r>
              <w:rPr>
                <w:b w:val="0"/>
              </w:rPr>
              <w:t>0.694</w:t>
            </w:r>
          </w:p>
        </w:tc>
        <w:tc>
          <w:tcPr>
            <w:tcW w:type="dxa" w:w="1152"/>
          </w:tcPr>
          <w:p>
            <w:pPr>
              <w:pStyle w:val="tablecopy"/>
            </w:pPr>
            <w:r>
              <w:rPr>
                <w:b w:val="0"/>
              </w:rPr>
              <w:t>0.0461</w:t>
            </w:r>
          </w:p>
        </w:tc>
        <w:tc>
          <w:tcPr>
            <w:tcW w:type="dxa" w:w="1152"/>
          </w:tcPr>
          <w:p>
            <w:pPr>
              <w:pStyle w:val="tablecopy"/>
            </w:pPr>
            <w:r>
              <w:rPr>
                <w:b/>
              </w:rPr>
              <w:t>0.8647</w:t>
            </w:r>
          </w:p>
        </w:tc>
        <w:tc>
          <w:tcPr>
            <w:tcW w:type="dxa" w:w="1152"/>
          </w:tcPr>
          <w:p>
            <w:pPr>
              <w:pStyle w:val="tablecopy"/>
            </w:pPr>
            <w:r>
              <w:rPr>
                <w:b w:val="0"/>
              </w:rPr>
              <w:t>0.2927</w:t>
            </w:r>
          </w:p>
        </w:tc>
      </w:tr>
      <w:tr>
        <w:trPr>
          <w:cantSplit/>
        </w:trPr>
        <w:tc>
          <w:tcPr>
            <w:tcW w:type="dxa" w:w="2088"/>
          </w:tcPr>
          <w:p>
            <w:pPr>
              <w:pStyle w:val="tablecopy"/>
            </w:pPr>
            <w:r>
              <w:rPr>
                <w:b w:val="0"/>
              </w:rPr>
              <w:t>Education-specific</w:t>
            </w:r>
          </w:p>
        </w:tc>
        <w:tc>
          <w:tcPr>
            <w:tcW w:type="dxa" w:w="1152"/>
          </w:tcPr>
          <w:p>
            <w:pPr>
              <w:pStyle w:val="tablecopy"/>
            </w:pPr>
            <w:r>
              <w:rPr>
                <w:b w:val="0"/>
              </w:rPr>
              <w:t>0.845</w:t>
            </w:r>
          </w:p>
        </w:tc>
        <w:tc>
          <w:tcPr>
            <w:tcW w:type="dxa" w:w="1152"/>
          </w:tcPr>
          <w:p>
            <w:pPr>
              <w:pStyle w:val="tablecopy"/>
            </w:pPr>
            <w:r>
              <w:rPr>
                <w:b w:val="0"/>
              </w:rPr>
              <w:t>0.619</w:t>
            </w:r>
          </w:p>
        </w:tc>
        <w:tc>
          <w:tcPr>
            <w:tcW w:type="dxa" w:w="1152"/>
          </w:tcPr>
          <w:p>
            <w:pPr>
              <w:pStyle w:val="tablecopy"/>
            </w:pPr>
            <w:r>
              <w:rPr>
                <w:b w:val="0"/>
              </w:rPr>
              <w:t>0.0274</w:t>
            </w:r>
          </w:p>
        </w:tc>
        <w:tc>
          <w:tcPr>
            <w:tcW w:type="dxa" w:w="1152"/>
          </w:tcPr>
          <w:p>
            <w:pPr>
              <w:pStyle w:val="tablecopy"/>
            </w:pPr>
            <w:r>
              <w:rPr>
                <w:b w:val="0"/>
              </w:rPr>
              <w:t>0.2137</w:t>
            </w:r>
          </w:p>
        </w:tc>
        <w:tc>
          <w:tcPr>
            <w:tcW w:type="dxa" w:w="1152"/>
          </w:tcPr>
          <w:p>
            <w:pPr>
              <w:pStyle w:val="tablecopy"/>
            </w:pPr>
            <w:r>
              <w:rPr>
                <w:b/>
              </w:rPr>
              <w:t>0.7128</w:t>
            </w:r>
          </w:p>
        </w:tc>
      </w:tr>
      <w:tr>
        <w:trPr>
          <w:cantSplit/>
        </w:trPr>
        <w:tc>
          <w:tcPr>
            <w:tcW w:type="dxa" w:w="2088"/>
          </w:tcPr>
          <w:p>
            <w:pPr>
              <w:pStyle w:val="tablecopy"/>
            </w:pPr>
            <w:r>
              <w:rPr>
                <w:b w:val="0"/>
              </w:rPr>
              <w:t>Joint sex × age</w:t>
            </w:r>
          </w:p>
        </w:tc>
        <w:tc>
          <w:tcPr>
            <w:tcW w:type="dxa" w:w="1152"/>
          </w:tcPr>
          <w:p>
            <w:pPr>
              <w:pStyle w:val="tablecopy"/>
            </w:pPr>
            <w:r>
              <w:rPr>
                <w:b w:val="0"/>
              </w:rPr>
              <w:t>0.824</w:t>
            </w:r>
          </w:p>
        </w:tc>
        <w:tc>
          <w:tcPr>
            <w:tcW w:type="dxa" w:w="1152"/>
          </w:tcPr>
          <w:p>
            <w:pPr>
              <w:pStyle w:val="tablecopy"/>
            </w:pPr>
            <w:r>
              <w:rPr>
                <w:b w:val="0"/>
              </w:rPr>
              <w:t>0.637</w:t>
            </w:r>
          </w:p>
        </w:tc>
        <w:tc>
          <w:tcPr>
            <w:tcW w:type="dxa" w:w="1152"/>
          </w:tcPr>
          <w:p>
            <w:pPr>
              <w:pStyle w:val="tablecopy"/>
            </w:pPr>
            <w:r>
              <w:rPr>
                <w:b w:val="0"/>
              </w:rPr>
              <w:t>0.0122</w:t>
            </w:r>
          </w:p>
        </w:tc>
        <w:tc>
          <w:tcPr>
            <w:tcW w:type="dxa" w:w="1152"/>
          </w:tcPr>
          <w:p>
            <w:pPr>
              <w:pStyle w:val="tablecopy"/>
            </w:pPr>
            <w:r>
              <w:rPr>
                <w:b w:val="0"/>
              </w:rPr>
              <w:t>0.3043</w:t>
            </w:r>
          </w:p>
        </w:tc>
        <w:tc>
          <w:tcPr>
            <w:tcW w:type="dxa" w:w="1152"/>
          </w:tcPr>
          <w:p>
            <w:pPr>
              <w:pStyle w:val="tablecopy"/>
            </w:pPr>
            <w:r>
              <w:rPr>
                <w:b w:val="0"/>
              </w:rPr>
              <w:t>0.1566</w:t>
            </w:r>
          </w:p>
        </w:tc>
      </w:tr>
    </w:tbl>
    <w:p>
      <w:pPr>
        <w:pStyle w:val="Heading2"/>
      </w:pPr>
      <w:r>
        <w:rPr>
          <w:b w:val="0"/>
        </w:rPr>
        <w:t>Explainability, feature subsets, and utility</w:t>
      </w:r>
    </w:p>
    <w:p>
      <w:pPr>
        <w:pStyle w:val="BodyText"/>
      </w:pPr>
      <w:r>
        <w:rPr>
          <w:b w:val="0"/>
        </w:rPr>
        <w:t>SHAP (Fig. 1)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SHAP's known limitations [13],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show that a one-point change in general health flips 67.5% of them, a ±5 change in BMI flips 88.2%, and a one-point change in age flips 48.0%, whereas changes in high blood pressure or high cholesterol flip none. The contrast between the SHAP ranking and the flip behaviour of binary features cautions against reading SHAP values as clinical leverage.</w:t>
      </w:r>
    </w:p>
    <w:p>
      <w:pPr>
        <w:jc w:val="center"/>
      </w:pPr>
      <w:r>
        <w:drawing>
          <wp:inline xmlns:a="http://schemas.openxmlformats.org/drawingml/2006/main" xmlns:pic="http://schemas.openxmlformats.org/drawingml/2006/picture">
            <wp:extent cx="3840480" cy="2743200"/>
            <wp:docPr id="1" name="Picture 1"/>
            <wp:cNvGraphicFramePr>
              <a:graphicFrameLocks noChangeAspect="1"/>
            </wp:cNvGraphicFramePr>
            <a:graphic>
              <a:graphicData uri="http://schemas.openxmlformats.org/drawingml/2006/picture">
                <pic:pic>
                  <pic:nvPicPr>
                    <pic:cNvPr id="0" name="shap_top_features.png"/>
                    <pic:cNvPicPr/>
                  </pic:nvPicPr>
                  <pic:blipFill>
                    <a:blip r:embed="rId13"/>
                    <a:stretch>
                      <a:fillRect/>
                    </a:stretch>
                  </pic:blipFill>
                  <pic:spPr>
                    <a:xfrm>
                      <a:off x="0" y="0"/>
                      <a:ext cx="3840480" cy="2743200"/>
                    </a:xfrm>
                    <a:prstGeom prst="rect"/>
                  </pic:spPr>
                </pic:pic>
              </a:graphicData>
            </a:graphic>
          </wp:inline>
        </w:drawing>
      </w:r>
    </w:p>
    <w:p>
      <w:pPr>
        <w:pStyle w:val="figurecaption"/>
      </w:pPr>
      <w:r>
        <w:rPr>
          <w:b w:val="0"/>
        </w:rPr>
        <w:t>Top 12 features by mean |SHAP|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[8].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against threshold probability gives net benefit 0.068 against 0.044 for treat-all at a threshold of 0.10 and 0.009 against -0.076 at 0.20, with treat-all becoming actively harmful beyond 0.10; the model therefore dominates treat-all and treat-none across the clinically relevant range, supporting the sensitivity-oriented operating points of Table 4 and indicating a useful threshold range well below 0.5, consistent with the strong over-prediction of the class-weighted model. Finally, bounded perturbation probes, clipping each modified feature to its historical range, characterise model behaviour rather than causal effects: a +5 BMI shift raises mean predicted probability by 0.0694 on raw scores but only 0.0410 on recalibrated scores, while setting heavy alcohol use to present decreases it. The model encodes the historical associations of this survey, and we do not read these probes as clinical guidance.</w:t>
      </w:r>
    </w:p>
    <w:p>
      <w:pPr>
        <w:pStyle w:val="Heading1"/>
      </w:pPr>
      <w:r>
        <w:rPr>
          <w:b w:val="0"/>
        </w:rPr>
        <w:t>Discussion</w:t>
      </w:r>
    </w:p>
    <w:p>
      <w:pPr>
        <w:pStyle w:val="BodyText"/>
      </w:pPr>
      <w:r>
        <w:rPr>
          <w:b w:val="0"/>
        </w:rPr>
        <w:t>Our discrimination (AUC 0.8288, AUPRC 0.4229) exceeds earlier BRFSS studies reporting 0.72–0.80 [2] and approaches NHANES dysglycemia screening at 0.820 [6], but is markedly more conservative than BRFSS pipelines reporting AUC near 0.99 with stacked ensembles and resampling-based balancing [7]: our audit shows duplicate profiles and fold construction move AUC by at most 0.010 on this same 253,680-row dataset, so we regard those figures as unlikely to be reproducible. Where an NHANES-trained model was externally validated on BRFSS, AUC fell from 0.794 to 0.717 under shift [7], whereas our in-domain transfer is milder (0.8338 to 0.8198). A copula filter reports 0.823 with 10 features [8] against our 0.8248 for SHAP at k=10, though differing years and splits preclude a decisive win; multi-task frameworks that pair leakage control with calibration reach comparable macro-AUROC on similar survey data [16], and this single-task audit complements them by isolating the pitfalls. Our finding that class weighting dominates miscalibration is consistent with the wider literature, in which isotonic and Platt can themselves degrade proper scoring for strong tabular learners [14];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using an unweighted model with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the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[7];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[9],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[11]. Our release carries none of those variables, so that route requires the raw BRFSS XPT files. Future work: design-weighted inference, race-stratified reliability, a fairness mitigation validated out of time [10],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[1]. The analysis code, run manifests, logged results, and a SHA-256 hash manifest of every artifact are held in a private repository for review and will be made public on acceptance [17]. This study analyses a publicly available, de-identified survey dataset under CC0; no identifiable human subject data were accessed, so no ethics approval was required.</w:t>
      </w:r>
    </w:p>
    <w:p>
      <w:pPr>
        <w:pStyle w:val="references"/>
      </w:pPr>
      <w:r>
        <w:rPr>
          <w:b w:val="0"/>
        </w:rPr>
        <w:t>CDC Diabetes Health Indicators [Dataset]. (2017). UCI ML Repository. https://doi.org/10.24432/C53919 (accessed 17 Oct. 2026).</w:t>
      </w:r>
    </w:p>
    <w:p>
      <w:pPr>
        <w:pStyle w:val="references"/>
      </w:pPr>
      <w:r>
        <w:rPr>
          <w:b w:val="0"/>
        </w:rPr>
        <w:t>Z. Xie et al., “Building risk prediction models for type 2 diabetes using machine learning techniques,” Prev. Chronic Dis., vol. 16, p. e130, 2019.</w:t>
      </w:r>
    </w:p>
    <w:p>
      <w:pPr>
        <w:pStyle w:val="references"/>
      </w:pPr>
      <w:r>
        <w:rPr>
          <w:b w:val="0"/>
        </w:rPr>
        <w:t>S. M. Lundberg and S.-I. Lee, “A unified approach to interpreting model predictions,” in Adv. Neural Inf. Process. Syst., vol. 30, pp. 4768–4777, 2017.</w:t>
      </w:r>
    </w:p>
    <w:p>
      <w:pPr>
        <w:pStyle w:val="references"/>
      </w:pPr>
      <w:r>
        <w:rPr>
          <w:b w:val="0"/>
        </w:rPr>
        <w:t>M. Hardt, E. Price, and N. Srebro, “Equality of opportunity in supervised learning,” in Adv. Neural Inf. Process. Syst., vol. 29, pp. 3315–3323, 2016.</w:t>
      </w:r>
    </w:p>
    <w:p>
      <w:pPr>
        <w:pStyle w:val="references"/>
      </w:pPr>
      <w:r>
        <w:rPr>
          <w:b w:val="0"/>
        </w:rPr>
        <w:t>N. Mehrabi et al., “A survey on bias and fairness in machine learning,” ACM Comput. Surv., vol. 54, no. 6, art. 115, 2021.</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S. Roy et al., “KAISEN: Reproducible subgroup fairness auditing for clinical risk models,” arXiv:2607.28608, 2026.</w:t>
      </w:r>
    </w:p>
    <w:p>
      <w:pPr>
        <w:pStyle w:val="references"/>
      </w:pPr>
      <w:r>
        <w:rPr>
          <w:b w:val="0"/>
        </w:rPr>
        <w:t>CDC, “National weighting of data from the Behavioral Risk Factor Surveillance System (BRFSS),” 2016. https://stacks.cdc.gov/view/cdc/43284.</w:t>
      </w:r>
    </w:p>
    <w:p>
      <w:pPr>
        <w:pStyle w:val="references"/>
      </w:pPr>
      <w:r>
        <w:rPr>
          <w:b w:val="0"/>
        </w:rPr>
        <w:t>T. Chen and C. Guestrin, “XGBoost: a scalable tree boosting system,” in Proc. ACM SIGKDD, pp. 785–794, 2016.</w:t>
      </w:r>
    </w:p>
    <w:p>
      <w:pPr>
        <w:pStyle w:val="references"/>
      </w:pPr>
      <w:r>
        <w:rPr>
          <w:b w:val="0"/>
        </w:rPr>
        <w:t>O. L\'etoff\'e et al., “Towards rigorous explainability by feature attribution,” arXiv:2604.15898,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Anonymous, “BRFSS diabetes screening: code and artifact manifest,” GitHub repository, 2026. [repository withheld for double-blind review]</w:t>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