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[Author Name]</w:t>
      </w:r>
    </w:p>
    <w:p>
      <w:pPr>
        <w:pStyle w:val="Author"/>
      </w:pPr>
      <w:r>
        <w:rPr>
          <w:b w:val="0"/>
        </w:rPr>
        <w:t>[Department]</w:t>
      </w:r>
    </w:p>
    <w:p>
      <w:pPr>
        <w:pStyle w:val="Author"/>
      </w:pPr>
      <w:r>
        <w:rPr>
          <w:b w:val="0"/>
        </w:rPr>
        <w:t>[Institution]</w:t>
      </w:r>
    </w:p>
    <w:p>
      <w:pPr>
        <w:pStyle w:val="Author"/>
      </w:pPr>
      <w:r>
        <w:rPr>
          <w:b w:val="0"/>
        </w:rPr>
        <w:t>[City], [Country]</w:t>
      </w:r>
    </w:p>
    <w:p>
      <w:pPr>
        <w:pStyle w:val="Author"/>
      </w:pPr>
      <w:r>
        <w:rPr>
          <w:b w:val="0"/>
        </w:rPr>
        <w:t>[email]</w:t>
      </w:r>
    </w:p>
    <w:p>
      <w:pPr>
        <w:sectPr>
          <w:type w:val="continuous"/>
          <w:pgSz w:w="595.30pt" w:h="841.90pt" w:code="9"/>
          <w:pgMar w:top="54pt" w:right="1080" w:bottom="72pt" w:left="1080" w:header="36pt" w:footer="36pt" w:gutter="0pt"/>
          <w:cols w:space="288" w:num="1" w:equalWidth="1"/>
          <w:docGrid w:linePitch="360"/>
        </w:sectPr>
      </w:pPr>
    </w:p>
    <w:p>
      <w:pPr>
        <w:pStyle w:val="Abstract"/>
      </w:pPr>
      <w:r>
        <w:rPr>
          <w:b w:val="0"/>
        </w:rPr>
        <w:t>Abstract—Headline accuracy hides a good deal about models fitted to public health survey data, so this paper audits a diabetes screening framework on the 2015 Behavioral Risk Factor Surveillance System (BRFSS; n = 253,680, 21 features) and reports what the checks change. We compared logistic regression, random forest and histogram gradient boosting over five seeds and bounded duplicate-profile leakage with three held-out protocols: the deduplicated test protocol pulls boosting AUC from 0.8269 down to 0.8177, and 1,963 rows share a covariate vector with a contradicting label. Class-balancing weights, which we had used throughout, were the wrong tool: they multiply the calibration error by 60× (ECE 0.2367 against 0.0038 unweighted) and buy nothing in discrimination (AUC 0.8265 vs 0.8267). Fairness gaps carry bootstrap intervals and group supports: the sex true-positive-rate (TPR) gap is 0.0171, but the age gap of 0.5111 survives every operating point we tested and widens out of time. Attribute-specific thresholds, the usual fairness-audit mitigation, do equalize their own attribute in sample and then fail to transfer, the income gap moving from 0.0899 to 0.8647 by 2021. The recommendation: a single global sensitivity-targeted threshold, and we set out the mitigation that fails alongside the claims this data cannot support.</w:t>
      </w:r>
    </w:p>
    <w:p>
      <w:pPr>
        <w:pStyle w:val="Keywords"/>
      </w:pPr>
      <w:r>
        <w:rPr>
          <w:b w:val="0"/>
        </w:rPr>
        <w:t>Keywords—diabetes screening, machine learning, calibration, fairness auditing, SHAP, BRFSS, health equity, ethical AI</w:t>
      </w: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predicted and observed positives in the calibration split. That correction assumes mildly and uniformly over-confident base scores;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 Figure 1 shows why: the weighted ensemble is calibrated only in the low-risk bins, and recalibration moves the whole curve onto the diagonal.</w:t>
      </w:r>
    </w:p>
    <w:p>
      <w:pPr>
        <w:jc w:val="center"/>
      </w:pPr>
      <w:r>
        <w:drawing>
          <wp:inline xmlns:a="http://schemas.openxmlformats.org/drawingml/2006/main" xmlns:pic="http://schemas.openxmlformats.org/drawingml/2006/picture">
            <wp:extent cx="2880360" cy="1845230"/>
            <wp:docPr id="1" name="Picture 1"/>
            <wp:cNvGraphicFramePr>
              <a:graphicFrameLocks noChangeAspect="1"/>
            </wp:cNvGraphicFramePr>
            <a:graphic>
              <a:graphicData uri="http://schemas.openxmlformats.org/drawingml/2006/picture">
                <pic:pic>
                  <pic:nvPicPr>
                    <pic:cNvPr id="0" name="calibration_reliability_col.png"/>
                    <pic:cNvPicPr/>
                  </pic:nvPicPr>
                  <pic:blipFill>
                    <a:blip r:embed="rId13"/>
                    <a:stretch>
                      <a:fillRect/>
                    </a:stretch>
                  </pic:blipFill>
                  <pic:spPr>
                    <a:xfrm>
                      <a:off x="0" y="0"/>
                      <a:ext cx="2880360" cy="1845230"/>
                    </a:xfrm>
                    <a:prstGeom prst="rect"/>
                  </pic:spPr>
                </pic:pic>
              </a:graphicData>
            </a:graphic>
          </wp:inline>
        </w:drawing>
      </w:r>
    </w:p>
    <w:p>
      <w:pPr>
        <w:pStyle w:val="figurecaption"/>
        <w:keepLines/>
      </w:pPr>
      <w:r>
        <w:rPr>
          <w:b w:val="0"/>
        </w:rPr>
        <w:t>Reliability of the class-weighted model before and after isotonic recalibration (HGB, 2015 test, 10 bins). The uncalibrated ensemble is badly over-confident at moderate predicted risks, which is the source of its ECE of 0.2367.</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2),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2" name="Picture 2"/>
            <wp:cNvGraphicFramePr>
              <a:graphicFrameLocks noChangeAspect="1"/>
            </wp:cNvGraphicFramePr>
            <a:graphic>
              <a:graphicData uri="http://schemas.openxmlformats.org/drawingml/2006/picture">
                <pic:pic>
                  <pic:nvPicPr>
                    <pic:cNvPr id="0" name="age_band_diagnostics.png"/>
                    <pic:cNvPicPr/>
                  </pic:nvPicPr>
                  <pic:blipFill>
                    <a:blip r:embed="rId14"/>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(Fig. 3): by 2021 the income policy's own gap has grown to 0.8647 and the education policy's to 0.7128, and the age policy, which should equalize age, produces a TPR gap of 0.9087 in sample and 0.8937–0.8992 out of time—worse than the global threshold.</w:t>
      </w:r>
    </w:p>
    <w:p>
      <w:pPr>
        <w:jc w:val="center"/>
      </w:pPr>
      <w:r>
        <w:drawing>
          <wp:inline xmlns:a="http://schemas.openxmlformats.org/drawingml/2006/main" xmlns:pic="http://schemas.openxmlformats.org/drawingml/2006/picture">
            <wp:extent cx="2880360" cy="1755219"/>
            <wp:docPr id="3" name="Picture 3"/>
            <wp:cNvGraphicFramePr>
              <a:graphicFrameLocks noChangeAspect="1"/>
            </wp:cNvGraphicFramePr>
            <a:graphic>
              <a:graphicData uri="http://schemas.openxmlformats.org/drawingml/2006/picture">
                <pic:pic>
                  <pic:nvPicPr>
                    <pic:cNvPr id="0" name="threshold_transfer_col.png"/>
                    <pic:cNvPicPr/>
                  </pic:nvPicPr>
                  <pic:blipFill>
                    <a:blip r:embed="rId15"/>
                    <a:stretch>
                      <a:fillRect/>
                    </a:stretch>
                  </pic:blipFill>
                  <pic:spPr>
                    <a:xfrm>
                      <a:off x="0" y="0"/>
                      <a:ext cx="2880360" cy="1755219"/>
                    </a:xfrm>
                    <a:prstGeom prst="rect"/>
                  </pic:spPr>
                </pic:pic>
              </a:graphicData>
            </a:graphic>
          </wp:inline>
        </w:drawing>
      </w:r>
    </w:p>
    <w:p>
      <w:pPr>
        <w:pStyle w:val="figurecaption"/>
        <w:keepLines/>
      </w:pPr>
      <w:r>
        <w:rPr>
          <w:b w:val="0"/>
        </w:rPr>
        <w:t>Transfer of the attribute-specific thresholds. Each bar pair is the TPR gap of the policy's own target attribute, fitted in sample on 2015 and applied unchanged to 2021. The income and education policies equalize their attribute in sample and lose that property out of time; the age policy never held.</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4)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tell a different story: a one-point change in general health flips 67.5% of them, a ±5 change in BMI flips 88.2%, and a one-point change in age flips 48.0%, whereas changes in blood pressure or cholesterol flip none. SHAP magnitude is therefore not decision leverage.</w:t>
      </w:r>
    </w:p>
    <w:p>
      <w:pPr>
        <w:jc w:val="center"/>
      </w:pPr>
      <w:r>
        <w:drawing>
          <wp:inline xmlns:a="http://schemas.openxmlformats.org/drawingml/2006/main" xmlns:pic="http://schemas.openxmlformats.org/drawingml/2006/picture">
            <wp:extent cx="2880360" cy="2115264"/>
            <wp:docPr id="4" name="Picture 4"/>
            <wp:cNvGraphicFramePr>
              <a:graphicFrameLocks noChangeAspect="1"/>
            </wp:cNvGraphicFramePr>
            <a:graphic>
              <a:graphicData uri="http://schemas.openxmlformats.org/drawingml/2006/picture">
                <pic:pic>
                  <pic:nvPicPr>
                    <pic:cNvPr id="0" name="shap_top_features_col.png"/>
                    <pic:cNvPicPr/>
                  </pic:nvPicPr>
                  <pic:blipFill>
                    <a:blip r:embed="rId16"/>
                    <a:stretch>
                      <a:fillRect/>
                    </a:stretch>
                  </pic:blipFill>
                  <pic:spPr>
                    <a:xfrm>
                      <a:off x="0" y="0"/>
                      <a:ext cx="2880360" cy="2115264"/>
                    </a:xfrm>
                    <a:prstGeom prst="rect"/>
                  </pic:spPr>
                </pic:pic>
              </a:graphicData>
            </a:graphic>
          </wp:inline>
        </w:drawing>
      </w:r>
    </w:p>
    <w:p>
      <w:pPr>
        <w:pStyle w:val="figurecaption"/>
        <w:keepLines/>
      </w:pPr>
      <w:r>
        <w:rPr>
          <w:b w:val="0"/>
        </w:rPr>
        <w:t>Mean |SHAP| for all 21 features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5)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5" name="Picture 5"/>
            <wp:cNvGraphicFramePr>
              <a:graphicFrameLocks noChangeAspect="1"/>
            </wp:cNvGraphicFramePr>
            <a:graphic>
              <a:graphicData uri="http://schemas.openxmlformats.org/drawingml/2006/picture">
                <pic:pic>
                  <pic:nvPicPr>
                    <pic:cNvPr id="0" name="decision_curve_col.png"/>
                    <pic:cNvPicPr/>
                  </pic:nvPicPr>
                  <pic:blipFill>
                    <a:blip r:embed="rId17"/>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with an unweighted model and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released at https://github.com/Aldrin7/brfss-diabetes-screening-iccica2027.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