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[Author Name]</w:t>
      </w:r>
    </w:p>
    <w:p>
      <w:pPr>
        <w:pStyle w:val="Author"/>
      </w:pPr>
      <w:r>
        <w:rPr>
          <w:b w:val="0"/>
        </w:rPr>
        <w:t>[Department]</w:t>
      </w:r>
    </w:p>
    <w:p>
      <w:pPr>
        <w:pStyle w:val="Author"/>
      </w:pPr>
      <w:r>
        <w:rPr>
          <w:b w:val="0"/>
        </w:rPr>
        <w:t>[Institution]</w:t>
      </w:r>
    </w:p>
    <w:p>
      <w:pPr>
        <w:pStyle w:val="Author"/>
      </w:pPr>
      <w:r>
        <w:rPr>
          <w:b w:val="0"/>
        </w:rPr>
        <w:t>[City], [Country]</w:t>
      </w:r>
    </w:p>
    <w:p>
      <w:pPr>
        <w:pStyle w:val="Author"/>
      </w:pPr>
      <w:r>
        <w:rPr>
          <w:b w:val="0"/>
        </w:rPr>
        <w:t>[email]</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sectPr>
          <w:type w:val="continuous"/>
          <w:pgSz w:w="595.30pt" w:h="841.90pt" w:code="9"/>
          <w:pgMar w:top="54pt" w:right="1080" w:bottom="72pt" w:left="1080" w:header="36pt" w:footer="36pt" w:gutter="0pt"/>
          <w:cols w:space="288" w:num="1" w:equalWidth="1"/>
          <w:docGrid w:linePitch="360"/>
        </w:sectPr>
      </w:pP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keepLines/>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predicted and observed positives in the calibration split. That correction assumes mildly and uniformly over-confident base scores;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 Figure 1 shows why: the weighted ensemble is calibrated only in the low-risk bins, and recalibration moves the whole curve onto the diagonal.</w:t>
      </w:r>
    </w:p>
    <w:p>
      <w:pPr>
        <w:jc w:val="center"/>
      </w:pPr>
      <w:r>
        <w:drawing>
          <wp:inline xmlns:a="http://schemas.openxmlformats.org/drawingml/2006/main" xmlns:pic="http://schemas.openxmlformats.org/drawingml/2006/picture">
            <wp:extent cx="2880360" cy="1845230"/>
            <wp:docPr id="1" name="Picture 1"/>
            <wp:cNvGraphicFramePr>
              <a:graphicFrameLocks noChangeAspect="1"/>
            </wp:cNvGraphicFramePr>
            <a:graphic>
              <a:graphicData uri="http://schemas.openxmlformats.org/drawingml/2006/picture">
                <pic:pic>
                  <pic:nvPicPr>
                    <pic:cNvPr id="0" name="calibration_reliability_col.png"/>
                    <pic:cNvPicPr/>
                  </pic:nvPicPr>
                  <pic:blipFill>
                    <a:blip r:embed="rId13"/>
                    <a:stretch>
                      <a:fillRect/>
                    </a:stretch>
                  </pic:blipFill>
                  <pic:spPr>
                    <a:xfrm>
                      <a:off x="0" y="0"/>
                      <a:ext cx="2880360" cy="1845230"/>
                    </a:xfrm>
                    <a:prstGeom prst="rect"/>
                  </pic:spPr>
                </pic:pic>
              </a:graphicData>
            </a:graphic>
          </wp:inline>
        </w:drawing>
      </w:r>
    </w:p>
    <w:p>
      <w:pPr>
        <w:pStyle w:val="figurecaption"/>
        <w:keepLines/>
      </w:pPr>
      <w:r>
        <w:rPr>
          <w:b w:val="0"/>
        </w:rPr>
        <w:t>Reliability of the class-weighted model before and after isotonic recalibration (HGB, 2015 test, 10 bins). The uncalibrated ensemble is badly over-confident at moderate predicted risks, which is the source of its ECE of 0.2367.</w:t>
      </w:r>
    </w:p>
    <w:p>
      <w:pPr>
        <w:pStyle w:val="tablehead"/>
        <w:keepNext/>
        <w:keepLines/>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while per-band ECE stays at most 0.0208 and 0.0246 (Fig. 2), so the age gap is not a calibration failure; net benefit at the recommended threshold stays positive in every band from 50–54 upward in 2021 (0.0692–0.1556).</w:t>
      </w:r>
    </w:p>
    <w:p>
      <w:pPr>
        <w:jc w:val="center"/>
      </w:pPr>
      <w:r>
        <w:drawing>
          <wp:inline xmlns:a="http://schemas.openxmlformats.org/drawingml/2006/main" xmlns:pic="http://schemas.openxmlformats.org/drawingml/2006/picture">
            <wp:extent cx="2880360" cy="1265613"/>
            <wp:docPr id="2" name="Picture 2"/>
            <wp:cNvGraphicFramePr>
              <a:graphicFrameLocks noChangeAspect="1"/>
            </wp:cNvGraphicFramePr>
            <a:graphic>
              <a:graphicData uri="http://schemas.openxmlformats.org/drawingml/2006/picture">
                <pic:pic>
                  <pic:nvPicPr>
                    <pic:cNvPr id="0" name="age_band_diagnostics.png"/>
                    <pic:cNvPicPr/>
                  </pic:nvPicPr>
                  <pic:blipFill>
                    <a:blip r:embed="rId14"/>
                    <a:stretch>
                      <a:fillRect/>
                    </a:stretch>
                  </pic:blipFill>
                  <pic:spPr>
                    <a:xfrm>
                      <a:off x="0" y="0"/>
                      <a:ext cx="2880360" cy="1265613"/>
                    </a:xfrm>
                    <a:prstGeom prst="rect"/>
                  </pic:spPr>
                </pic:pic>
              </a:graphicData>
            </a:graphic>
          </wp:inline>
        </w:drawing>
      </w:r>
    </w:p>
    <w:p>
      <w:pPr>
        <w:pStyle w:val="figurecaption"/>
        <w:keepLines/>
      </w:pPr>
      <w:r>
        <w:rPr>
          <w:b w:val="0"/>
        </w:rPr>
        <w:t>Per-age-band diagnostics over the seven support-retained bands, at the recommended threshold: (a) ROC-AUC, (b) expected calibration error, (c) decision-curve net benefit at threshold probability 0.10. Discrimination falls with age while calibration stays flat, so the age TPR gap is a score-geometry effect rather than a calibration failure. The six lower-support bands are reported in the released logs.</w:t>
      </w:r>
    </w:p>
    <w:p>
      <w:pPr>
        <w:pStyle w:val="tablehead"/>
        <w:keepNext/>
        <w:keepLines/>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(Fig. 3): by 2021 the income policy's own gap has grown to 0.8647 and the education policy's to 0.7128, and the age policy, which should equalize age, produces a TPR gap of 0.9087 in sample and 0.8937–0.8992 out of time—worse than the global threshold.</w:t>
      </w:r>
    </w:p>
    <w:p>
      <w:pPr>
        <w:jc w:val="center"/>
      </w:pPr>
      <w:r>
        <w:drawing>
          <wp:inline xmlns:a="http://schemas.openxmlformats.org/drawingml/2006/main" xmlns:pic="http://schemas.openxmlformats.org/drawingml/2006/picture">
            <wp:extent cx="2880360" cy="1755219"/>
            <wp:docPr id="3" name="Picture 3"/>
            <wp:cNvGraphicFramePr>
              <a:graphicFrameLocks noChangeAspect="1"/>
            </wp:cNvGraphicFramePr>
            <a:graphic>
              <a:graphicData uri="http://schemas.openxmlformats.org/drawingml/2006/picture">
                <pic:pic>
                  <pic:nvPicPr>
                    <pic:cNvPr id="0" name="threshold_transfer_col.png"/>
                    <pic:cNvPicPr/>
                  </pic:nvPicPr>
                  <pic:blipFill>
                    <a:blip r:embed="rId15"/>
                    <a:stretch>
                      <a:fillRect/>
                    </a:stretch>
                  </pic:blipFill>
                  <pic:spPr>
                    <a:xfrm>
                      <a:off x="0" y="0"/>
                      <a:ext cx="2880360" cy="1755219"/>
                    </a:xfrm>
                    <a:prstGeom prst="rect"/>
                  </pic:spPr>
                </pic:pic>
              </a:graphicData>
            </a:graphic>
          </wp:inline>
        </w:drawing>
      </w:r>
    </w:p>
    <w:p>
      <w:pPr>
        <w:pStyle w:val="figurecaption"/>
        <w:keepLines/>
      </w:pPr>
      <w:r>
        <w:rPr>
          <w:b w:val="0"/>
        </w:rPr>
        <w:t>Transfer of the attribute-specific thresholds. Each bar pair is the TPR gap of the policy's own target attribute, fitted in sample on 2015 and applied unchanged to 2021. The income and education policies equalize their attribute in sample and lose that property out of time; the age policy never held.</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keepLines/>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4)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tell a different story: a one-point change in general health flips 67.5% of them, a ±5 change in BMI flips 88.2%, and a one-point change in age flips 48.0%, whereas changes in blood pressure or cholesterol flip none. SHAP magnitude is therefore not decision leverage.</w:t>
      </w:r>
    </w:p>
    <w:p>
      <w:pPr>
        <w:jc w:val="center"/>
      </w:pPr>
      <w:r>
        <w:drawing>
          <wp:inline xmlns:a="http://schemas.openxmlformats.org/drawingml/2006/main" xmlns:pic="http://schemas.openxmlformats.org/drawingml/2006/picture">
            <wp:extent cx="2880360" cy="2115264"/>
            <wp:docPr id="4" name="Picture 4"/>
            <wp:cNvGraphicFramePr>
              <a:graphicFrameLocks noChangeAspect="1"/>
            </wp:cNvGraphicFramePr>
            <a:graphic>
              <a:graphicData uri="http://schemas.openxmlformats.org/drawingml/2006/picture">
                <pic:pic>
                  <pic:nvPicPr>
                    <pic:cNvPr id="0" name="shap_top_features_col.png"/>
                    <pic:cNvPicPr/>
                  </pic:nvPicPr>
                  <pic:blipFill>
                    <a:blip r:embed="rId16"/>
                    <a:stretch>
                      <a:fillRect/>
                    </a:stretch>
                  </pic:blipFill>
                  <pic:spPr>
                    <a:xfrm>
                      <a:off x="0" y="0"/>
                      <a:ext cx="2880360" cy="2115264"/>
                    </a:xfrm>
                    <a:prstGeom prst="rect"/>
                  </pic:spPr>
                </pic:pic>
              </a:graphicData>
            </a:graphic>
          </wp:inline>
        </w:drawing>
      </w:r>
    </w:p>
    <w:p>
      <w:pPr>
        <w:pStyle w:val="figurecaption"/>
        <w:keepLines/>
      </w:pPr>
      <w:r>
        <w:rPr>
          <w:b w:val="0"/>
        </w:rPr>
        <w:t>Mean |SHAP| for all 21 features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(Fig. 5) gives 0.068 against 0.044 for treat-all at a threshold of 0.10 and 0.009 against -0.076 at 0.20, with treat-all actively harmful beyond 0.10; the model dominates treat-all and treat-none across the clinically relevant range, supporting the operating points of Table 4.</w:t>
      </w:r>
    </w:p>
    <w:p>
      <w:pPr>
        <w:jc w:val="center"/>
      </w:pPr>
      <w:r>
        <w:drawing>
          <wp:inline xmlns:a="http://schemas.openxmlformats.org/drawingml/2006/main" xmlns:pic="http://schemas.openxmlformats.org/drawingml/2006/picture">
            <wp:extent cx="2880360" cy="1935242"/>
            <wp:docPr id="5" name="Picture 5"/>
            <wp:cNvGraphicFramePr>
              <a:graphicFrameLocks noChangeAspect="1"/>
            </wp:cNvGraphicFramePr>
            <a:graphic>
              <a:graphicData uri="http://schemas.openxmlformats.org/drawingml/2006/picture">
                <pic:pic>
                  <pic:nvPicPr>
                    <pic:cNvPr id="0" name="decision_curve_col.png"/>
                    <pic:cNvPicPr/>
                  </pic:nvPicPr>
                  <pic:blipFill>
                    <a:blip r:embed="rId17"/>
                    <a:stretch>
                      <a:fillRect/>
                    </a:stretch>
                  </pic:blipFill>
                  <pic:spPr>
                    <a:xfrm>
                      <a:off x="0" y="0"/>
                      <a:ext cx="2880360" cy="1935242"/>
                    </a:xfrm>
                    <a:prstGeom prst="rect"/>
                  </pic:spPr>
                </pic:pic>
              </a:graphicData>
            </a:graphic>
          </wp:inline>
        </w:drawing>
      </w:r>
    </w:p>
    <w:p>
      <w:pPr>
        <w:pStyle w:val="figurecaption"/>
        <w:keepLines/>
      </w:pPr>
      <w:r>
        <w:rPr>
          <w:b w:val="0"/>
        </w:rPr>
        <w:t>Decision-curve net benefit against threshold probability (HGB, 2015 test). The model dominates treat-all and treat-none across the clinically relevant range, and treat-all becomes actively harmful beyond a threshold probability of 0.10, which supports the sensitivity-oriented operating points of Table 4.</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which this single-task audit complements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with an unweighted model and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released at https://github.com/Aldrin7/brfss-diabetes-screening-iccica2027.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