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4b99e4a07f085a1e22220ea17cd016f2c5c7ff"/>
    <w:p>
      <w:pPr>
        <w:pStyle w:val="Heading1"/>
      </w:pPr>
      <w:r>
        <w:t xml:space="preserve">MAPPING KNOWLEDGE EXCHANGE ACROSS DISCIPLINARY BOUNDARIES IN SCIENCE EDUCATION: A CITATION-NETWORK AND TOPIC-MODELING ANALYSIS OF 15 JOURNALS, 2019–2026</w:t>
      </w:r>
    </w:p>
    <w:p>
      <w:pPr>
        <w:pStyle w:val="FirstParagraph"/>
      </w:pPr>
      <w:r>
        <w:rPr>
          <w:b/>
          <w:bCs/>
        </w:rPr>
        <w:t xml:space="preserve">Journal:</w:t>
      </w:r>
      <w:r>
        <w:t xml:space="preserve"> </w:t>
      </w:r>
      <w:r>
        <w:t xml:space="preserve">Disciplinary and Interdisciplinary Science Education</w:t>
      </w:r>
      <w:r>
        <w:t xml:space="preserve"> </w:t>
      </w:r>
      <w:r>
        <w:t xml:space="preserve">Research (DISER)</w:t>
      </w:r>
      <w:r>
        <w:t xml:space="preserve"> </w:t>
      </w:r>
      <w:r>
        <w:rPr>
          <w:b/>
          <w:bCs/>
        </w:rPr>
        <w:t xml:space="preserve">Article type:</w:t>
      </w:r>
      <w:r>
        <w:t xml:space="preserve"> </w:t>
      </w:r>
      <w:r>
        <w:t xml:space="preserve">Research</w:t>
      </w:r>
      <w:r>
        <w:t xml:space="preserve"> </w:t>
      </w:r>
      <w:r>
        <w:rPr>
          <w:b/>
          <w:bCs/>
        </w:rPr>
        <w:t xml:space="preserve">Blinding:</w:t>
      </w:r>
      <w:r>
        <w:t xml:space="preserve"> </w:t>
      </w:r>
      <w:r>
        <w:t xml:space="preserve">Double-blind: no author names, affiliations, or self-identifying content in this file.</w:t>
      </w:r>
    </w:p>
    <w:p>
      <w:r>
        <w:pict>
          <v:rect style="width:0;height:1.5pt" o:hralign="center" o:hrstd="t" o:hr="t"/>
        </w:pict>
      </w:r>
    </w:p>
    <w:bookmarkStart w:id="9" w:name="abstract"/>
    <w:p>
      <w:pPr>
        <w:pStyle w:val="Heading2"/>
      </w:pPr>
      <w:r>
        <w:t xml:space="preserve">Abstract</w:t>
      </w:r>
    </w:p>
    <w:p>
      <w:pPr>
        <w:pStyle w:val="FirstParagraph"/>
      </w:pPr>
      <w:r>
        <w:t xml:space="preserve">We present a computational map of knowledge exchange between</w:t>
      </w:r>
      <w:r>
        <w:t xml:space="preserve"> </w:t>
      </w:r>
      <w:r>
        <w:t xml:space="preserve">disciplinary science-education subfields. Drawing on 14333 records from</w:t>
      </w:r>
      <w:r>
        <w:t xml:space="preserve"> </w:t>
      </w:r>
      <w:r>
        <w:t xml:space="preserve">15 journals (2019–2026), we combine citation-network analysis with topic</w:t>
      </w:r>
      <w:r>
        <w:t xml:space="preserve"> </w:t>
      </w:r>
      <w:r>
        <w:t xml:space="preserve">modeling over BGE-small embeddings (PCA 384→50, KMeans k=20, three</w:t>
      </w:r>
      <w:r>
        <w:t xml:space="preserve"> </w:t>
      </w:r>
      <w:r>
        <w:t xml:space="preserve">seeds). Macro-normalization accounts for the Journal of Chemical</w:t>
      </w:r>
      <w:r>
        <w:t xml:space="preserve"> </w:t>
      </w:r>
      <w:r>
        <w:t xml:space="preserve">Education’s 35% corpus share. Results show DISER has the highest</w:t>
      </w:r>
      <w:r>
        <w:t xml:space="preserve"> </w:t>
      </w:r>
      <w:r>
        <w:t xml:space="preserve">cross-disciplinary citation share (84.1% citing, 79.8% cited), highest</w:t>
      </w:r>
      <w:r>
        <w:t xml:space="preserve"> </w:t>
      </w:r>
      <w:r>
        <w:t xml:space="preserve">E-I index (+0.68), and highest tag-based Rao-Stokes diversity</w:t>
      </w:r>
      <w:r>
        <w:t xml:space="preserve"> </w:t>
      </w:r>
      <w:r>
        <w:t xml:space="preserve">(Simpson 0.66), confirming its brokerage role; geodesic betweenness</w:t>
      </w:r>
      <w:r>
        <w:t xml:space="preserve"> </w:t>
      </w:r>
      <w:r>
        <w:t xml:space="preserve">peaks at IJSE, indicating DISER’s brokerage is direct rather than</w:t>
      </w:r>
      <w:r>
        <w:t xml:space="preserve"> </w:t>
      </w:r>
      <w:r>
        <w:t xml:space="preserve">relay-like. Chemistry and physics education journals (JCE, PRPER, PHYSED)</w:t>
      </w:r>
      <w:r>
        <w:t xml:space="preserve"> </w:t>
      </w:r>
      <w:r>
        <w:t xml:space="preserve">are strongly siloed (4.8–15.4% cross-disciplinary). Only 9.05% of</w:t>
      </w:r>
      <w:r>
        <w:t xml:space="preserve"> </w:t>
      </w:r>
      <w:r>
        <w:t xml:space="preserve">references remain within the corpus; external-field triangulation shows</w:t>
      </w:r>
      <w:r>
        <w:t xml:space="preserve"> </w:t>
      </w:r>
      <w:r>
        <w:t xml:space="preserve">24.8% STEM, 63.0% social science, 9.8% other. Twenty topic clusters</w:t>
      </w:r>
      <w:r>
        <w:t xml:space="preserve"> </w:t>
      </w:r>
      <w:r>
        <w:t xml:space="preserve">recover interpretable subfield specializations (mean C_v 0.60); STEM</w:t>
      </w:r>
      <w:r>
        <w:t xml:space="preserve"> </w:t>
      </w:r>
      <w:r>
        <w:t xml:space="preserve">equity (cluster 1) and biology education (cluster 19) are the strongest</w:t>
      </w:r>
      <w:r>
        <w:t xml:space="preserve"> </w:t>
      </w:r>
      <w:r>
        <w:t xml:space="preserve">bridging topics, while pandemic-era teaching (cluster 17) is confined.</w:t>
      </w:r>
      <w:r>
        <w:t xml:space="preserve"> </w:t>
      </w:r>
      <w:r>
        <w:t xml:space="preserve">Topic-level findings are exploratory (mean cross-seed ARI ≈ 0.50;</w:t>
      </w:r>
      <w:r>
        <w:t xml:space="preserve"> </w:t>
      </w:r>
      <w:r>
        <w:t xml:space="preserve">LDA/HDBSCAN diverge). Cross-disciplinary exchange was roughly stable</w:t>
      </w:r>
      <w:r>
        <w:t xml:space="preserve"> </w:t>
      </w:r>
      <w:r>
        <w:t xml:space="preserve">post-pandemic (0.24→0.27 macro). We discuss implications for DISER’s</w:t>
      </w:r>
      <w:r>
        <w:t xml:space="preserve"> </w:t>
      </w:r>
      <w:r>
        <w:t xml:space="preserve">editorial positioning.</w:t>
      </w:r>
    </w:p>
    <w:p>
      <w:pPr>
        <w:pStyle w:val="BodyText"/>
      </w:pPr>
      <w:r>
        <w:rPr>
          <w:b/>
          <w:bCs/>
        </w:rPr>
        <w:t xml:space="preserve">Keywords:</w:t>
      </w:r>
      <w:r>
        <w:t xml:space="preserve"> </w:t>
      </w:r>
      <w:r>
        <w:t xml:space="preserve">citation network, topic modeling, science education, disciplinary exchange, bibliometrics, brokerage</w:t>
      </w:r>
    </w:p>
    <w:bookmarkEnd w:id="9"/>
    <w:bookmarkStart w:id="11" w:name="introduction"/>
    <w:p>
      <w:pPr>
        <w:pStyle w:val="Heading2"/>
      </w:pPr>
      <w:r>
        <w:t xml:space="preserve">1. Introduction</w:t>
      </w:r>
    </w:p>
    <w:p>
      <w:pPr>
        <w:pStyle w:val="FirstParagraph"/>
      </w:pPr>
      <w:r>
        <w:t xml:space="preserve">Science education research is organized around disciplinary subjects,</w:t>
      </w:r>
      <w:r>
        <w:t xml:space="preserve"> </w:t>
      </w:r>
      <w:r>
        <w:t xml:space="preserve">biology, chemistry, physics, geoscience, engineering, each with its own</w:t>
      </w:r>
      <w:r>
        <w:t xml:space="preserve"> </w:t>
      </w:r>
      <w:r>
        <w:t xml:space="preserve">journals, conferences, and research traditions. At the same time, the</w:t>
      </w:r>
      <w:r>
        <w:t xml:space="preserve"> </w:t>
      </w:r>
      <w:r>
        <w:t xml:space="preserve">field has long called for integration across these disciplinary</w:t>
      </w:r>
      <w:r>
        <w:t xml:space="preserve"> </w:t>
      </w:r>
      <w:r>
        <w:t xml:space="preserve">boundaries, both in teaching (interdisciplinary science education) and</w:t>
      </w:r>
      <w:r>
        <w:t xml:space="preserve"> </w:t>
      </w:r>
      <w:r>
        <w:t xml:space="preserve">in research (cross-disciplinary citation and conceptual exchange). The</w:t>
      </w:r>
      <w:r>
        <w:t xml:space="preserve"> </w:t>
      </w:r>
      <w:r>
        <w:t xml:space="preserve">journal</w:t>
      </w:r>
      <w:r>
        <w:t xml:space="preserve"> </w:t>
      </w:r>
      <w:r>
        <w:rPr>
          <w:i/>
          <w:iCs/>
        </w:rPr>
        <w:t xml:space="preserve">Disciplinary and Interdisciplinary Science Education Research</w:t>
      </w:r>
      <w:r>
        <w:t xml:space="preserve"> </w:t>
      </w:r>
      <w:r>
        <w:t xml:space="preserve">(DISER) names this bridging mission explicitly: to connect disciplinary</w:t>
      </w:r>
      <w:r>
        <w:t xml:space="preserve"> </w:t>
      </w:r>
      <w:r>
        <w:t xml:space="preserve">and interdisciplinary approaches in science education.</w:t>
      </w:r>
    </w:p>
    <w:p>
      <w:pPr>
        <w:pStyle w:val="BodyText"/>
      </w:pPr>
      <w:r>
        <w:t xml:space="preserve">However, how much such bridging actually takes place in patterns of citations and knowledge exchange is not yet known empirically. Are disciplinary education journals self-referential, or do they build on each other? Are there bridges in the form of journals or topics? Does a place that claims to bridge, DISER, really bridge? These questions are important because citation patterns are a sign of knowledge flow: journals that cite each other are involved in a common research conversation, and siloed journals may suggest a disjointed and parallel literature with minimal cross-fertilisation.</w:t>
      </w:r>
    </w:p>
    <w:p>
      <w:pPr>
        <w:pStyle w:val="BodyText"/>
      </w:pPr>
      <w:r>
        <w:t xml:space="preserve">Prior bibliometric work in science education has mapped thematic trends</w:t>
      </w:r>
      <w:r>
        <w:t xml:space="preserve"> </w:t>
      </w:r>
      <w:r>
        <w:t xml:space="preserve">within single databases or single topics, and topic modeling has been</w:t>
      </w:r>
      <w:r>
        <w:t xml:space="preserve"> </w:t>
      </w:r>
      <w:r>
        <w:t xml:space="preserve">applied to science-education abstracts, but no prior study combines</w:t>
      </w:r>
      <w:r>
        <w:t xml:space="preserve"> </w:t>
      </w:r>
      <w:r>
        <w:t xml:space="preserve">cross-journal citation-flow measurement with topic modeling of the same</w:t>
      </w:r>
      <w:r>
        <w:t xml:space="preserve"> </w:t>
      </w:r>
      <w:r>
        <w:t xml:space="preserve">multi-journal corpus, with explicit normalization for journal-size skew.</w:t>
      </w:r>
      <w:r>
        <w:t xml:space="preserve"> </w:t>
      </w:r>
      <w:r>
        <w:t xml:space="preserve">Interdisciplinarity in science education has been studied as a</w:t>
      </w:r>
      <w:r>
        <w:t xml:space="preserve"> </w:t>
      </w:r>
      <w:r>
        <w:t xml:space="preserve">conceptual framework (Klein, 1990; Klein, 2010; Porter &amp; Rafols, 2009;</w:t>
      </w:r>
      <w:r>
        <w:t xml:space="preserve"> </w:t>
      </w:r>
      <w:r>
        <w:t xml:space="preserve">Van Noorden, 2015). This study closes that gap.</w:t>
      </w:r>
    </w:p>
    <w:bookmarkStart w:id="10" w:name="journal-selection-criteria"/>
    <w:p>
      <w:pPr>
        <w:pStyle w:val="Heading3"/>
      </w:pPr>
      <w:r>
        <w:t xml:space="preserve">1.1 Journal selection criteria</w:t>
      </w:r>
    </w:p>
    <w:p>
      <w:pPr>
        <w:pStyle w:val="FirstParagraph"/>
      </w:pPr>
      <w:r>
        <w:t xml:space="preserve">The 15 journals were selected to cover (i) disciplinary</w:t>
      </w:r>
      <w:r>
        <w:t xml:space="preserve"> </w:t>
      </w:r>
      <w:r>
        <w:t xml:space="preserve">science-education journals for biology, chemistry, physics, geoscience,</w:t>
      </w:r>
      <w:r>
        <w:t xml:space="preserve"> </w:t>
      </w:r>
      <w:r>
        <w:t xml:space="preserve">and engineering; (ii) general science-education journals; (iii)</w:t>
      </w:r>
      <w:r>
        <w:t xml:space="preserve"> </w:t>
      </w:r>
      <w:r>
        <w:t xml:space="preserve">interdisciplinary STEM-education journals; and (iv) DISER as the</w:t>
      </w:r>
      <w:r>
        <w:t xml:space="preserve"> </w:t>
      </w:r>
      <w:r>
        <w:t xml:space="preserve">nominated bridging venue. Inclusion criteria, fixed before results were</w:t>
      </w:r>
      <w:r>
        <w:t xml:space="preserve"> </w:t>
      </w:r>
      <w:r>
        <w:t xml:space="preserve">examined (Section 3.1): (a) indexed in OpenAlex with a verified ISSN</w:t>
      </w:r>
      <w:r>
        <w:t xml:space="preserve"> </w:t>
      </w:r>
      <w:r>
        <w:t xml:space="preserve">(three recalled ISSNs were rejected after resolving to incorrect</w:t>
      </w:r>
      <w:r>
        <w:t xml:space="preserve"> </w:t>
      </w:r>
      <w:r>
        <w:t xml:space="preserve">titles); (b) explicit science-education scope (title or</w:t>
      </w:r>
      <w:r>
        <w:t xml:space="preserve"> </w:t>
      </w:r>
      <w:r>
        <w:t xml:space="preserve">aims-and-statement); (c) English-language publication; and (d) at least</w:t>
      </w:r>
      <w:r>
        <w:t xml:space="preserve"> </w:t>
      </w:r>
      <w:r>
        <w:t xml:space="preserve">25 records in the harvest period, so that every retained venue</w:t>
      </w:r>
      <w:r>
        <w:t xml:space="preserve"> </w:t>
      </w:r>
      <w:r>
        <w:t xml:space="preserve">contributes usable material while small but field-relevant venues remain</w:t>
      </w:r>
      <w:r>
        <w:t xml:space="preserve"> </w:t>
      </w:r>
      <w:r>
        <w:t xml:space="preserve">in scope. Exclusion criteria: non-science-education journals (e.g.,</w:t>
      </w:r>
      <w:r>
        <w:t xml:space="preserve"> </w:t>
      </w:r>
      <w:r>
        <w:rPr>
          <w:i/>
          <w:iCs/>
        </w:rPr>
        <w:t xml:space="preserve">Science</w:t>
      </w:r>
      <w:r>
        <w:t xml:space="preserve">,</w:t>
      </w:r>
      <w:r>
        <w:t xml:space="preserve"> </w:t>
      </w:r>
      <w:r>
        <w:rPr>
          <w:i/>
          <w:iCs/>
        </w:rPr>
        <w:t xml:space="preserve">Nature</w:t>
      </w:r>
      <w:r>
        <w:t xml:space="preserve">), non-English venues, and venues below the 25-record</w:t>
      </w:r>
      <w:r>
        <w:t xml:space="preserve"> </w:t>
      </w:r>
      <w:r>
        <w:t xml:space="preserve">threshold.</w:t>
      </w:r>
    </w:p>
    <w:p>
      <w:pPr>
        <w:pStyle w:val="BodyText"/>
      </w:pPr>
      <w:r>
        <w:t xml:space="preserve">Notable science-education venues considered but excluded include</w:t>
      </w:r>
      <w:r>
        <w:t xml:space="preserve"> </w:t>
      </w:r>
      <w:r>
        <w:rPr>
          <w:i/>
          <w:iCs/>
        </w:rPr>
        <w:t xml:space="preserve">CBE-Life Sciences Education</w:t>
      </w:r>
      <w:r>
        <w:t xml:space="preserve">,</w:t>
      </w:r>
      <w:r>
        <w:t xml:space="preserve"> </w:t>
      </w:r>
      <w:r>
        <w:rPr>
          <w:i/>
          <w:iCs/>
        </w:rPr>
        <w:t xml:space="preserve">Journal of Science Teacher Education</w:t>
      </w:r>
      <w:r>
        <w:t xml:space="preserve">,</w:t>
      </w:r>
      <w:r>
        <w:t xml:space="preserve"> </w:t>
      </w:r>
      <w:r>
        <w:t xml:space="preserve">and</w:t>
      </w:r>
      <w:r>
        <w:t xml:space="preserve"> </w:t>
      </w:r>
      <w:r>
        <w:rPr>
          <w:i/>
          <w:iCs/>
        </w:rPr>
        <w:t xml:space="preserve">Advances in Physiology Education</w:t>
      </w:r>
      <w:r>
        <w:t xml:space="preserve">. These were excluded because</w:t>
      </w:r>
      <w:r>
        <w:t xml:space="preserve"> </w:t>
      </w:r>
      <w:r>
        <w:t xml:space="preserve">OpenAlex reference coverage was incomplete (under 60% of records with</w:t>
      </w:r>
      <w:r>
        <w:t xml:space="preserve"> </w:t>
      </w:r>
      <w:r>
        <w:t xml:space="preserve">deposited references) or because their scope partially overlapped</w:t>
      </w:r>
      <w:r>
        <w:t xml:space="preserve"> </w:t>
      </w:r>
      <w:r>
        <w:t xml:space="preserve">general journals already in the corpus. The</w:t>
      </w:r>
      <w:r>
        <w:t xml:space="preserve"> </w:t>
      </w:r>
      <w:r>
        <w:rPr>
          <w:i/>
          <w:iCs/>
        </w:rPr>
        <w:t xml:space="preserve">Journal of Research in</w:t>
      </w:r>
      <w:r>
        <w:rPr>
          <w:i/>
          <w:iCs/>
        </w:rPr>
        <w:t xml:space="preserve"> </w:t>
      </w:r>
      <w:r>
        <w:rPr>
          <w:i/>
          <w:iCs/>
        </w:rPr>
        <w:t xml:space="preserve">Science Teaching</w:t>
      </w:r>
      <w:r>
        <w:t xml:space="preserve"> </w:t>
      </w:r>
      <w:r>
        <w:t xml:space="preserve">(JRST) was considered and retained (657 records).</w:t>
      </w:r>
      <w:r>
        <w:t xml:space="preserve"> </w:t>
      </w:r>
      <w:r>
        <w:t xml:space="preserve">Sensitivity analysis (Section 4.7) shows the silo/bridge conclusions are</w:t>
      </w:r>
      <w:r>
        <w:t xml:space="preserve"> </w:t>
      </w:r>
      <w:r>
        <w:t xml:space="preserve">robust to coverage adjustment: DISER’s adjusted cross-tag share is 0.829</w:t>
      </w:r>
      <w:r>
        <w:t xml:space="preserve"> </w:t>
      </w:r>
      <w:r>
        <w:t xml:space="preserve">(vs. 0.841 unadjusted), and JCE remains the most siloed venue (4.8% →</w:t>
      </w:r>
      <w:r>
        <w:t xml:space="preserve"> </w:t>
      </w:r>
      <w:r>
        <w:t xml:space="preserve">5.1%).</w:t>
      </w:r>
    </w:p>
    <w:p>
      <w:pPr>
        <w:pStyle w:val="BodyText"/>
      </w:pPr>
      <w:r>
        <w:t xml:space="preserve">We address three research questions:</w:t>
      </w:r>
    </w:p>
    <w:p>
      <w:pPr>
        <w:pStyle w:val="BodyText"/>
      </w:pPr>
      <w:r>
        <w:rPr>
          <w:b/>
          <w:bCs/>
        </w:rPr>
        <w:t xml:space="preserve">RQ1.</w:t>
      </w:r>
      <w:r>
        <w:t xml:space="preserve"> </w:t>
      </w:r>
      <w:r>
        <w:t xml:space="preserve">Which disciplinary science-education subfields cite each other,</w:t>
      </w:r>
      <w:r>
        <w:t xml:space="preserve"> </w:t>
      </w:r>
      <w:r>
        <w:t xml:space="preserve">and which remain siloed? (Citation-network analysis)</w:t>
      </w:r>
    </w:p>
    <w:p>
      <w:pPr>
        <w:pStyle w:val="BodyText"/>
      </w:pPr>
      <w:r>
        <w:rPr>
          <w:b/>
          <w:bCs/>
        </w:rPr>
        <w:t xml:space="preserve">RQ2.</w:t>
      </w:r>
      <w:r>
        <w:t xml:space="preserve"> </w:t>
      </w:r>
      <w:r>
        <w:t xml:space="preserve">What are the connections between the subfields of a discipline and what are the topics that lie</w:t>
      </w:r>
      <w:r>
        <w:t xml:space="preserve"> </w:t>
      </w:r>
      <w:r>
        <w:t xml:space="preserve">“between”</w:t>
      </w:r>
      <w:r>
        <w:t xml:space="preserve"> </w:t>
      </w:r>
      <w:r>
        <w:t xml:space="preserve">the subfields?</w:t>
      </w:r>
      <w:r>
        <w:t xml:space="preserve"> </w:t>
      </w:r>
      <w:r>
        <w:t xml:space="preserve">subfield? (Topic-modeling analysis)</w:t>
      </w:r>
    </w:p>
    <w:p>
      <w:pPr>
        <w:pStyle w:val="BodyText"/>
      </w:pPr>
      <w:r>
        <w:rPr>
          <w:b/>
          <w:bCs/>
        </w:rPr>
        <w:t xml:space="preserve">RQ3.</w:t>
      </w:r>
      <w:r>
        <w:t xml:space="preserve"> </w:t>
      </w:r>
      <w:r>
        <w:t xml:space="preserve">In terms of its bridging role as a journal, does DISER fit into the citation network in a brokerage position?</w:t>
      </w:r>
      <w:r>
        <w:t xml:space="preserve"> </w:t>
      </w:r>
      <w:r>
        <w:t xml:space="preserve">In comparison to the journals specific to each discipline? (Centrality in networks and citation of across discipline)</w:t>
      </w:r>
    </w:p>
    <w:p>
      <w:pPr>
        <w:pStyle w:val="BodyText"/>
      </w:pPr>
      <w:r>
        <w:t xml:space="preserve">To answer these research questions, we retrieved all records from 15 science-education journals via the OpenAlex API (2019-2026) and constructed a directed citation network from internal reference lists. We fit a KMeans topic model (k=20) over PCA-reduced BGE-small embeddings with three seeds for stability assessment. Cross-journal claims are macro-normalized to account for the Journal of Chemical Education’s 35% corpus share, with micro statistics reported alongside.</w:t>
      </w:r>
    </w:p>
    <w:p>
      <w:pPr>
        <w:pStyle w:val="BodyText"/>
      </w:pPr>
      <w:r>
        <w:t xml:space="preserve">The remainder of this paper is organized as follows. Section 2 reviews</w:t>
      </w:r>
      <w:r>
        <w:t xml:space="preserve"> </w:t>
      </w:r>
      <w:r>
        <w:t xml:space="preserve">related work and establishes the novelty gap. Section 3 describes the</w:t>
      </w:r>
      <w:r>
        <w:t xml:space="preserve"> </w:t>
      </w:r>
      <w:r>
        <w:t xml:space="preserve">corpus, preprocessing, topic-modeling, network-analysis, and</w:t>
      </w:r>
      <w:r>
        <w:t xml:space="preserve"> </w:t>
      </w:r>
      <w:r>
        <w:t xml:space="preserve">uncertainty-quantification methods. Section 4 presents results for RQ1-3 (topic clusters, per-journal network metrics, brokerage). Section 5 discusses implications and limitations. Section 6 concludes.</w:t>
      </w:r>
    </w:p>
    <w:p>
      <w:r>
        <w:pict>
          <v:rect style="width:0;height:1.5pt" o:hralign="center" o:hrstd="t" o:hr="t"/>
        </w:pict>
      </w:r>
    </w:p>
    <w:bookmarkEnd w:id="10"/>
    <w:bookmarkEnd w:id="11"/>
    <w:bookmarkStart w:id="14" w:name="related-work"/>
    <w:p>
      <w:pPr>
        <w:pStyle w:val="Heading2"/>
      </w:pPr>
      <w:r>
        <w:t xml:space="preserve">2. Related work</w:t>
      </w:r>
    </w:p>
    <w:bookmarkStart w:id="12" w:name="Xf982b6edbed5f11f1bc62dcdcbff91bbd58a2ff"/>
    <w:p>
      <w:pPr>
        <w:pStyle w:val="Heading3"/>
      </w:pPr>
      <w:r>
        <w:t xml:space="preserve">2.1 Bibliometric mapping in science education</w:t>
      </w:r>
    </w:p>
    <w:p>
      <w:pPr>
        <w:pStyle w:val="FirstParagraph"/>
      </w:pPr>
      <w:r>
        <w:t xml:space="preserve">Several bibliometric studies have mapped science-education research, but</w:t>
      </w:r>
      <w:r>
        <w:t xml:space="preserve"> </w:t>
      </w:r>
      <w:r>
        <w:t xml:space="preserve">none combines the three elements of our design: cross-journal</w:t>
      </w:r>
      <w:r>
        <w:t xml:space="preserve"> </w:t>
      </w:r>
      <w:r>
        <w:t xml:space="preserve">citation-flow measurement, topic modeling of the same corpus, and macro</w:t>
      </w:r>
      <w:r>
        <w:t xml:space="preserve"> </w:t>
      </w:r>
      <w:r>
        <w:t xml:space="preserve">normalization for journal-size skew. Bibliometric network analysis has</w:t>
      </w:r>
      <w:r>
        <w:t xml:space="preserve"> </w:t>
      </w:r>
      <w:r>
        <w:t xml:space="preserve">been used to map science-education research (Newman, 2010; Borgatti &amp;</w:t>
      </w:r>
      <w:r>
        <w:t xml:space="preserve"> </w:t>
      </w:r>
      <w:r>
        <w:t xml:space="preserve">Everett, 2006), building on citation indexes for science mapping</w:t>
      </w:r>
      <w:r>
        <w:t xml:space="preserve"> </w:t>
      </w:r>
      <w:r>
        <w:t xml:space="preserve">(Garfield, 1955).</w:t>
      </w:r>
    </w:p>
    <w:p>
      <w:pPr>
        <w:pStyle w:val="BodyText"/>
      </w:pPr>
      <w:r>
        <w:t xml:space="preserve">Chi, Wang, and Li (2026) conducted a CiteSpace bibliometric mapping and</w:t>
      </w:r>
      <w:r>
        <w:t xml:space="preserve"> </w:t>
      </w:r>
      <w:r>
        <w:t xml:space="preserve">thematic synthesis of scientific practices in science education</w:t>
      </w:r>
      <w:r>
        <w:t xml:space="preserve"> </w:t>
      </w:r>
      <w:r>
        <w:t xml:space="preserve">(2013–2023) in</w:t>
      </w:r>
      <w:r>
        <w:t xml:space="preserve"> </w:t>
      </w:r>
      <w:r>
        <w:rPr>
          <w:i/>
          <w:iCs/>
        </w:rPr>
        <w:t xml:space="preserve">DISER</w:t>
      </w:r>
      <w:r>
        <w:t xml:space="preserve">. Their study demonstrates editorial appetite for</w:t>
      </w:r>
      <w:r>
        <w:t xml:space="preserve"> </w:t>
      </w:r>
      <w:r>
        <w:t xml:space="preserve">bibliometric research in this venue but focuses on a single topic within</w:t>
      </w:r>
      <w:r>
        <w:t xml:space="preserve"> </w:t>
      </w:r>
      <w:r>
        <w:t xml:space="preserve">a single database (Web of Science), with manual thematic synthesis</w:t>
      </w:r>
      <w:r>
        <w:t xml:space="preserve"> </w:t>
      </w:r>
      <w:r>
        <w:t xml:space="preserve">rather than computational topic modeling, and no cross-journal</w:t>
      </w:r>
      <w:r>
        <w:t xml:space="preserve"> </w:t>
      </w:r>
      <w:r>
        <w:t xml:space="preserve">citation-network analysis.</w:t>
      </w:r>
    </w:p>
    <w:p>
      <w:pPr>
        <w:pStyle w:val="BodyText"/>
      </w:pPr>
      <w:r>
        <w:t xml:space="preserve">A related stream is a bibliometric network analysis that maps specific</w:t>
      </w:r>
      <w:r>
        <w:t xml:space="preserve"> </w:t>
      </w:r>
      <w:r>
        <w:t xml:space="preserve">subfields, the intellectual structure of which. The co-citation network</w:t>
      </w:r>
      <w:r>
        <w:t xml:space="preserve"> </w:t>
      </w:r>
      <w:r>
        <w:t xml:space="preserve">of educational technology in science education over 40 years (2008–2013)</w:t>
      </w:r>
      <w:r>
        <w:t xml:space="preserve"> </w:t>
      </w:r>
      <w:r>
        <w:t xml:space="preserve">in selected journals was examined (Tang &amp; Tsai, 2016). Science</w:t>
      </w:r>
      <w:r>
        <w:t xml:space="preserve"> </w:t>
      </w:r>
      <w:r>
        <w:t xml:space="preserve">education research can be mapped using bibliometric techniques</w:t>
      </w:r>
      <w:r>
        <w:t xml:space="preserve"> </w:t>
      </w:r>
      <w:r>
        <w:t xml:space="preserve">(themes/country/institution mapping), as demonstrated in recent</w:t>
      </w:r>
      <w:r>
        <w:t xml:space="preserve"> </w:t>
      </w:r>
      <w:r>
        <w:t xml:space="preserve">bibliometric analyses (Wang et al., 2022; Tosun, 2022; Abdi et al.,</w:t>
      </w:r>
      <w:r>
        <w:t xml:space="preserve"> </w:t>
      </w:r>
      <w:r>
        <w:t xml:space="preserve">2024; Giamellaro et al., 2025). The review of the literature included</w:t>
      </w:r>
      <w:r>
        <w:t xml:space="preserve"> </w:t>
      </w:r>
      <w:r>
        <w:t xml:space="preserve">two types of bibliometric networks: contextualized science learning</w:t>
      </w:r>
      <w:r>
        <w:t xml:space="preserve"> </w:t>
      </w:r>
      <w:r>
        <w:t xml:space="preserve">(single-topic) and the evolution of STEM education.</w:t>
      </w:r>
    </w:p>
    <w:p>
      <w:pPr>
        <w:pStyle w:val="BodyText"/>
      </w:pPr>
      <w:r>
        <w:t xml:space="preserve">A Zenodo-published topic-modeling dataset (6785 science-education</w:t>
      </w:r>
      <w:r>
        <w:t xml:space="preserve"> </w:t>
      </w:r>
      <w:r>
        <w:t xml:space="preserve">documents, 1995–2023) applies LDA to science-education abstracts,</w:t>
      </w:r>
      <w:r>
        <w:t xml:space="preserve"> </w:t>
      </w:r>
      <w:r>
        <w:t xml:space="preserve">producing topics without citation networks or disciplinary-exchange</w:t>
      </w:r>
      <w:r>
        <w:t xml:space="preserve"> </w:t>
      </w:r>
      <w:r>
        <w:t xml:space="preserve">measurement. A GitHub pipeline for science-education topic modeling</w:t>
      </w:r>
      <w:r>
        <w:t xml:space="preserve"> </w:t>
      </w:r>
      <w:r>
        <w:t xml:space="preserve">(ScienceEducationLDA) was unavailable at the time of writing.</w:t>
      </w:r>
      <w:r>
        <w:t xml:space="preserve"> </w:t>
      </w:r>
      <w:r>
        <w:t xml:space="preserve">Finally, the systematic review by Tuzón, García-Castillo, and Fernández-Gracia</w:t>
      </w:r>
      <w:r>
        <w:t xml:space="preserve"> </w:t>
      </w:r>
      <w:r>
        <w:t xml:space="preserve">(2026) surveys the use of complex networks in science-education</w:t>
      </w:r>
      <w:r>
        <w:t xml:space="preserve"> </w:t>
      </w:r>
      <w:r>
        <w:t xml:space="preserve">research but presents no original citation-flow or topic-modeling</w:t>
      </w:r>
      <w:r>
        <w:t xml:space="preserve"> </w:t>
      </w:r>
      <w:r>
        <w:t xml:space="preserve">analysis of a multi-journal corpus.</w:t>
      </w:r>
    </w:p>
    <w:p>
      <w:pPr>
        <w:pStyle w:val="BodyText"/>
      </w:pPr>
      <w:r>
        <w:rPr>
          <w:b/>
          <w:bCs/>
        </w:rPr>
        <w:t xml:space="preserve">Novelty gap.</w:t>
      </w:r>
      <w:r>
        <w:t xml:space="preserve"> </w:t>
      </w:r>
      <w:r>
        <w:t xml:space="preserve">No prior work combines (a) cross-disciplinary</w:t>
      </w:r>
      <w:r>
        <w:t xml:space="preserve"> </w:t>
      </w:r>
      <w:r>
        <w:t xml:space="preserve">citation-flow measurement across 15 disciplinary and general</w:t>
      </w:r>
      <w:r>
        <w:t xml:space="preserve"> </w:t>
      </w:r>
      <w:r>
        <w:t xml:space="preserve">science-education journals (2019–2026), (b) topic modeling of the same</w:t>
      </w:r>
      <w:r>
        <w:t xml:space="preserve"> </w:t>
      </w:r>
      <w:r>
        <w:t xml:space="preserve">corpus using transformer embeddings with PCA and KMeans (k=20,</w:t>
      </w:r>
      <w:r>
        <w:t xml:space="preserve"> </w:t>
      </w:r>
      <w:r>
        <w:t xml:space="preserve">multi-seed stability assessment), and (c) macro normalization for</w:t>
      </w:r>
      <w:r>
        <w:t xml:space="preserve"> </w:t>
      </w:r>
      <w:r>
        <w:t xml:space="preserve">journal-size skew (the Journal of Chemical Education = 35% of corpus).</w:t>
      </w:r>
      <w:r>
        <w:t xml:space="preserve"> </w:t>
      </w:r>
      <w:r>
        <w:t xml:space="preserve">The extended novelty search (10 prior-art works) confirms this gap; none</w:t>
      </w:r>
      <w:r>
        <w:t xml:space="preserve"> </w:t>
      </w:r>
      <w:r>
        <w:t xml:space="preserve">of the identified works undermines the novelty claim. Prior-art absence</w:t>
      </w:r>
      <w:r>
        <w:t xml:space="preserve"> </w:t>
      </w:r>
      <w:r>
        <w:t xml:space="preserve">remains provisional; searches were web/DOI-based rather than exhaustive</w:t>
      </w:r>
      <w:r>
        <w:t xml:space="preserve"> </w:t>
      </w:r>
      <w:r>
        <w:t xml:space="preserve">database searches (Web of Science, Scopus not directly queried), and</w:t>
      </w:r>
      <w:r>
        <w:t xml:space="preserve"> </w:t>
      </w:r>
      <w:r>
        <w:t xml:space="preserve">should be verified against a formal literature review at final</w:t>
      </w:r>
      <w:r>
        <w:t xml:space="preserve"> </w:t>
      </w:r>
      <w:r>
        <w:t xml:space="preserve">preparation.</w:t>
      </w:r>
    </w:p>
    <w:bookmarkEnd w:id="12"/>
    <w:bookmarkStart w:id="13" w:name="topic-modeling-in-education-research"/>
    <w:p>
      <w:pPr>
        <w:pStyle w:val="Heading3"/>
      </w:pPr>
      <w:r>
        <w:t xml:space="preserve">2.2 Topic modeling in education research</w:t>
      </w:r>
    </w:p>
    <w:p>
      <w:pPr>
        <w:pStyle w:val="FirstParagraph"/>
      </w:pPr>
      <w:r>
        <w:t xml:space="preserve">Topic modeling has been applied to education corpora using LDA and, more</w:t>
      </w:r>
      <w:r>
        <w:t xml:space="preserve"> </w:t>
      </w:r>
      <w:r>
        <w:t xml:space="preserve">recently, transformer-based embedding-and-clustering pipelines (Mersha</w:t>
      </w:r>
      <w:r>
        <w:t xml:space="preserve"> </w:t>
      </w:r>
      <w:r>
        <w:t xml:space="preserve">et al., 2024). Our approach: fastembed BGE-small (384 dimensions), PCA</w:t>
      </w:r>
      <w:r>
        <w:t xml:space="preserve"> </w:t>
      </w:r>
      <w:r>
        <w:t xml:space="preserve">reduction to 50 dimensions, and KMeans clustering with k=20 and three</w:t>
      </w:r>
      <w:r>
        <w:t xml:space="preserve"> </w:t>
      </w:r>
      <w:r>
        <w:t xml:space="preserve">seeds; follows this paradigm while remaining within the computational</w:t>
      </w:r>
      <w:r>
        <w:t xml:space="preserve"> </w:t>
      </w:r>
      <w:r>
        <w:t xml:space="preserve">constraints of the analysis environment (numpy/fastembed/onnxruntime</w:t>
      </w:r>
      <w:r>
        <w:t xml:space="preserve"> </w:t>
      </w:r>
      <w:r>
        <w:t xml:space="preserve">only; no scikit-learn or scipy in the environment, so PCA, KMeans, LDA,</w:t>
      </w:r>
      <w:r>
        <w:t xml:space="preserve"> </w:t>
      </w:r>
      <w:r>
        <w:t xml:space="preserve">and the density-based robustness check were implemented as standalone</w:t>
      </w:r>
      <w:r>
        <w:t xml:space="preserve"> </w:t>
      </w:r>
      <w:r>
        <w:t xml:space="preserve">NumPy routines; Section 3.4). The choice of k=20 was fixed up front in</w:t>
      </w:r>
      <w:r>
        <w:t xml:space="preserve"> </w:t>
      </w:r>
      <w:r>
        <w:t xml:space="preserve">the scope declaration (Gate C), before results were seen, avoiding</w:t>
      </w:r>
      <w:r>
        <w:t xml:space="preserve"> </w:t>
      </w:r>
      <w:r>
        <w:t xml:space="preserve">post-hoc model selection.</w:t>
      </w:r>
    </w:p>
    <w:p>
      <w:r>
        <w:pict>
          <v:rect style="width:0;height:1.5pt" o:hralign="center" o:hrstd="t" o:hr="t"/>
        </w:pict>
      </w:r>
    </w:p>
    <w:bookmarkEnd w:id="13"/>
    <w:bookmarkEnd w:id="14"/>
    <w:bookmarkStart w:id="26" w:name="methods"/>
    <w:p>
      <w:pPr>
        <w:pStyle w:val="Heading2"/>
      </w:pPr>
      <w:r>
        <w:t xml:space="preserve">3. Methods</w:t>
      </w:r>
    </w:p>
    <w:bookmarkStart w:id="15" w:name="corpus-and-data-sources"/>
    <w:p>
      <w:pPr>
        <w:pStyle w:val="Heading3"/>
      </w:pPr>
      <w:r>
        <w:t xml:space="preserve">3.1 Corpus and data sources</w:t>
      </w:r>
    </w:p>
    <w:p>
      <w:pPr>
        <w:pStyle w:val="FirstParagraph"/>
      </w:pPr>
      <w:r>
        <w:t xml:space="preserve">We harvested all records from 15 science-education journals indexed in</w:t>
      </w:r>
      <w:r>
        <w:t xml:space="preserve"> </w:t>
      </w:r>
      <w:r>
        <w:t xml:space="preserve">OpenAlex, with publication dates from 1 January 2019 to 31 December</w:t>
      </w:r>
      <w:r>
        <w:t xml:space="preserve"> </w:t>
      </w:r>
      <w:r>
        <w:t xml:space="preserve">2026. The 15 journals comprise five disciplinary education journals</w:t>
      </w:r>
      <w:r>
        <w:t xml:space="preserve"> </w:t>
      </w:r>
      <w:r>
        <w:t xml:space="preserve">(biology, chemistry, physics, geoscience, engineering), six general</w:t>
      </w:r>
      <w:r>
        <w:t xml:space="preserve"> </w:t>
      </w:r>
      <w:r>
        <w:t xml:space="preserve">science-education journals, three interdisciplinary STEM-education</w:t>
      </w:r>
      <w:r>
        <w:t xml:space="preserve"> </w:t>
      </w:r>
      <w:r>
        <w:t xml:space="preserve">journals, and DISER as the bridging venue. The STEM-education landscape</w:t>
      </w:r>
      <w:r>
        <w:t xml:space="preserve"> </w:t>
      </w:r>
      <w:r>
        <w:t xml:space="preserve">follows the National Research Council (2012) framework for K-12 science</w:t>
      </w:r>
      <w:r>
        <w:t xml:space="preserve"> </w:t>
      </w:r>
      <w:r>
        <w:t xml:space="preserve">education, and STEM inquiry traditions are well established (Bybee,</w:t>
      </w:r>
      <w:r>
        <w:t xml:space="preserve"> </w:t>
      </w:r>
      <w:r>
        <w:t xml:space="preserve">2013; Abd-El-Khalick, 2004). Journal ISSNs were verified</w:t>
      </w:r>
      <w:r>
        <w:t xml:space="preserve"> </w:t>
      </w:r>
      <w:r>
        <w:t xml:space="preserve">by name resolution with publisher confirmation; three initially recalled</w:t>
      </w:r>
      <w:r>
        <w:t xml:space="preserve"> </w:t>
      </w:r>
      <w:r>
        <w:t xml:space="preserve">ISSNs were rejected after resolving to incorrect titles, and all</w:t>
      </w:r>
      <w:r>
        <w:t xml:space="preserve"> </w:t>
      </w:r>
      <w:r>
        <w:t xml:space="preserve">recalled ISSNs were discarded before harvesting.</w:t>
      </w:r>
    </w:p>
    <w:p>
      <w:pPr>
        <w:pStyle w:val="BodyText"/>
      </w:pPr>
      <w:r>
        <w:t xml:space="preserve">Studies in Science Education (SSE, 73 records) exceeds this threshold and is retained; the small sample size is indicated by wider bootstrap intervals and in the coverage adjusted analysis (Section 3.7). All analyses and all tables and metrics include the Journal of Research in Science Teaching (JRST, 657 records).</w:t>
      </w:r>
    </w:p>
    <w:p>
      <w:pPr>
        <w:pStyle w:val="BodyText"/>
      </w:pPr>
      <w:r>
        <w:t xml:space="preserve">All records were retrieved from the OpenAlex REST API (api.openalex.org) with cursor paginated requests (200 records per page) and the raw JSONL responses were saved without any changes made by journal. OpenAlex abstract_inverted_index was used to reconstruct abstracts. Word counts from this source were validated against a PDF-measured exemplar (Chi et al., 2026: OpenAlex = 240 words vs. PDF = 241 words), showing that counts of abstracts are reliable within tokenization noise. We built a network of citations between journals that is directed and weighted based on the reference lists from OpenAlex.</w:t>
      </w:r>
    </w:p>
    <w:p>
      <w:pPr>
        <w:pStyle w:val="BodyText"/>
      </w:pPr>
      <w:r>
        <w:t xml:space="preserve">Table 1 shows the summary of the corpus by journal. The journal-size skew is significant, with JCE accounting for 5044 records (35.0% of the corpus), which we deal with using macro normalization (Section 3.5). The year 2026 is partial (1792 records harvested through 15 October 2026) and not included in any rate-based claim.</w:t>
      </w:r>
    </w:p>
    <w:p>
      <w:pPr>
        <w:pStyle w:val="BodyText"/>
      </w:pPr>
      <w:r>
        <w:rPr>
          <w:b/>
          <w:bCs/>
        </w:rPr>
        <w:t xml:space="preserve">Table 1.</w:t>
      </w:r>
      <w:r>
        <w:t xml:space="preserve"> </w:t>
      </w:r>
      <w:r>
        <w:t xml:space="preserve">Corpus descriptives: journal, discipline tag, works, share of corpus, reference completeness, and 95% CI.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Journal (tag)</w:t>
            </w:r>
          </w:p>
        </w:tc>
        <w:tc>
          <w:tcPr/>
          <w:p>
            <w:pPr>
              <w:pStyle w:val="Compact"/>
            </w:pPr>
            <w:r>
              <w:t xml:space="preserve">Discipline</w:t>
            </w:r>
          </w:p>
        </w:tc>
        <w:tc>
          <w:tcPr/>
          <w:p>
            <w:pPr>
              <w:pStyle w:val="Compact"/>
            </w:pPr>
            <w:r>
              <w:t xml:space="preserve">Works</w:t>
            </w:r>
          </w:p>
        </w:tc>
        <w:tc>
          <w:tcPr/>
          <w:p>
            <w:pPr>
              <w:pStyle w:val="Compact"/>
            </w:pPr>
            <w:r>
              <w:t xml:space="preserve">Share</w:t>
            </w:r>
          </w:p>
        </w:tc>
        <w:tc>
          <w:tcPr/>
          <w:p>
            <w:pPr>
              <w:pStyle w:val="Compact"/>
            </w:pPr>
            <w:r>
              <w:t xml:space="preserve">Ref. completeness</w:t>
            </w:r>
          </w:p>
        </w:tc>
        <w:tc>
          <w:tcPr/>
          <w:p>
            <w:pPr>
              <w:pStyle w:val="Compact"/>
            </w:pPr>
            <w:r>
              <w:t xml:space="preserve">95% CI for completeness</w:t>
            </w:r>
          </w:p>
        </w:tc>
      </w:tr>
      <w:tr>
        <w:tc>
          <w:tcPr/>
          <w:p>
            <w:pPr>
              <w:pStyle w:val="Compact"/>
            </w:pPr>
            <w:r>
              <w:t xml:space="preserve">Journal of Chemical Education (jce)</w:t>
            </w:r>
          </w:p>
        </w:tc>
        <w:tc>
          <w:tcPr/>
          <w:p>
            <w:pPr>
              <w:pStyle w:val="Compact"/>
            </w:pPr>
            <w:r>
              <w:t xml:space="preserve">Chemistry</w:t>
            </w:r>
          </w:p>
        </w:tc>
        <w:tc>
          <w:tcPr/>
          <w:p>
            <w:pPr>
              <w:pStyle w:val="Compact"/>
            </w:pPr>
            <w:r>
              <w:t xml:space="preserve">5044</w:t>
            </w:r>
          </w:p>
        </w:tc>
        <w:tc>
          <w:tcPr/>
          <w:p>
            <w:pPr>
              <w:pStyle w:val="Compact"/>
            </w:pPr>
            <w:r>
              <w:t xml:space="preserve">35.2%</w:t>
            </w:r>
          </w:p>
        </w:tc>
        <w:tc>
          <w:tcPr/>
          <w:p>
            <w:pPr>
              <w:pStyle w:val="Compact"/>
            </w:pPr>
            <w:r>
              <w:t xml:space="preserve">0.78</w:t>
            </w:r>
          </w:p>
        </w:tc>
        <w:tc>
          <w:tcPr/>
          <w:p>
            <w:pPr>
              <w:pStyle w:val="Compact"/>
            </w:pPr>
            <w:r>
              <w:t xml:space="preserve">[0.71, 0.85]</w:t>
            </w:r>
          </w:p>
        </w:tc>
      </w:tr>
      <w:tr>
        <w:tc>
          <w:tcPr/>
          <w:p>
            <w:pPr>
              <w:pStyle w:val="Compact"/>
            </w:pPr>
            <w:r>
              <w:t xml:space="preserve">Physics Education (physed)</w:t>
            </w:r>
          </w:p>
        </w:tc>
        <w:tc>
          <w:tcPr/>
          <w:p>
            <w:pPr>
              <w:pStyle w:val="Compact"/>
            </w:pPr>
            <w:r>
              <w:t xml:space="preserve">Physics</w:t>
            </w:r>
          </w:p>
        </w:tc>
        <w:tc>
          <w:tcPr/>
          <w:p>
            <w:pPr>
              <w:pStyle w:val="Compact"/>
            </w:pPr>
            <w:r>
              <w:t xml:space="preserve">1898</w:t>
            </w:r>
          </w:p>
        </w:tc>
        <w:tc>
          <w:tcPr/>
          <w:p>
            <w:pPr>
              <w:pStyle w:val="Compact"/>
            </w:pPr>
            <w:r>
              <w:t xml:space="preserve">13.2%</w:t>
            </w:r>
          </w:p>
        </w:tc>
        <w:tc>
          <w:tcPr/>
          <w:p>
            <w:pPr>
              <w:pStyle w:val="Compact"/>
            </w:pPr>
            <w:r>
              <w:t xml:space="preserve">0.71</w:t>
            </w:r>
          </w:p>
        </w:tc>
        <w:tc>
          <w:tcPr/>
          <w:p>
            <w:pPr>
              <w:pStyle w:val="Compact"/>
            </w:pPr>
            <w:r>
              <w:t xml:space="preserve">[0.63, 0.79]</w:t>
            </w:r>
          </w:p>
        </w:tc>
      </w:tr>
      <w:tr>
        <w:tc>
          <w:tcPr/>
          <w:p>
            <w:pPr>
              <w:pStyle w:val="Compact"/>
            </w:pPr>
            <w:r>
              <w:t xml:space="preserve">International Journal of Science Education (ijse)</w:t>
            </w:r>
          </w:p>
        </w:tc>
        <w:tc>
          <w:tcPr/>
          <w:p>
            <w:pPr>
              <w:pStyle w:val="Compact"/>
            </w:pPr>
            <w:r>
              <w:t xml:space="preserve">General</w:t>
            </w:r>
          </w:p>
        </w:tc>
        <w:tc>
          <w:tcPr/>
          <w:p>
            <w:pPr>
              <w:pStyle w:val="Compact"/>
            </w:pPr>
            <w:r>
              <w:t xml:space="preserve">1106</w:t>
            </w:r>
          </w:p>
        </w:tc>
        <w:tc>
          <w:tcPr/>
          <w:p>
            <w:pPr>
              <w:pStyle w:val="Compact"/>
            </w:pPr>
            <w:r>
              <w:t xml:space="preserve">7.7%</w:t>
            </w:r>
          </w:p>
        </w:tc>
        <w:tc>
          <w:tcPr/>
          <w:p>
            <w:pPr>
              <w:pStyle w:val="Compact"/>
            </w:pPr>
            <w:r>
              <w:t xml:space="preserve">0.74</w:t>
            </w:r>
          </w:p>
        </w:tc>
        <w:tc>
          <w:tcPr/>
          <w:p>
            <w:pPr>
              <w:pStyle w:val="Compact"/>
            </w:pPr>
            <w:r>
              <w:t xml:space="preserve">[0.66, 0.82]</w:t>
            </w:r>
          </w:p>
        </w:tc>
      </w:tr>
      <w:tr>
        <w:tc>
          <w:tcPr/>
          <w:p>
            <w:pPr>
              <w:pStyle w:val="Compact"/>
            </w:pPr>
            <w:r>
              <w:t xml:space="preserve">Science Education (science_education)</w:t>
            </w:r>
          </w:p>
        </w:tc>
        <w:tc>
          <w:tcPr/>
          <w:p>
            <w:pPr>
              <w:pStyle w:val="Compact"/>
            </w:pPr>
            <w:r>
              <w:t xml:space="preserve">General</w:t>
            </w:r>
          </w:p>
        </w:tc>
        <w:tc>
          <w:tcPr/>
          <w:p>
            <w:pPr>
              <w:pStyle w:val="Compact"/>
            </w:pPr>
            <w:r>
              <w:t xml:space="preserve">881</w:t>
            </w:r>
          </w:p>
        </w:tc>
        <w:tc>
          <w:tcPr/>
          <w:p>
            <w:pPr>
              <w:pStyle w:val="Compact"/>
            </w:pPr>
            <w:r>
              <w:t xml:space="preserve">6.1%</w:t>
            </w:r>
          </w:p>
        </w:tc>
        <w:tc>
          <w:tcPr/>
          <w:p>
            <w:pPr>
              <w:pStyle w:val="Compact"/>
            </w:pPr>
            <w:r>
              <w:t xml:space="preserve">0.79</w:t>
            </w:r>
          </w:p>
        </w:tc>
        <w:tc>
          <w:tcPr/>
          <w:p>
            <w:pPr>
              <w:pStyle w:val="Compact"/>
            </w:pPr>
            <w:r>
              <w:t xml:space="preserve">[0.72, 0.86]</w:t>
            </w:r>
          </w:p>
        </w:tc>
      </w:tr>
      <w:tr>
        <w:tc>
          <w:tcPr/>
          <w:p>
            <w:pPr>
              <w:pStyle w:val="Compact"/>
            </w:pPr>
            <w:r>
              <w:t xml:space="preserve">European Journal of Engineering Education (ejee)</w:t>
            </w:r>
          </w:p>
        </w:tc>
        <w:tc>
          <w:tcPr/>
          <w:p>
            <w:pPr>
              <w:pStyle w:val="Compact"/>
            </w:pPr>
            <w:r>
              <w:t xml:space="preserve">Engineering</w:t>
            </w:r>
          </w:p>
        </w:tc>
        <w:tc>
          <w:tcPr/>
          <w:p>
            <w:pPr>
              <w:pStyle w:val="Compact"/>
            </w:pPr>
            <w:r>
              <w:t xml:space="preserve">573</w:t>
            </w:r>
          </w:p>
        </w:tc>
        <w:tc>
          <w:tcPr/>
          <w:p>
            <w:pPr>
              <w:pStyle w:val="Compact"/>
            </w:pPr>
            <w:r>
              <w:t xml:space="preserve">4.0%</w:t>
            </w:r>
          </w:p>
        </w:tc>
        <w:tc>
          <w:tcPr/>
          <w:p>
            <w:pPr>
              <w:pStyle w:val="Compact"/>
            </w:pPr>
            <w:r>
              <w:t xml:space="preserve">0.69</w:t>
            </w:r>
          </w:p>
        </w:tc>
        <w:tc>
          <w:tcPr/>
          <w:p>
            <w:pPr>
              <w:pStyle w:val="Compact"/>
            </w:pPr>
            <w:r>
              <w:t xml:space="preserve">[0.60, 0.78]</w:t>
            </w:r>
          </w:p>
        </w:tc>
      </w:tr>
      <w:tr>
        <w:tc>
          <w:tcPr/>
          <w:p>
            <w:pPr>
              <w:pStyle w:val="Compact"/>
            </w:pPr>
            <w:r>
              <w:t xml:space="preserve">Journal of Research in Science Teaching (jrst)</w:t>
            </w:r>
          </w:p>
        </w:tc>
        <w:tc>
          <w:tcPr/>
          <w:p>
            <w:pPr>
              <w:pStyle w:val="Compact"/>
            </w:pPr>
            <w:r>
              <w:t xml:space="preserve">General</w:t>
            </w:r>
          </w:p>
        </w:tc>
        <w:tc>
          <w:tcPr/>
          <w:p>
            <w:pPr>
              <w:pStyle w:val="Compact"/>
            </w:pPr>
            <w:r>
              <w:t xml:space="preserve">657</w:t>
            </w:r>
          </w:p>
        </w:tc>
        <w:tc>
          <w:tcPr/>
          <w:p>
            <w:pPr>
              <w:pStyle w:val="Compact"/>
            </w:pPr>
            <w:r>
              <w:t xml:space="preserve">4.6%</w:t>
            </w:r>
          </w:p>
        </w:tc>
        <w:tc>
          <w:tcPr/>
          <w:p>
            <w:pPr>
              <w:pStyle w:val="Compact"/>
            </w:pPr>
            <w:r>
              <w:t xml:space="preserve">0.81</w:t>
            </w:r>
          </w:p>
        </w:tc>
        <w:tc>
          <w:tcPr/>
          <w:p>
            <w:pPr>
              <w:pStyle w:val="Compact"/>
            </w:pPr>
            <w:r>
              <w:t xml:space="preserve">[0.74, 0.88]</w:t>
            </w:r>
          </w:p>
        </w:tc>
      </w:tr>
      <w:tr>
        <w:tc>
          <w:tcPr/>
          <w:p>
            <w:pPr>
              <w:pStyle w:val="Compact"/>
            </w:pPr>
            <w:r>
              <w:t xml:space="preserve">Chemistry Education Research and Practice (cerp)</w:t>
            </w:r>
          </w:p>
        </w:tc>
        <w:tc>
          <w:tcPr/>
          <w:p>
            <w:pPr>
              <w:pStyle w:val="Compact"/>
            </w:pPr>
            <w:r>
              <w:t xml:space="preserve">Chemistry</w:t>
            </w:r>
          </w:p>
        </w:tc>
        <w:tc>
          <w:tcPr/>
          <w:p>
            <w:pPr>
              <w:pStyle w:val="Compact"/>
            </w:pPr>
            <w:r>
              <w:t xml:space="preserve">655</w:t>
            </w:r>
          </w:p>
        </w:tc>
        <w:tc>
          <w:tcPr/>
          <w:p>
            <w:pPr>
              <w:pStyle w:val="Compact"/>
            </w:pPr>
            <w:r>
              <w:t xml:space="preserve">4.6%</w:t>
            </w:r>
          </w:p>
        </w:tc>
        <w:tc>
          <w:tcPr/>
          <w:p>
            <w:pPr>
              <w:pStyle w:val="Compact"/>
            </w:pPr>
            <w:r>
              <w:t xml:space="preserve">0.76</w:t>
            </w:r>
          </w:p>
        </w:tc>
        <w:tc>
          <w:tcPr/>
          <w:p>
            <w:pPr>
              <w:pStyle w:val="Compact"/>
            </w:pPr>
            <w:r>
              <w:t xml:space="preserve">[0.68, 0.84]</w:t>
            </w:r>
          </w:p>
        </w:tc>
      </w:tr>
      <w:tr>
        <w:tc>
          <w:tcPr/>
          <w:p>
            <w:pPr>
              <w:pStyle w:val="Compact"/>
            </w:pPr>
            <w:r>
              <w:t xml:space="preserve">Journal of Biological Education (jbe)</w:t>
            </w:r>
          </w:p>
        </w:tc>
        <w:tc>
          <w:tcPr/>
          <w:p>
            <w:pPr>
              <w:pStyle w:val="Compact"/>
            </w:pPr>
            <w:r>
              <w:t xml:space="preserve">Biology</w:t>
            </w:r>
          </w:p>
        </w:tc>
        <w:tc>
          <w:tcPr/>
          <w:p>
            <w:pPr>
              <w:pStyle w:val="Compact"/>
            </w:pPr>
            <w:r>
              <w:t xml:space="preserve">469</w:t>
            </w:r>
          </w:p>
        </w:tc>
        <w:tc>
          <w:tcPr/>
          <w:p>
            <w:pPr>
              <w:pStyle w:val="Compact"/>
            </w:pPr>
            <w:r>
              <w:t xml:space="preserve">3.3%</w:t>
            </w:r>
          </w:p>
        </w:tc>
        <w:tc>
          <w:tcPr/>
          <w:p>
            <w:pPr>
              <w:pStyle w:val="Compact"/>
            </w:pPr>
            <w:r>
              <w:t xml:space="preserve">0.73</w:t>
            </w:r>
          </w:p>
        </w:tc>
        <w:tc>
          <w:tcPr/>
          <w:p>
            <w:pPr>
              <w:pStyle w:val="Compact"/>
            </w:pPr>
            <w:r>
              <w:t xml:space="preserve">[0.64, 0.82]</w:t>
            </w:r>
          </w:p>
        </w:tc>
      </w:tr>
      <w:tr>
        <w:tc>
          <w:tcPr/>
          <w:p>
            <w:pPr>
              <w:pStyle w:val="Compact"/>
            </w:pPr>
            <w:r>
              <w:t xml:space="preserve">Research in Science Education (rse)</w:t>
            </w:r>
          </w:p>
        </w:tc>
        <w:tc>
          <w:tcPr/>
          <w:p>
            <w:pPr>
              <w:pStyle w:val="Compact"/>
            </w:pPr>
            <w:r>
              <w:t xml:space="preserve">General</w:t>
            </w:r>
          </w:p>
        </w:tc>
        <w:tc>
          <w:tcPr/>
          <w:p>
            <w:pPr>
              <w:pStyle w:val="Compact"/>
            </w:pPr>
            <w:r>
              <w:t xml:space="preserve">578</w:t>
            </w:r>
          </w:p>
        </w:tc>
        <w:tc>
          <w:tcPr/>
          <w:p>
            <w:pPr>
              <w:pStyle w:val="Compact"/>
            </w:pPr>
            <w:r>
              <w:t xml:space="preserve">4.0%</w:t>
            </w:r>
          </w:p>
        </w:tc>
        <w:tc>
          <w:tcPr/>
          <w:p>
            <w:pPr>
              <w:pStyle w:val="Compact"/>
            </w:pPr>
            <w:r>
              <w:t xml:space="preserve">0.68</w:t>
            </w:r>
          </w:p>
        </w:tc>
        <w:tc>
          <w:tcPr/>
          <w:p>
            <w:pPr>
              <w:pStyle w:val="Compact"/>
            </w:pPr>
            <w:r>
              <w:t xml:space="preserve">[0.59, 0.77]</w:t>
            </w:r>
          </w:p>
        </w:tc>
      </w:tr>
      <w:tr>
        <w:tc>
          <w:tcPr/>
          <w:p>
            <w:pPr>
              <w:pStyle w:val="Compact"/>
            </w:pPr>
            <w:r>
              <w:t xml:space="preserve">International Journal of STEM Education (ijsted)</w:t>
            </w:r>
          </w:p>
        </w:tc>
        <w:tc>
          <w:tcPr/>
          <w:p>
            <w:pPr>
              <w:pStyle w:val="Compact"/>
            </w:pPr>
            <w:r>
              <w:t xml:space="preserve">Interdisciplinary</w:t>
            </w:r>
          </w:p>
        </w:tc>
        <w:tc>
          <w:tcPr/>
          <w:p>
            <w:pPr>
              <w:pStyle w:val="Compact"/>
            </w:pPr>
            <w:r>
              <w:t xml:space="preserve">496</w:t>
            </w:r>
          </w:p>
        </w:tc>
        <w:tc>
          <w:tcPr/>
          <w:p>
            <w:pPr>
              <w:pStyle w:val="Compact"/>
            </w:pPr>
            <w:r>
              <w:t xml:space="preserve">3.5%</w:t>
            </w:r>
          </w:p>
        </w:tc>
        <w:tc>
          <w:tcPr/>
          <w:p>
            <w:pPr>
              <w:pStyle w:val="Compact"/>
            </w:pPr>
            <w:r>
              <w:t xml:space="preserve">0.72</w:t>
            </w:r>
          </w:p>
        </w:tc>
        <w:tc>
          <w:tcPr/>
          <w:p>
            <w:pPr>
              <w:pStyle w:val="Compact"/>
            </w:pPr>
            <w:r>
              <w:t xml:space="preserve">[0.63, 0.81]</w:t>
            </w:r>
          </w:p>
        </w:tc>
      </w:tr>
      <w:tr>
        <w:tc>
          <w:tcPr/>
          <w:p>
            <w:pPr>
              <w:pStyle w:val="Compact"/>
            </w:pPr>
            <w:r>
              <w:t xml:space="preserve">Journal of Engineering Education (jee)</w:t>
            </w:r>
          </w:p>
        </w:tc>
        <w:tc>
          <w:tcPr/>
          <w:p>
            <w:pPr>
              <w:pStyle w:val="Compact"/>
            </w:pPr>
            <w:r>
              <w:t xml:space="preserve">Engineering</w:t>
            </w:r>
          </w:p>
        </w:tc>
        <w:tc>
          <w:tcPr/>
          <w:p>
            <w:pPr>
              <w:pStyle w:val="Compact"/>
            </w:pPr>
            <w:r>
              <w:t xml:space="preserve">486</w:t>
            </w:r>
          </w:p>
        </w:tc>
        <w:tc>
          <w:tcPr/>
          <w:p>
            <w:pPr>
              <w:pStyle w:val="Compact"/>
            </w:pPr>
            <w:r>
              <w:t xml:space="preserve">3.4%</w:t>
            </w:r>
          </w:p>
        </w:tc>
        <w:tc>
          <w:tcPr/>
          <w:p>
            <w:pPr>
              <w:pStyle w:val="Compact"/>
            </w:pPr>
            <w:r>
              <w:t xml:space="preserve">0.77</w:t>
            </w:r>
          </w:p>
        </w:tc>
        <w:tc>
          <w:tcPr/>
          <w:p>
            <w:pPr>
              <w:pStyle w:val="Compact"/>
            </w:pPr>
            <w:r>
              <w:t xml:space="preserve">[0.69, 0.85]</w:t>
            </w:r>
          </w:p>
        </w:tc>
      </w:tr>
      <w:tr>
        <w:tc>
          <w:tcPr/>
          <w:p>
            <w:pPr>
              <w:pStyle w:val="Compact"/>
            </w:pPr>
            <w:r>
              <w:t xml:space="preserve">Journal of Geoscience Education (jge)</w:t>
            </w:r>
          </w:p>
        </w:tc>
        <w:tc>
          <w:tcPr/>
          <w:p>
            <w:pPr>
              <w:pStyle w:val="Compact"/>
            </w:pPr>
            <w:r>
              <w:t xml:space="preserve">Geoscience</w:t>
            </w:r>
          </w:p>
        </w:tc>
        <w:tc>
          <w:tcPr/>
          <w:p>
            <w:pPr>
              <w:pStyle w:val="Compact"/>
            </w:pPr>
            <w:r>
              <w:t xml:space="preserve">324</w:t>
            </w:r>
          </w:p>
        </w:tc>
        <w:tc>
          <w:tcPr/>
          <w:p>
            <w:pPr>
              <w:pStyle w:val="Compact"/>
            </w:pPr>
            <w:r>
              <w:t xml:space="preserve">2.3%</w:t>
            </w:r>
          </w:p>
        </w:tc>
        <w:tc>
          <w:tcPr/>
          <w:p>
            <w:pPr>
              <w:pStyle w:val="Compact"/>
            </w:pPr>
            <w:r>
              <w:t xml:space="preserve">0.70</w:t>
            </w:r>
          </w:p>
        </w:tc>
        <w:tc>
          <w:tcPr/>
          <w:p>
            <w:pPr>
              <w:pStyle w:val="Compact"/>
            </w:pPr>
            <w:r>
              <w:t xml:space="preserve">[0.61, 0.79]</w:t>
            </w:r>
          </w:p>
        </w:tc>
      </w:tr>
      <w:tr>
        <w:tc>
          <w:tcPr/>
          <w:p>
            <w:pPr>
              <w:pStyle w:val="Compact"/>
            </w:pPr>
            <w:r>
              <w:t xml:space="preserve">Studies in Science Education (sse)</w:t>
            </w:r>
          </w:p>
        </w:tc>
        <w:tc>
          <w:tcPr/>
          <w:p>
            <w:pPr>
              <w:pStyle w:val="Compact"/>
            </w:pPr>
            <w:r>
              <w:t xml:space="preserve">General</w:t>
            </w:r>
          </w:p>
        </w:tc>
        <w:tc>
          <w:tcPr/>
          <w:p>
            <w:pPr>
              <w:pStyle w:val="Compact"/>
            </w:pPr>
            <w:r>
              <w:t xml:space="preserve">73</w:t>
            </w:r>
          </w:p>
        </w:tc>
        <w:tc>
          <w:tcPr/>
          <w:p>
            <w:pPr>
              <w:pStyle w:val="Compact"/>
            </w:pPr>
            <w:r>
              <w:t xml:space="preserve">0.5%</w:t>
            </w:r>
          </w:p>
        </w:tc>
        <w:tc>
          <w:tcPr/>
          <w:p>
            <w:pPr>
              <w:pStyle w:val="Compact"/>
            </w:pPr>
            <w:r>
              <w:t xml:space="preserve">0.65</w:t>
            </w:r>
          </w:p>
        </w:tc>
        <w:tc>
          <w:tcPr/>
          <w:p>
            <w:pPr>
              <w:pStyle w:val="Compact"/>
            </w:pPr>
            <w:r>
              <w:t xml:space="preserve">[0.49, 0.81]</w:t>
            </w:r>
          </w:p>
        </w:tc>
      </w:tr>
      <w:tr>
        <w:tc>
          <w:tcPr/>
          <w:p>
            <w:pPr>
              <w:pStyle w:val="Compact"/>
            </w:pPr>
            <w:r>
              <w:t xml:space="preserve">Physical Review Physics Education Research (prper)</w:t>
            </w:r>
          </w:p>
        </w:tc>
        <w:tc>
          <w:tcPr/>
          <w:p>
            <w:pPr>
              <w:pStyle w:val="Compact"/>
            </w:pPr>
            <w:r>
              <w:t xml:space="preserve">Physics</w:t>
            </w:r>
          </w:p>
        </w:tc>
        <w:tc>
          <w:tcPr/>
          <w:p>
            <w:pPr>
              <w:pStyle w:val="Compact"/>
            </w:pPr>
            <w:r>
              <w:t xml:space="preserve">916</w:t>
            </w:r>
          </w:p>
        </w:tc>
        <w:tc>
          <w:tcPr/>
          <w:p>
            <w:pPr>
              <w:pStyle w:val="Compact"/>
            </w:pPr>
            <w:r>
              <w:t xml:space="preserve">6.4%</w:t>
            </w:r>
          </w:p>
        </w:tc>
        <w:tc>
          <w:tcPr/>
          <w:p>
            <w:pPr>
              <w:pStyle w:val="Compact"/>
            </w:pPr>
            <w:r>
              <w:t xml:space="preserve">0.75</w:t>
            </w:r>
          </w:p>
        </w:tc>
        <w:tc>
          <w:tcPr/>
          <w:p>
            <w:pPr>
              <w:pStyle w:val="Compact"/>
            </w:pPr>
            <w:r>
              <w:t xml:space="preserve">[0.67, 0.83]</w:t>
            </w:r>
          </w:p>
        </w:tc>
      </w:tr>
      <w:tr>
        <w:tc>
          <w:tcPr/>
          <w:p>
            <w:pPr>
              <w:pStyle w:val="Compact"/>
            </w:pPr>
            <w:r>
              <w:t xml:space="preserve">Disciplinary and Interdisciplinary Science Education Research (diser)</w:t>
            </w:r>
          </w:p>
        </w:tc>
        <w:tc>
          <w:tcPr/>
          <w:p>
            <w:pPr>
              <w:pStyle w:val="Compact"/>
            </w:pPr>
            <w:r>
              <w:t xml:space="preserve">Bridge</w:t>
            </w:r>
          </w:p>
        </w:tc>
        <w:tc>
          <w:tcPr/>
          <w:p>
            <w:pPr>
              <w:pStyle w:val="Compact"/>
            </w:pPr>
            <w:r>
              <w:t xml:space="preserve">177</w:t>
            </w:r>
          </w:p>
        </w:tc>
        <w:tc>
          <w:tcPr/>
          <w:p>
            <w:pPr>
              <w:pStyle w:val="Compact"/>
            </w:pPr>
            <w:r>
              <w:t xml:space="preserve">1.2%</w:t>
            </w:r>
          </w:p>
        </w:tc>
        <w:tc>
          <w:tcPr/>
          <w:p>
            <w:pPr>
              <w:pStyle w:val="Compact"/>
            </w:pPr>
            <w:r>
              <w:t xml:space="preserve">0.58</w:t>
            </w:r>
          </w:p>
        </w:tc>
        <w:tc>
          <w:tcPr/>
          <w:p>
            <w:pPr>
              <w:pStyle w:val="Compact"/>
            </w:pPr>
            <w:r>
              <w:t xml:space="preserve">[0.47, 0.69]</w:t>
            </w:r>
          </w:p>
        </w:tc>
      </w:tr>
      <w:tr>
        <w:tc>
          <w:tcPr/>
          <w:p>
            <w:pPr>
              <w:pStyle w:val="Compact"/>
            </w:pPr>
            <w:r>
              <w:rPr>
                <w:b/>
                <w:bCs/>
              </w:rPr>
              <w:t xml:space="preserve">Total</w:t>
            </w:r>
          </w:p>
        </w:tc>
        <w:tc>
          <w:tcPr/>
          <w:p>
            <w:pPr>
              <w:pStyle w:val="Compact"/>
            </w:pPr>
          </w:p>
        </w:tc>
        <w:tc>
          <w:tcPr/>
          <w:p>
            <w:pPr>
              <w:pStyle w:val="Compact"/>
            </w:pPr>
            <w:r>
              <w:rPr>
                <w:b/>
                <w:bCs/>
              </w:rPr>
              <w:t xml:space="preserve">14333</w:t>
            </w:r>
          </w:p>
        </w:tc>
        <w:tc>
          <w:tcPr/>
          <w:p>
            <w:pPr>
              <w:pStyle w:val="Compact"/>
            </w:pPr>
            <w:r>
              <w:rPr>
                <w:b/>
                <w:bCs/>
              </w:rPr>
              <w:t xml:space="preserve">100.0%</w:t>
            </w:r>
          </w:p>
        </w:tc>
        <w:tc>
          <w:tcPr/>
          <w:p>
            <w:pPr>
              <w:pStyle w:val="Compact"/>
            </w:pPr>
            <w:r>
              <w:t xml:space="preserve">-</w:t>
            </w:r>
          </w:p>
        </w:tc>
        <w:tc>
          <w:tcPr/>
          <w:p>
            <w:pPr>
              <w:pStyle w:val="Compact"/>
            </w:pPr>
            <w:r>
              <w:t xml:space="preserve">-</w:t>
            </w:r>
          </w:p>
        </w:tc>
      </w:tr>
    </w:tbl>
    <w:bookmarkEnd w:id="15"/>
    <w:bookmarkStart w:id="16" w:name="missing-abstract-policy-p1"/>
    <w:p>
      <w:pPr>
        <w:pStyle w:val="Heading3"/>
      </w:pPr>
      <w:r>
        <w:t xml:space="preserve">3.2 Missing-abstract policy (P1)</w:t>
      </w:r>
    </w:p>
    <w:p>
      <w:pPr>
        <w:pStyle w:val="FirstParagraph"/>
      </w:pPr>
      <w:r>
        <w:t xml:space="preserve">Abstracts were reconstructed from OpenAlex</w:t>
      </w:r>
      <w:r>
        <w:t xml:space="preserve"> </w:t>
      </w:r>
      <w:r>
        <w:rPr>
          <w:rStyle w:val="VerbatimChar"/>
        </w:rPr>
        <w:t xml:space="preserve">abstract_inverted_index</w:t>
      </w:r>
      <w:r>
        <w:t xml:space="preserve">.</w:t>
      </w:r>
      <w:r>
        <w:t xml:space="preserve"> </w:t>
      </w:r>
      <w:r>
        <w:t xml:space="preserve">Word counts from this source were validated against a PDF-measured</w:t>
      </w:r>
      <w:r>
        <w:t xml:space="preserve"> </w:t>
      </w:r>
      <w:r>
        <w:t xml:space="preserve">exemplar (Chi et al., 2026: OpenAlex = 240 words vs. PDF = 241 words),</w:t>
      </w:r>
      <w:r>
        <w:t xml:space="preserve"> </w:t>
      </w:r>
      <w:r>
        <w:t xml:space="preserve">confirming abstract counts as reliable within tokenization noise.</w:t>
      </w:r>
    </w:p>
    <w:bookmarkEnd w:id="16"/>
    <w:bookmarkStart w:id="17" w:name="citation-network-construction-p2"/>
    <w:p>
      <w:pPr>
        <w:pStyle w:val="Heading3"/>
      </w:pPr>
      <w:r>
        <w:t xml:space="preserve">3.3 Citation-network construction (P2)</w:t>
      </w:r>
    </w:p>
    <w:p>
      <w:pPr>
        <w:pStyle w:val="FirstParagraph"/>
      </w:pPr>
      <w:r>
        <w:t xml:space="preserve">We constructed a directed, weighted inter-journal citation network from</w:t>
      </w:r>
      <w:r>
        <w:t xml:space="preserve"> </w:t>
      </w:r>
      <w:r>
        <w:t xml:space="preserve">OpenAlex reference lists. An edge from journal A to journal B is</w:t>
      </w:r>
      <w:r>
        <w:t xml:space="preserve"> </w:t>
      </w:r>
      <w:r>
        <w:t xml:space="preserve">recorded when a work published in A cites a work published in B, where</w:t>
      </w:r>
      <w:r>
        <w:t xml:space="preserve"> </w:t>
      </w:r>
      <w:r>
        <w:t xml:space="preserve">both works are in the 15-journal corpus. Edge weights equal the number</w:t>
      </w:r>
      <w:r>
        <w:t xml:space="preserve"> </w:t>
      </w:r>
      <w:r>
        <w:t xml:space="preserve">of citation instances from A to B (a work may cite multiple works from</w:t>
      </w:r>
      <w:r>
        <w:t xml:space="preserve"> </w:t>
      </w:r>
      <w:r>
        <w:t xml:space="preserve">the same target journal). Edges to works outside the corpus are counted</w:t>
      </w:r>
      <w:r>
        <w:t xml:space="preserve"> </w:t>
      </w:r>
      <w:r>
        <w:t xml:space="preserve">but not modeled (563289 total references emitted; 50965 internal,</w:t>
      </w:r>
      <w:r>
        <w:t xml:space="preserve"> </w:t>
      </w:r>
      <w:r>
        <w:t xml:space="preserve">9.05%). Self-cite share is reported separately. Loops (A citing A) are retained.</w:t>
      </w:r>
    </w:p>
    <w:p>
      <w:pPr>
        <w:pStyle w:val="BodyText"/>
      </w:pPr>
      <w:r>
        <w:t xml:space="preserve">The other 90.95% of references are to other journals. Findings therefore characterize</w:t>
      </w:r>
      <w:r>
        <w:t xml:space="preserve"> </w:t>
      </w:r>
      <w:r>
        <w:rPr>
          <w:i/>
          <w:iCs/>
        </w:rPr>
        <w:t xml:space="preserve">intra-system</w:t>
      </w:r>
      <w:r>
        <w:t xml:space="preserve"> </w:t>
      </w:r>
      <w:r>
        <w:t xml:space="preserve">citation exchange only; statements about</w:t>
      </w:r>
      <w:r>
        <w:t xml:space="preserve"> </w:t>
      </w:r>
      <w:r>
        <w:t xml:space="preserve">“silence between disciplines”</w:t>
      </w:r>
      <w:r>
        <w:t xml:space="preserve"> </w:t>
      </w:r>
      <w:r>
        <w:t xml:space="preserve">should be interpreted in the context of per-journal reference-coverage differentials (Gate A limitation 2).</w:t>
      </w:r>
    </w:p>
    <w:p>
      <w:pPr>
        <w:pStyle w:val="BodyText"/>
      </w:pPr>
      <w:r>
        <w:t xml:space="preserve">The citation network follows the weighted directed model described by</w:t>
      </w:r>
      <w:r>
        <w:t xml:space="preserve"> </w:t>
      </w:r>
      <w:r>
        <w:t xml:space="preserve">Leydesdorff, Wagner, and Bornmann (2018) and the E-I index is computed</w:t>
      </w:r>
      <w:r>
        <w:t xml:space="preserve"> </w:t>
      </w:r>
      <w:r>
        <w:t xml:space="preserve">following Krackhardt and Stern (1988). Network properties are</w:t>
      </w:r>
      <w:r>
        <w:t xml:space="preserve"> </w:t>
      </w:r>
      <w:r>
        <w:t xml:space="preserve">assessed following Newman (2010).</w:t>
      </w:r>
    </w:p>
    <w:p>
      <w:pPr>
        <w:pStyle w:val="BodyText"/>
      </w:pPr>
      <w:r>
        <w:rPr>
          <w:b/>
          <w:bCs/>
        </w:rPr>
        <w:t xml:space="preserve">Topical tags.</w:t>
      </w:r>
      <w:r>
        <w:t xml:space="preserve"> </w:t>
      </w:r>
      <w:r>
        <w:t xml:space="preserve">Every journal is assigned one of eight topical tags by</w:t>
      </w:r>
      <w:r>
        <w:t xml:space="preserve"> </w:t>
      </w:r>
      <w:r>
        <w:t xml:space="preserve">scope: biology (JBE), chemistry (JCE, CERP), physics (PHYSED, PRPER),</w:t>
      </w:r>
      <w:r>
        <w:t xml:space="preserve"> </w:t>
      </w:r>
      <w:r>
        <w:t xml:space="preserve">geoscience (JGE), engineering (JEE, EJEE), general science education</w:t>
      </w:r>
      <w:r>
        <w:t xml:space="preserve"> </w:t>
      </w:r>
      <w:r>
        <w:t xml:space="preserve">(SSE, SE, JRST, IJSE, RSE), interdisciplinary STEM education</w:t>
      </w:r>
      <w:r>
        <w:t xml:space="preserve"> </w:t>
      </w:r>
      <w:r>
        <w:t xml:space="preserve">(IJSTEMed), and bridge (DISER). A citation is</w:t>
      </w:r>
      <w:r>
        <w:t xml:space="preserve"> </w:t>
      </w:r>
      <w:r>
        <w:rPr>
          <w:i/>
          <w:iCs/>
        </w:rPr>
        <w:t xml:space="preserve">same-tag</w:t>
      </w:r>
      <w:r>
        <w:t xml:space="preserve"> </w:t>
      </w:r>
      <w:r>
        <w:t xml:space="preserve">when citing and</w:t>
      </w:r>
      <w:r>
        <w:t xml:space="preserve"> </w:t>
      </w:r>
      <w:r>
        <w:t xml:space="preserve">cited works belong to journals with the same tag, and</w:t>
      </w:r>
      <w:r>
        <w:t xml:space="preserve"> </w:t>
      </w:r>
      <w:r>
        <w:rPr>
          <w:i/>
          <w:iCs/>
        </w:rPr>
        <w:t xml:space="preserve">cross-tag</w:t>
      </w:r>
      <w:r>
        <w:t xml:space="preserve"> </w:t>
      </w:r>
      <w:r>
        <w:t xml:space="preserve">otherwise; topic-level cross-tag shares aggregate the tags of the member</w:t>
      </w:r>
      <w:r>
        <w:t xml:space="preserve"> </w:t>
      </w:r>
      <w:r>
        <w:t xml:space="preserve">works’ journals, so topic tags are derived from venue assignment rather</w:t>
      </w:r>
      <w:r>
        <w:t xml:space="preserve"> </w:t>
      </w:r>
      <w:r>
        <w:t xml:space="preserve">than assigned by hand. Table 3 lists the journal-to-tag mapping (via tag column in Table 1).</w:t>
      </w:r>
    </w:p>
    <w:p>
      <w:pPr>
        <w:pStyle w:val="BodyText"/>
      </w:pPr>
      <w:r>
        <w:rPr>
          <w:b/>
          <w:bCs/>
        </w:rPr>
        <w:t xml:space="preserve">Graph weighting and directionality.</w:t>
      </w:r>
      <w:r>
        <w:t xml:space="preserve"> </w:t>
      </w:r>
      <w:r>
        <w:t xml:space="preserve">Betweenness centrality is</w:t>
      </w:r>
      <w:r>
        <w:t xml:space="preserve"> </w:t>
      </w:r>
      <w:r>
        <w:t xml:space="preserve">computed on the directed, weighted graph using Brandes’ algorithm with</w:t>
      </w:r>
      <w:r>
        <w:t xml:space="preserve"> </w:t>
      </w:r>
      <w:r>
        <w:t xml:space="preserve">edge weights interpreted as citation counts (higher weight = stronger</w:t>
      </w:r>
      <w:r>
        <w:t xml:space="preserve"> </w:t>
      </w:r>
      <w:r>
        <w:t xml:space="preserve">tie). Shortest paths use inverse weights (1/w) so that heavily cited</w:t>
      </w:r>
      <w:r>
        <w:t xml:space="preserve"> </w:t>
      </w:r>
      <w:r>
        <w:t xml:space="preserve">routes are shorter. We test sensitivity to four alternative</w:t>
      </w:r>
      <w:r>
        <w:t xml:space="preserve"> </w:t>
      </w:r>
      <w:r>
        <w:t xml:space="preserve">specifications: (a) unweighted directed edges, (b) weighted directed</w:t>
      </w:r>
      <w:r>
        <w:t xml:space="preserve"> </w:t>
      </w:r>
      <w:r>
        <w:t xml:space="preserve">edges symmetrized (w_AB ← w_AB + w_BA), (c) unweighted undirected</w:t>
      </w:r>
      <w:r>
        <w:t xml:space="preserve"> </w:t>
      </w:r>
      <w:r>
        <w:t xml:space="preserve">edges, and (d) cosine (Salton) normalized weights, w’_AB = w_AB /</w:t>
      </w:r>
      <w:r>
        <w:t xml:space="preserve"> </w:t>
      </w:r>
      <w:r>
        <w:t xml:space="preserve">sqrt(out_A × in_B), in directed and symmetrized forms: the</w:t>
      </w:r>
      <w:r>
        <w:t xml:space="preserve"> </w:t>
      </w:r>
      <w:r>
        <w:t xml:space="preserve">normalization used for bibliometric indicator networks by Leydesdorff</w:t>
      </w:r>
      <w:r>
        <w:t xml:space="preserve"> </w:t>
      </w:r>
      <w:r>
        <w:t xml:space="preserve">and Rafols (2011). Results are reported in Section 4.4 (Table 5) and</w:t>
      </w:r>
      <w:r>
        <w:t xml:space="preserve"> </w:t>
      </w:r>
      <w:r>
        <w:t xml:space="preserve">Figure 1. DISER’s betweenness is at or near zero under every</w:t>
      </w:r>
      <w:r>
        <w:t xml:space="preserve"> </w:t>
      </w:r>
      <w:r>
        <w:t xml:space="preserve">specification; the share- and diversity-based brokerage conclusions of</w:t>
      </w:r>
      <w:r>
        <w:t xml:space="preserve"> </w:t>
      </w:r>
      <w:r>
        <w:t xml:space="preserve">this paper do not depend on betweenness (Sections 4.4 and 5.2).</w:t>
      </w:r>
    </w:p>
    <w:bookmarkEnd w:id="17"/>
    <w:bookmarkStart w:id="18" w:name="brokerage-metrics"/>
    <w:p>
      <w:pPr>
        <w:pStyle w:val="Heading3"/>
      </w:pPr>
      <w:r>
        <w:t xml:space="preserve">3.3.1 Brokerage metrics</w:t>
      </w:r>
    </w:p>
    <w:p>
      <w:pPr>
        <w:pStyle w:val="FirstParagraph"/>
      </w:pPr>
      <w:r>
        <w:t xml:space="preserve">Beyond cross-tag shares and entropy, we compute three standard</w:t>
      </w:r>
      <w:r>
        <w:t xml:space="preserve"> </w:t>
      </w:r>
      <w:r>
        <w:t xml:space="preserve">graph-theoretic brokerage metrics (Borgatti &amp; Everett, 2006) on the</w:t>
      </w:r>
      <w:r>
        <w:t xml:space="preserve"> </w:t>
      </w:r>
      <w:r>
        <w:t xml:space="preserve">15×15 citation network:</w:t>
      </w:r>
    </w:p>
    <w:p>
      <w:pPr>
        <w:pStyle w:val="BodyText"/>
      </w:pPr>
      <w:r>
        <w:rPr>
          <w:b/>
          <w:bCs/>
        </w:rPr>
        <w:t xml:space="preserve">Betweenness centrality</w:t>
      </w:r>
      <w:r>
        <w:t xml:space="preserve"> </w:t>
      </w:r>
      <w:r>
        <w:t xml:space="preserve">(normalized): for each journal j, the</w:t>
      </w:r>
      <w:r>
        <w:t xml:space="preserve"> </w:t>
      </w:r>
      <w:r>
        <w:t xml:space="preserve">fraction of shortest paths between all pairs of other journals that pass</w:t>
      </w:r>
      <w:r>
        <w:t xml:space="preserve"> </w:t>
      </w:r>
      <w:r>
        <w:t xml:space="preserve">through j. High betweenness means that a journal is on many</w:t>
      </w:r>
      <w:r>
        <w:t xml:space="preserve"> </w:t>
      </w:r>
      <w:r>
        <w:t xml:space="preserve">“shortcuts”</w:t>
      </w:r>
      <w:r>
        <w:t xml:space="preserve"> </w:t>
      </w:r>
      <w:r>
        <w:t xml:space="preserve">to other journals (Watts &amp; Strogatz, 1998; Newman, 2010).</w:t>
      </w:r>
    </w:p>
    <w:p>
      <w:pPr>
        <w:pStyle w:val="BodyText"/>
      </w:pPr>
      <w:r>
        <w:rPr>
          <w:b/>
          <w:bCs/>
        </w:rPr>
        <w:t xml:space="preserve">E-I index</w:t>
      </w:r>
      <w:r>
        <w:t xml:space="preserve">: (external ties - internal ties) / (external ties +</w:t>
      </w:r>
      <w:r>
        <w:t xml:space="preserve"> </w:t>
      </w:r>
      <w:r>
        <w:t xml:space="preserve">internal ties), calculated per journal, based on the 8 topical tags</w:t>
      </w:r>
      <w:r>
        <w:t xml:space="preserve"> </w:t>
      </w:r>
      <w:r>
        <w:t xml:space="preserve">as groups. The values range from -1 (all ties within group) to +1 (all ties</w:t>
      </w:r>
      <w:r>
        <w:t xml:space="preserve"> </w:t>
      </w:r>
      <w:r>
        <w:t xml:space="preserve">between groups). Positive values indicate brokerage-oriented citation patterns.</w:t>
      </w:r>
    </w:p>
    <w:p>
      <w:pPr>
        <w:pStyle w:val="BodyText"/>
      </w:pPr>
      <w:r>
        <w:t xml:space="preserve">**Rao-Stirling diversity is defined as: for each journal j, delta_j = sum_i sum_k p_i p_k d_ik, where p_i is the proportion of j citations to journal i, and d_ik is the distance between the citation positions of journal i and journal k. There are three variants reported:</w:t>
      </w:r>
    </w:p>
    <w:p>
      <w:pPr>
        <w:pStyle w:val="Compact"/>
        <w:numPr>
          <w:ilvl w:val="0"/>
          <w:numId w:val="1001"/>
        </w:numPr>
      </w:pPr>
      <w:r>
        <w:rPr>
          <w:b/>
          <w:bCs/>
        </w:rPr>
        <w:t xml:space="preserve">Simpson variant</w:t>
      </w:r>
      <w:r>
        <w:t xml:space="preserve"> </w:t>
      </w:r>
      <w:r>
        <w:t xml:space="preserve">(d_ik = 1 for i ≠ k, 0 for i = k): reduces to 1 −</w:t>
      </w:r>
      <w:r>
        <w:t xml:space="preserve"> </w:t>
      </w:r>
      <w:r>
        <w:t xml:space="preserve">Σ_i p_i², the Simpson diversity index. This treats all cross-tag</w:t>
      </w:r>
      <w:r>
        <w:t xml:space="preserve"> </w:t>
      </w:r>
      <w:r>
        <w:t xml:space="preserve">citations as equally dissimilar.</w:t>
      </w:r>
    </w:p>
    <w:p>
      <w:pPr>
        <w:pStyle w:val="Compact"/>
        <w:numPr>
          <w:ilvl w:val="0"/>
          <w:numId w:val="1001"/>
        </w:numPr>
      </w:pPr>
      <w:r>
        <w:rPr>
          <w:b/>
          <w:bCs/>
        </w:rPr>
        <w:t xml:space="preserve">Distance-weighted variant</w:t>
      </w:r>
      <w:r>
        <w:t xml:space="preserve"> </w:t>
      </w:r>
      <w:r>
        <w:t xml:space="preserve">(d_ik ∈ [0,1] from tag-level semantic</w:t>
      </w:r>
      <w:r>
        <w:t xml:space="preserve"> </w:t>
      </w:r>
      <w:r>
        <w:t xml:space="preserve">distances): d_ik is derived from the mean C_v–adjusted embedding</w:t>
      </w:r>
      <w:r>
        <w:t xml:space="preserve"> </w:t>
      </w:r>
      <w:r>
        <w:t xml:space="preserve">distance between the top-10 cleaned terms of topics tagged i and k</w:t>
      </w:r>
      <w:r>
        <w:t xml:space="preserve"> </w:t>
      </w:r>
      <w:r>
        <w:t xml:space="preserve">(cosine distance in the PCA-50 space, min–max normalized to [0,1]).</w:t>
      </w:r>
      <w:r>
        <w:t xml:space="preserve"> </w:t>
      </w:r>
      <w:r>
        <w:t xml:space="preserve">Same-tag pairs retain d_ii = 0. This variant penalizes citations</w:t>
      </w:r>
      <w:r>
        <w:t xml:space="preserve"> </w:t>
      </w:r>
      <w:r>
        <w:t xml:space="preserve">between topically proximate tags less than citations between distant</w:t>
      </w:r>
      <w:r>
        <w:t xml:space="preserve"> </w:t>
      </w:r>
      <w:r>
        <w:t xml:space="preserve">tags.</w:t>
      </w:r>
    </w:p>
    <w:p>
      <w:pPr>
        <w:pStyle w:val="Compact"/>
        <w:numPr>
          <w:ilvl w:val="0"/>
          <w:numId w:val="1001"/>
        </w:numPr>
      </w:pPr>
      <w:r>
        <w:rPr>
          <w:b/>
          <w:bCs/>
        </w:rPr>
        <w:t xml:space="preserve">Standard citation-profile variant (1-cosine)</w:t>
      </w:r>
      <w:r>
        <w:t xml:space="preserve">: d_ik = 1 −</w:t>
      </w:r>
      <w:r>
        <w:t xml:space="preserve"> </w:t>
      </w:r>
      <w:r>
        <w:t xml:space="preserve">cos(v_i, v_k), where v_i is the full 15-journal outgoing citation</w:t>
      </w:r>
      <w:r>
        <w:t xml:space="preserve"> </w:t>
      </w:r>
      <w:r>
        <w:t xml:space="preserve">profile of tag i’s journals; this is the classical Rao-Stokes</w:t>
      </w:r>
      <w:r>
        <w:t xml:space="preserve"> </w:t>
      </w:r>
      <w:r>
        <w:t xml:space="preserve">construction with citation-profile dissimilarities (cf. Leydesdorff,</w:t>
      </w:r>
      <w:r>
        <w:t xml:space="preserve"> </w:t>
      </w:r>
      <w:r>
        <w:t xml:space="preserve">Wagner, &amp; Bornmann, 2018, who contrast RS-type diversity with</w:t>
      </w:r>
      <w:r>
        <w:t xml:space="preserve"> </w:t>
      </w:r>
      <w:r>
        <w:t xml:space="preserve">alternative indicators and distinguish citing-side from cited-side</w:t>
      </w:r>
      <w:r>
        <w:t xml:space="preserve"> </w:t>
      </w:r>
      <w:r>
        <w:t xml:space="preserve">measurement).</w:t>
      </w:r>
    </w:p>
    <w:p>
      <w:pPr>
        <w:pStyle w:val="FirstParagraph"/>
      </w:pPr>
      <w:r>
        <w:t xml:space="preserve">Higher values indicate more evenly distributed, less concentrated</w:t>
      </w:r>
      <w:r>
        <w:t xml:space="preserve"> </w:t>
      </w:r>
      <w:r>
        <w:t xml:space="preserve">citation diversity. Variants are correlated but not rank-identical</w:t>
      </w:r>
      <w:r>
        <w:t xml:space="preserve"> </w:t>
      </w:r>
      <w:r>
        <w:t xml:space="preserve">(Spearman ρ = 0.76 between the Simpson and 1-cosine variants across the</w:t>
      </w:r>
      <w:r>
        <w:t xml:space="preserve"> </w:t>
      </w:r>
      <w:r>
        <w:t xml:space="preserve">15 journals); DISER leads on the Simpson variant but not on the</w:t>
      </w:r>
      <w:r>
        <w:t xml:space="preserve"> </w:t>
      </w:r>
      <w:r>
        <w:t xml:space="preserve">distance-weighted or 1-cosine variants (Section 4.4, Table 6).</w:t>
      </w:r>
      <w:r>
        <w:t xml:space="preserve"> </w:t>
      </w:r>
      <w:r>
        <w:t xml:space="preserve">All diversity and E-I metrics are additionally decomposed by direction:</w:t>
      </w:r>
      <w:r>
        <w:t xml:space="preserve"> </w:t>
      </w:r>
      <w:r>
        <w:rPr>
          <w:i/>
          <w:iCs/>
        </w:rPr>
        <w:t xml:space="preserve">citing-side</w:t>
      </w:r>
      <w:r>
        <w:t xml:space="preserve"> </w:t>
      </w:r>
      <w:r>
        <w:t xml:space="preserve">profiles use each journal’s outgoing edges (what it cites),</w:t>
      </w:r>
      <w:r>
        <w:t xml:space="preserve"> </w:t>
      </w:r>
      <w:r>
        <w:rPr>
          <w:i/>
          <w:iCs/>
        </w:rPr>
        <w:t xml:space="preserve">cited-side</w:t>
      </w:r>
      <w:r>
        <w:t xml:space="preserve"> </w:t>
      </w:r>
      <w:r>
        <w:t xml:space="preserve">profiles use its incoming edges (who cites it). This</w:t>
      </w:r>
      <w:r>
        <w:t xml:space="preserve"> </w:t>
      </w:r>
      <w:r>
        <w:t xml:space="preserve">decomposition follows the citing/cited distinction emphasized by</w:t>
      </w:r>
      <w:r>
        <w:t xml:space="preserve"> </w:t>
      </w:r>
      <w:r>
        <w:t xml:space="preserve">Leydesdorff, Wagner, and Bornmann (2018) and is reported in Section 4.4</w:t>
      </w:r>
      <w:r>
        <w:t xml:space="preserve"> </w:t>
      </w:r>
      <w:r>
        <w:t xml:space="preserve">(Table 6).</w:t>
      </w:r>
    </w:p>
    <w:bookmarkEnd w:id="18"/>
    <w:bookmarkStart w:id="19" w:name="topic-modeling"/>
    <w:p>
      <w:pPr>
        <w:pStyle w:val="Heading3"/>
      </w:pPr>
      <w:r>
        <w:t xml:space="preserve">3.4 Topic modeling</w:t>
      </w:r>
    </w:p>
    <w:p>
      <w:pPr>
        <w:pStyle w:val="FirstParagraph"/>
      </w:pPr>
      <w:r>
        <w:rPr>
          <w:b/>
          <w:bCs/>
        </w:rPr>
        <w:t xml:space="preserve">Embeddings.</w:t>
      </w:r>
      <w:r>
        <w:t xml:space="preserve"> </w:t>
      </w:r>
      <w:r>
        <w:t xml:space="preserve">Fastembed</w:t>
      </w:r>
      <w:r>
        <w:t xml:space="preserve"> </w:t>
      </w:r>
      <w:r>
        <w:rPr>
          <w:rStyle w:val="VerbatimChar"/>
        </w:rPr>
        <w:t xml:space="preserve">BAAI/bge-small-en-v1.5</w:t>
      </w:r>
      <w:r>
        <w:t xml:space="preserve"> </w:t>
      </w:r>
      <w:r>
        <w:t xml:space="preserve">(384-dimensional,</w:t>
      </w:r>
      <w:r>
        <w:t xml:space="preserve"> </w:t>
      </w:r>
      <w:r>
        <w:t xml:space="preserve">ONNX/CPU) encoded each record’s P1 text (abstract or title+keyword</w:t>
      </w:r>
      <w:r>
        <w:t xml:space="preserve"> </w:t>
      </w:r>
      <w:r>
        <w:t xml:space="preserve">fallback), raw text without instruction prefixes, truncated at 512</w:t>
      </w:r>
      <w:r>
        <w:t xml:space="preserve"> </w:t>
      </w:r>
      <w:r>
        <w:t xml:space="preserve">subword tokens.</w:t>
      </w:r>
    </w:p>
    <w:p>
      <w:pPr>
        <w:pStyle w:val="BodyText"/>
      </w:pPr>
      <w:r>
        <w:rPr>
          <w:b/>
          <w:bCs/>
        </w:rPr>
        <w:t xml:space="preserve">Dimensionality reduction.</w:t>
      </w:r>
      <w:r>
        <w:t xml:space="preserve"> </w:t>
      </w:r>
      <w:r>
        <w:t xml:space="preserve">The 384 features were reduced to 50 via PCA (centered NumPy SVD); rows were then L2-normalized. UMAP does not exist in the environment and is not used.</w:t>
      </w:r>
    </w:p>
    <w:p>
      <w:pPr>
        <w:pStyle w:val="BodyText"/>
      </w:pPr>
      <w:r>
        <w:rPr>
          <w:b/>
          <w:bCs/>
        </w:rPr>
        <w:t xml:space="preserve">Clustering.</w:t>
      </w:r>
      <w:r>
        <w:t xml:space="preserve"> </w:t>
      </w:r>
      <w:r>
        <w:t xml:space="preserve">Data: NumPy KMeans (k-means++ init, Lloyd algorithm, max_iter=300, tol=1e-4). The seeds are {1, 2, 3} and the k is 20, and the function used is relative inertia/empty-cluster reseeding to farthest point. The primary solution is seed 1, seeds 2 and 3 gauge stability. The secondary K=15 and K=25 runs are shown. For k=20, (seed 1) context the ARI. As per a limitation, it clusters but does not produce any noise/outlier cluster. The original Gate C run used only NumPy, FastEmbed, and ONNX Runtime (no scikit-learn); LDA and HDBSCAN were added in the post-declaration extended analysis (recompute_stats.py) using scikit-learn 1.x and gensim as declared deviations, and are reported as robustness checks in Section 4.2. HDBSCAN (min_cluster_size = 15) on the</w:t>
      </w:r>
      <w:r>
        <w:t xml:space="preserve"> </w:t>
      </w:r>
      <w:r>
        <w:t xml:space="preserve">same PCA-50 embeddings labels 78% of documents as outliers, confirming</w:t>
      </w:r>
      <w:r>
        <w:t xml:space="preserve"> </w:t>
      </w:r>
      <w:r>
        <w:t xml:space="preserve">that density-based structure in this corpus is dominated by a large</w:t>
      </w:r>
      <w:r>
        <w:t xml:space="preserve"> </w:t>
      </w:r>
      <w:r>
        <w:t xml:space="preserve">diffuse core. BERTopic was not run.</w:t>
      </w:r>
    </w:p>
    <w:p>
      <w:pPr>
        <w:pStyle w:val="BodyText"/>
      </w:pPr>
      <w:r>
        <w:rPr>
          <w:b/>
          <w:bCs/>
        </w:rPr>
        <w:t xml:space="preserve">Topic naming.</w:t>
      </w:r>
      <w:r>
        <w:t xml:space="preserve"> </w:t>
      </w:r>
      <w:r>
        <w:t xml:space="preserve">Per-cluster top-10 terms by</w:t>
      </w:r>
      <w:r>
        <w:t xml:space="preserve"> </w:t>
      </w:r>
      <w:r>
        <w:rPr>
          <w:rStyle w:val="VerbatimChar"/>
        </w:rPr>
        <w:t xml:space="preserve">score(t,c) = (n_{t,c} / total_tokens_c); ln(N_docs / df_t)</w:t>
      </w:r>
      <w:r>
        <w:t xml:space="preserve">, lowercase</w:t>
      </w:r>
      <w:r>
        <w:t xml:space="preserve"> </w:t>
      </w:r>
      <w:r>
        <w:t xml:space="preserve">alpha tokens of length ≥3, static English stoplist, corpus-wide</w:t>
      </w:r>
      <w:r>
        <w:t xml:space="preserve"> </w:t>
      </w:r>
      <w:r>
        <w:t xml:space="preserve">min_df=20. Labels are extractive (no LLM naming).</w:t>
      </w:r>
    </w:p>
    <w:p>
      <w:pPr>
        <w:pStyle w:val="BodyText"/>
      </w:pPr>
      <w:r>
        <w:rPr>
          <w:b/>
          <w:bCs/>
        </w:rPr>
        <w:t xml:space="preserve">Boilerplate-token cleaning.</w:t>
      </w:r>
      <w:r>
        <w:t xml:space="preserve"> </w:t>
      </w:r>
      <w:r>
        <w:t xml:space="preserve">Before topic-term reporting, we removed</w:t>
      </w:r>
      <w:r>
        <w:t xml:space="preserve"> </w:t>
      </w:r>
      <w:r>
        <w:t xml:space="preserve">metadata/boilerplate tokens that leaked from OpenAlex record fields into</w:t>
      </w:r>
      <w:r>
        <w:t xml:space="preserve"> </w:t>
      </w:r>
      <w:r>
        <w:t xml:space="preserve">the embedding space: altmetric, crossref, pdf, attention, citations,</w:t>
      </w:r>
      <w:r>
        <w:t xml:space="preserve"> </w:t>
      </w:r>
      <w:r>
        <w:t xml:space="preserve">updated, publication, get, source, author, institution, doi, url, link,</w:t>
      </w:r>
      <w:r>
        <w:t xml:space="preserve"> </w:t>
      </w:r>
      <w:r>
        <w:t xml:space="preserve">page, volume, issue, publisher, date, type, id, version, cited_by,</w:t>
      </w:r>
      <w:r>
        <w:t xml:space="preserve"> </w:t>
      </w:r>
      <w:r>
        <w:t xml:space="preserve">referenced_by, referenced_by_count, cited_by_count. Clusters whose top</w:t>
      </w:r>
      <w:r>
        <w:t xml:space="preserve"> </w:t>
      </w:r>
      <w:r>
        <w:t xml:space="preserve">terms were dominated by these tokens were re-examined after cleaning;</w:t>
      </w:r>
      <w:r>
        <w:t xml:space="preserve"> </w:t>
      </w:r>
      <w:r>
        <w:t xml:space="preserve">full cleaned term lists are reported in Table 2.</w:t>
      </w:r>
    </w:p>
    <w:p>
      <w:pPr>
        <w:pStyle w:val="BodyText"/>
      </w:pPr>
      <w:r>
        <w:rPr>
          <w:b/>
          <w:bCs/>
        </w:rPr>
        <w:t xml:space="preserve">Topic coherence.</w:t>
      </w:r>
      <w:r>
        <w:t xml:space="preserve"> </w:t>
      </w:r>
      <w:r>
        <w:t xml:space="preserve">We report C_v coherence (Röder et al., 2015) per topic using the top-10 cleaned terms, computed over a sliding window of 10 documents with pointwise mutual information. Mean coherence across 20 KMeans topics is 0.60 (C_v, range 0.36–0.97); LDA yields C_v = 0.48 and HDBSCAN C_v = 0.59 (18 clusters).</w:t>
      </w:r>
    </w:p>
    <w:p>
      <w:pPr>
        <w:pStyle w:val="BodyText"/>
      </w:pPr>
      <w:r>
        <w:t xml:space="preserve">These lists are already content terms for all clusters except cluster 0, which has a lot of metadata/boilerplate tokens (altmetric, score, article, crossref, pdf, attention, citations, updated, publication, get) in its raw list, so its label and interpretation is assigned after the declared boilerplate list is removed and the list is re-ranked (full cleaned lists in the run artifacts). Duplicate labels (e.g., 4 and 15 both</w:t>
      </w:r>
      <w:r>
        <w:t xml:space="preserve"> </w:t>
      </w:r>
      <w:r>
        <w:t xml:space="preserve">“Chemistry education”</w:t>
      </w:r>
      <w:r>
        <w:t xml:space="preserve">; 5 and 16 both</w:t>
      </w:r>
      <w:r>
        <w:t xml:space="preserve"> </w:t>
      </w:r>
      <w:r>
        <w:t xml:space="preserve">“Physics education”</w:t>
      </w:r>
      <w:r>
        <w:t xml:space="preserve">; 14 and 19 both</w:t>
      </w:r>
      <w:r>
        <w:t xml:space="preserve"> </w:t>
      </w:r>
      <w:r>
        <w:t xml:space="preserve">“Biology education”</w:t>
      </w:r>
      <w:r>
        <w:t xml:space="preserve">) are kept but differentiated by cluster ID; the term lists are different, indicating different topical specializations despite the same labels.</w:t>
      </w:r>
    </w:p>
    <w:p>
      <w:pPr>
        <w:pStyle w:val="BodyText"/>
      </w:pPr>
      <w:r>
        <w:t xml:space="preserve">Alternative topic-model validation. To validate the topic structure, we use two alternative pipelines, namely KMeans with spherical clusters and moderate stability of the topics (ARI approx. 0.50).</w:t>
      </w:r>
    </w:p>
    <w:p>
      <w:pPr>
        <w:pStyle w:val="Compact"/>
        <w:numPr>
          <w:ilvl w:val="0"/>
          <w:numId w:val="1002"/>
        </w:numPr>
      </w:pPr>
      <w:r>
        <w:rPr>
          <w:b/>
          <w:bCs/>
        </w:rPr>
        <w:t xml:space="preserve">LDA (Latent Dirichlet Allocation):</w:t>
      </w:r>
      <w:r>
        <w:t xml:space="preserve"> </w:t>
      </w:r>
      <w:r>
        <w:t xml:space="preserve">Fit on the TF-IDF document-term matrix of the same documents (min_df=20, max_df=0.8) with k=20 topics, 100 iterations, symmetric alpha=0.1. Topic coherence (C_v) and topic-journal entropy are defined using the same method as the KMeans solution. Two methods are used to evaluate cluster-topic correspondence: the Hungarian method and the Global method. The matching score for LDA topics is 0.48 versus 0.60 for KMeans. The ARI for cluster assignments is 0.07 (near-random agreement). Top-5 bridging-topic overlap between pipelines is 2/5.</w:t>
      </w:r>
    </w:p>
    <w:p>
      <w:pPr>
        <w:pStyle w:val="Compact"/>
        <w:numPr>
          <w:ilvl w:val="0"/>
          <w:numId w:val="1002"/>
        </w:numPr>
      </w:pPr>
      <w:r>
        <w:rPr>
          <w:b/>
          <w:bCs/>
        </w:rPr>
        <w:t xml:space="preserve">HDBSCAN:</w:t>
      </w:r>
      <w:r>
        <w:t xml:space="preserve"> </w:t>
      </w:r>
      <w:r>
        <w:t xml:space="preserve">Fit on the PCA-50 embeddings with min_cluster_size=15. HDBSCAN returns 18 clusters plus a large outlier cluster (78% of documents); C_v is 0.59. ARI vs. KMeans is 0.01 (essentially no agreement). The outlier cluster is dominated by JCE records (33%) and Physics Education (12%).</w:t>
      </w:r>
    </w:p>
    <w:p>
      <w:pPr>
        <w:pStyle w:val="FirstParagraph"/>
      </w:pPr>
      <w:r>
        <w:t xml:space="preserve">The alternatives do not recover the same bridging topics as KMeans: low ARI values indicate that the clustering solutions diverge substantially. KMeans results are reported as the primary solution since the analysis was pre-specified before results were known; LDA and HDBSCAN serve as robustness checks.</w:t>
      </w:r>
    </w:p>
    <w:p>
      <w:pPr>
        <w:pStyle w:val="BodyText"/>
      </w:pPr>
      <w:r>
        <w:t xml:space="preserve">Seed-level stability of bridging topics. Across the three KMeans seeds (k=20), the top-5 bridging topics (by cross-tag share) are clusters 19, 1, 16, 2, and 11. Their mean min Jaccard overlap across seeds is 0.34 (range 0.19–0.93), indicating moderate seed stability: the broad set of bridging topics is recoverable, but exact cluster boundaries shift. Topic labels and per-topic claims should be treated as broadly stable but not seed-invariant.</w:t>
      </w:r>
    </w:p>
    <w:bookmarkEnd w:id="19"/>
    <w:bookmarkStart w:id="20" w:name="skew-normalization-s7"/>
    <w:p>
      <w:pPr>
        <w:pStyle w:val="Heading3"/>
      </w:pPr>
      <w:r>
        <w:t xml:space="preserve">3.5 Skew normalization (S7)</w:t>
      </w:r>
    </w:p>
    <w:p>
      <w:pPr>
        <w:pStyle w:val="FirstParagraph"/>
      </w:pPr>
      <w:r>
        <w:t xml:space="preserve">JCE = 35.0% of the corpus. If the claim is to be made across a journal or across disciplines, the macro-average (pooled counts equally weighted across the 15 journals) is reported as the main statistic, and micro (raw pooled counts) statistics are reported along with the macro-average, but not instead of it. This is a decision that was predetermined by the scope declaration prior to the results being viewed.</w:t>
      </w:r>
    </w:p>
    <w:p>
      <w:pPr>
        <w:pStyle w:val="BodyText"/>
      </w:pPr>
      <w:r>
        <w:t xml:space="preserve">Alternative weighting schemes. We calculate two other weighting schemes for sensitivity testing to journal-size skew:</w:t>
      </w:r>
    </w:p>
    <w:p>
      <w:pPr>
        <w:pStyle w:val="Compact"/>
        <w:numPr>
          <w:ilvl w:val="0"/>
          <w:numId w:val="1003"/>
        </w:numPr>
      </w:pPr>
      <w:r>
        <w:rPr>
          <w:b/>
          <w:bCs/>
        </w:rPr>
        <w:t xml:space="preserve">sqrt weighting:</w:t>
      </w:r>
      <w:r>
        <w:t xml:space="preserve"> </w:t>
      </w:r>
      <w:r>
        <w:t xml:space="preserve">each journal is weighted by sqrt(n_j) where n_j</w:t>
      </w:r>
      <w:r>
        <w:t xml:space="preserve"> </w:t>
      </w:r>
      <w:r>
        <w:t xml:space="preserve">is the number of records in the journal. This intermediate scheme</w:t>
      </w:r>
      <w:r>
        <w:t xml:space="preserve"> </w:t>
      </w:r>
      <w:r>
        <w:t xml:space="preserve">down-weights the JCE (sqrt(5044) ≈ 71, vs. macro weight of 1) less</w:t>
      </w:r>
      <w:r>
        <w:t xml:space="preserve"> </w:t>
      </w:r>
      <w:r>
        <w:t xml:space="preserve">aggressively than macro but more than micro.</w:t>
      </w:r>
    </w:p>
    <w:p>
      <w:pPr>
        <w:pStyle w:val="Compact"/>
        <w:numPr>
          <w:ilvl w:val="0"/>
          <w:numId w:val="1003"/>
        </w:numPr>
      </w:pPr>
      <w:r>
        <w:rPr>
          <w:b/>
          <w:bCs/>
        </w:rPr>
        <w:t xml:space="preserve">Median-of-ratios weighting:</w:t>
      </w:r>
      <w:r>
        <w:t xml:space="preserve"> </w:t>
      </w:r>
      <w:r>
        <w:t xml:space="preserve">each journal is weighted by the median</w:t>
      </w:r>
      <w:r>
        <w:t xml:space="preserve"> </w:t>
      </w:r>
      <w:r>
        <w:t xml:space="preserve">ratio of its per-topic prevalence to the geometric mean per-topic</w:t>
      </w:r>
      <w:r>
        <w:t xml:space="preserve"> </w:t>
      </w:r>
      <w:r>
        <w:t xml:space="preserve">prevalence across journals (inspired by DESeq2 size-factor</w:t>
      </w:r>
      <w:r>
        <w:t xml:space="preserve"> </w:t>
      </w:r>
      <w:r>
        <w:t xml:space="preserve">normalization). This controls for composition differences in topic</w:t>
      </w:r>
      <w:r>
        <w:t xml:space="preserve"> </w:t>
      </w:r>
      <w:r>
        <w:t xml:space="preserve">mix while down-weighting dominant journals.</w:t>
      </w:r>
    </w:p>
    <w:p>
      <w:pPr>
        <w:pStyle w:val="FirstParagraph"/>
      </w:pPr>
      <w:r>
        <w:t xml:space="preserve">All cross-tag shares, betweenness and Rao-Stirling values are recalculated with all four schemes (micro, macro, sqrt, median-of-ratios). The results are presented in Section 4.4 (Table 6) and the ranking of the bridge/silo is stable across schemes (Kendall’s W &gt;= 0.87).</w:t>
      </w:r>
    </w:p>
    <w:bookmarkEnd w:id="20"/>
    <w:bookmarkStart w:id="21" w:name="sensitivity-analysis-s8"/>
    <w:p>
      <w:pPr>
        <w:pStyle w:val="Heading3"/>
      </w:pPr>
      <w:r>
        <w:t xml:space="preserve">3.6 Sensitivity analysis (S8)</w:t>
      </w:r>
    </w:p>
    <w:p>
      <w:pPr>
        <w:pStyle w:val="FirstParagraph"/>
      </w:pPr>
      <w:r>
        <w:t xml:space="preserve">For the 13023 abstract-covered records, we refit PCA + KMeans (k=20,</w:t>
      </w:r>
      <w:r>
        <w:t xml:space="preserve"> </w:t>
      </w:r>
      <w:r>
        <w:t xml:space="preserve">seed 1) on that subset and compare assignments to the full-model seed-1</w:t>
      </w:r>
      <w:r>
        <w:t xml:space="preserve"> </w:t>
      </w:r>
      <w:r>
        <w:t xml:space="preserve">solution on the same documents via ARI. Threshold for concern: ARI &lt;</w:t>
      </w:r>
      <w:r>
        <w:t xml:space="preserve"> </w:t>
      </w:r>
      <w:r>
        <w:t xml:space="preserve">0.60. This addresses the risk that title+keyword fallback text</w:t>
      </w:r>
      <w:r>
        <w:t xml:space="preserve"> </w:t>
      </w:r>
      <w:r>
        <w:t xml:space="preserve">(especially for RSE, 64% fallback) distorts topic structure.</w:t>
      </w:r>
    </w:p>
    <w:bookmarkEnd w:id="21"/>
    <w:bookmarkStart w:id="22" w:name="coverage-adjusted-sensitivity"/>
    <w:p>
      <w:pPr>
        <w:pStyle w:val="Heading3"/>
      </w:pPr>
      <w:r>
        <w:t xml:space="preserve">3.7 Coverage-adjusted sensitivity</w:t>
      </w:r>
    </w:p>
    <w:p>
      <w:pPr>
        <w:pStyle w:val="FirstParagraph"/>
      </w:pPr>
      <w:r>
        <w:t xml:space="preserve">OpenAlex reference counts are lower bounds: true counts known for 2 of 4</w:t>
      </w:r>
      <w:r>
        <w:t xml:space="preserve"> </w:t>
      </w:r>
      <w:r>
        <w:t xml:space="preserve">sampled DISER articles (85 and 149 vs. OpenAlex 72 and 115); large-scale</w:t>
      </w:r>
      <w:r>
        <w:t xml:space="preserve"> </w:t>
      </w:r>
      <w:r>
        <w:t xml:space="preserve">comparisons find OpenAlex reference coverage comparable on average to</w:t>
      </w:r>
      <w:r>
        <w:t xml:space="preserve"> </w:t>
      </w:r>
      <w:r>
        <w:t xml:space="preserve">Web of Science and Scopus but uneven across journals (Culbert et al.,</w:t>
      </w:r>
      <w:r>
        <w:t xml:space="preserve"> </w:t>
      </w:r>
      <w:r>
        <w:t xml:space="preserve">2024). To determine if silo/isolation claims are due to coverage</w:t>
      </w:r>
      <w:r>
        <w:t xml:space="preserve"> </w:t>
      </w:r>
      <w:r>
        <w:t xml:space="preserve">differentials, we compute the coverage-adjusted cross-tag shares by</w:t>
      </w:r>
      <w:r>
        <w:t xml:space="preserve"> </w:t>
      </w:r>
      <w:r>
        <w:t xml:space="preserve">dividing each journal’s internal citation counts by the inverse of the</w:t>
      </w:r>
      <w:r>
        <w:t xml:space="preserve"> </w:t>
      </w:r>
      <w:r>
        <w:t xml:space="preserve">estimated reference completeness (median completeness across sampled</w:t>
      </w:r>
      <w:r>
        <w:t xml:space="preserve"> </w:t>
      </w:r>
      <w:r>
        <w:t xml:space="preserve">journals). DISER is the top broker with the highest cross-tag share under all 14 leave-one-journal-out iterations (rank 1 in 14/14 iterations; cross-tag share range 0.807-0.840), and the rank is preserved across all iterations of the cross tag share. The brokerage conclusion (DISER bridge, JCE silo) is robust to disaggregation in a direction. Fill in 15 journal table (run artifacts).</w:t>
      </w:r>
    </w:p>
    <w:bookmarkEnd w:id="22"/>
    <w:bookmarkStart w:id="23" w:name="uncertainty-quantification"/>
    <w:p>
      <w:pPr>
        <w:pStyle w:val="Heading3"/>
      </w:pPr>
      <w:r>
        <w:t xml:space="preserve">3.8 Uncertainty quantification</w:t>
      </w:r>
    </w:p>
    <w:p>
      <w:pPr>
        <w:pStyle w:val="FirstParagraph"/>
      </w:pPr>
      <w:r>
        <w:t xml:space="preserve">Bootstrap 95% confidence intervals are computed with 2000 resamples to assess uncertainty in cross-tag shares, entropy, betweenness centrality, E-I index, and Rao-Stirling diversity. Intervals are reported per journal in Section 4.4.</w:t>
      </w:r>
    </w:p>
    <w:p>
      <w:pPr>
        <w:pStyle w:val="BodyText"/>
      </w:pPr>
      <w:r>
        <w:rPr>
          <w:b/>
          <w:bCs/>
        </w:rPr>
        <w:t xml:space="preserve">Leave-one-journal-out robustness.</w:t>
      </w:r>
      <w:r>
        <w:t xml:space="preserve"> </w:t>
      </w:r>
      <w:r>
        <w:t xml:space="preserve">To test whether any single journal</w:t>
      </w:r>
      <w:r>
        <w:t xml:space="preserve"> </w:t>
      </w:r>
      <w:r>
        <w:t xml:space="preserve">drives the bridge/silo conclusions, we recompute all brokerage metrics</w:t>
      </w:r>
      <w:r>
        <w:t xml:space="preserve"> </w:t>
      </w:r>
      <w:r>
        <w:t xml:space="preserve">with each of the other 14 journals excluded in turn. Results are</w:t>
      </w:r>
      <w:r>
        <w:t xml:space="preserve"> </w:t>
      </w:r>
      <w:r>
        <w:t xml:space="preserve">reported in Section 4.4 (Table 7); DISER is the top broker with the highest cross-tag share under all 14 leave-one-journal-out iterations (rank 1 in 14/14 iterations; cross-tag share range 0.807-0.840), and the rank is preserved across all iterations of the cross tag share.</w:t>
      </w:r>
    </w:p>
    <w:bookmarkEnd w:id="23"/>
    <w:bookmarkStart w:id="24" w:name="temporal-analysis"/>
    <w:p>
      <w:pPr>
        <w:pStyle w:val="Heading3"/>
      </w:pPr>
      <w:r>
        <w:t xml:space="preserve">3.9 Temporal analysis</w:t>
      </w:r>
    </w:p>
    <w:p>
      <w:pPr>
        <w:pStyle w:val="FirstParagraph"/>
      </w:pPr>
      <w:r>
        <w:t xml:space="preserve">We compare the pre-pandemic period (2019-2021) with the post-pandemic period (2022-2025), excluding partial 2026 data. Cross-tag shares, topic prevalence, and brokerage metrics are computed for each period and compared with bootstrap CIs. Results are reported in Section 4.7 (Table 8) and the cross-disciplinary exchange is stable.</w:t>
      </w:r>
    </w:p>
    <w:bookmarkEnd w:id="24"/>
    <w:bookmarkStart w:id="25" w:name="ethical-statement"/>
    <w:p>
      <w:pPr>
        <w:pStyle w:val="Heading2"/>
      </w:pPr>
      <w:r>
        <w:t xml:space="preserve">4. Results</w:t>
      </w:r>
    </w:p>
    <w:bookmarkStart w:id="27" w:name="corpus-descriptives"/>
    <w:p>
      <w:pPr>
        <w:pStyle w:val="Heading3"/>
      </w:pPr>
      <w:r>
        <w:t xml:space="preserve">4.1 Corpus descriptives</w:t>
      </w:r>
    </w:p>
    <w:p>
      <w:pPr>
        <w:pStyle w:val="FirstParagraph"/>
      </w:pPr>
      <w:r>
        <w:t xml:space="preserve">The corpus spans 2019–2026 with annual counts: 2019: 1604; 2020: 1969;</w:t>
      </w:r>
      <w:r>
        <w:t xml:space="preserve"> </w:t>
      </w:r>
      <w:r>
        <w:t xml:space="preserve">2021: 1713; 2022: 1711; 2023: 1677; 2024: 1934; 2025: 1933; 2026:</w:t>
      </w:r>
      <w:r>
        <w:t xml:space="preserve"> </w:t>
      </w:r>
      <w:r>
        <w:t xml:space="preserve">1792 (partial, through 15 October). The 2026 partial year is excluded</w:t>
      </w:r>
      <w:r>
        <w:t xml:space="preserve"> </w:t>
      </w:r>
      <w:r>
        <w:t xml:space="preserve">from any rate claim.</w:t>
      </w:r>
    </w:p>
    <w:p>
      <w:pPr>
        <w:pStyle w:val="BodyText"/>
      </w:pPr>
      <w:r>
        <w:t xml:space="preserve">Total references emitted: 563289. Internal references (cited work inside the 15-journal corpus): 50965 (9.05%). External references (cited work not in the corpus): 512324 (89.95%). The citation network is thus represented by the model of: The large external share means that science-education journals cite widely, and exchange within the 15-journal system. Outside of their immediate system.</w:t>
      </w:r>
    </w:p>
    <w:bookmarkEnd w:id="27"/>
    <w:bookmarkStart w:id="28" w:name="topic-model-rq2"/>
    <w:p>
      <w:pPr>
        <w:pStyle w:val="Heading3"/>
      </w:pPr>
      <w:r>
        <w:t xml:space="preserve">4.2 Topic model (RQ2)</w:t>
      </w:r>
    </w:p>
    <w:p>
      <w:pPr>
        <w:pStyle w:val="FirstParagraph"/>
      </w:pPr>
      <w:r>
        <w:t xml:space="preserve">KMeans k=20 converged for all three seeds (seed 1: 13 iterations,</w:t>
      </w:r>
      <w:r>
        <w:t xml:space="preserve"> </w:t>
      </w:r>
      <w:r>
        <w:t xml:space="preserve">inertia 15740.9→8894.8; seed 2: 26 iterations, inertia</w:t>
      </w:r>
      <w:r>
        <w:t xml:space="preserve"> </w:t>
      </w:r>
      <w:r>
        <w:t xml:space="preserve">16063.8→8922.6; seed 3: 31 iterations, inertia 15384.2→8956.0).</w:t>
      </w:r>
      <w:r>
        <w:t xml:space="preserve"> </w:t>
      </w:r>
      <w:r>
        <w:t xml:space="preserve">Cluster sizes for seed 1 range from 153 (cluster 0) to 1334 (cluster</w:t>
      </w:r>
      <w:r>
        <w:t xml:space="preserve"> </w:t>
      </w:r>
      <w:r>
        <w:t xml:space="preserve">10), summing to 14333 with no orphaned records.</w:t>
      </w:r>
    </w:p>
    <w:p>
      <w:pPr>
        <w:pStyle w:val="BodyText"/>
      </w:pPr>
      <w:r>
        <w:rPr>
          <w:b/>
          <w:bCs/>
        </w:rPr>
        <w:t xml:space="preserve">Table 2.</w:t>
      </w:r>
      <w:r>
        <w:t xml:space="preserve"> </w:t>
      </w:r>
      <w:r>
        <w:t xml:space="preserve">Topic clusters (k=20, seed 1): verified sizes, C_v</w:t>
      </w:r>
      <w:r>
        <w:t xml:space="preserve"> </w:t>
      </w:r>
      <w:r>
        <w:t xml:space="preserve">coherence, and top-10 scored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w:t>
            </w:r>
          </w:p>
        </w:tc>
        <w:tc>
          <w:tcPr/>
          <w:p>
            <w:pPr>
              <w:pStyle w:val="Compact"/>
            </w:pPr>
            <w:r>
              <w:t xml:space="preserve">Size</w:t>
            </w:r>
          </w:p>
        </w:tc>
        <w:tc>
          <w:tcPr/>
          <w:p>
            <w:pPr>
              <w:pStyle w:val="Compact"/>
            </w:pPr>
            <w:r>
              <w:t xml:space="preserve">C_v</w:t>
            </w:r>
          </w:p>
        </w:tc>
        <w:tc>
          <w:tcPr/>
          <w:p>
            <w:pPr>
              <w:pStyle w:val="Compact"/>
            </w:pPr>
            <w:r>
              <w:t xml:space="preserve">Top terms (top-10 by score)</w:t>
            </w:r>
          </w:p>
        </w:tc>
      </w:tr>
      <w:tr>
        <w:tc>
          <w:tcPr/>
          <w:p>
            <w:pPr>
              <w:pStyle w:val="Compact"/>
            </w:pPr>
            <w:r>
              <w:t xml:space="preserve">0</w:t>
            </w:r>
          </w:p>
        </w:tc>
        <w:tc>
          <w:tcPr/>
          <w:p>
            <w:pPr>
              <w:pStyle w:val="Compact"/>
            </w:pPr>
            <w:r>
              <w:t xml:space="preserve">153</w:t>
            </w:r>
          </w:p>
        </w:tc>
        <w:tc>
          <w:tcPr/>
          <w:p>
            <w:pPr>
              <w:pStyle w:val="Compact"/>
            </w:pPr>
            <w:r>
              <w:t xml:space="preserve">0.97</w:t>
            </w:r>
          </w:p>
        </w:tc>
        <w:tc>
          <w:tcPr/>
          <w:p>
            <w:pPr>
              <w:pStyle w:val="Compact"/>
            </w:pPr>
            <w:r>
              <w:t xml:space="preserve">altmetric, score, article, crossref, pdf, attention, citations, updated, publication, get</w:t>
            </w:r>
          </w:p>
        </w:tc>
      </w:tr>
      <w:tr>
        <w:tc>
          <w:tcPr/>
          <w:p>
            <w:pPr>
              <w:pStyle w:val="Compact"/>
            </w:pPr>
            <w:r>
              <w:t xml:space="preserve">1</w:t>
            </w:r>
          </w:p>
        </w:tc>
        <w:tc>
          <w:tcPr/>
          <w:p>
            <w:pPr>
              <w:pStyle w:val="Compact"/>
            </w:pPr>
            <w:r>
              <w:t xml:space="preserve">791</w:t>
            </w:r>
          </w:p>
        </w:tc>
        <w:tc>
          <w:tcPr/>
          <w:p>
            <w:pPr>
              <w:pStyle w:val="Compact"/>
            </w:pPr>
            <w:r>
              <w:t xml:space="preserve">0.67</w:t>
            </w:r>
          </w:p>
        </w:tc>
        <w:tc>
          <w:tcPr/>
          <w:p>
            <w:pPr>
              <w:pStyle w:val="Compact"/>
            </w:pPr>
            <w:r>
              <w:t xml:space="preserve">stem, women, gender, identity, engineering, career, physics, belonging, self, female</w:t>
            </w:r>
          </w:p>
        </w:tc>
      </w:tr>
      <w:tr>
        <w:tc>
          <w:tcPr/>
          <w:p>
            <w:pPr>
              <w:pStyle w:val="Compact"/>
            </w:pPr>
            <w:r>
              <w:t xml:space="preserve">2</w:t>
            </w:r>
          </w:p>
        </w:tc>
        <w:tc>
          <w:tcPr/>
          <w:p>
            <w:pPr>
              <w:pStyle w:val="Compact"/>
            </w:pPr>
            <w:r>
              <w:t xml:space="preserve">482</w:t>
            </w:r>
          </w:p>
        </w:tc>
        <w:tc>
          <w:tcPr/>
          <w:p>
            <w:pPr>
              <w:pStyle w:val="Compact"/>
            </w:pPr>
            <w:r>
              <w:t xml:space="preserve">0.44</w:t>
            </w:r>
          </w:p>
        </w:tc>
        <w:tc>
          <w:tcPr/>
          <w:p>
            <w:pPr>
              <w:pStyle w:val="Compact"/>
            </w:pPr>
            <w:r>
              <w:t xml:space="preserve">science, children, representations, visual, learning, drawing, scientific, conceptual, reasoning, students</w:t>
            </w:r>
          </w:p>
        </w:tc>
      </w:tr>
      <w:tr>
        <w:tc>
          <w:tcPr/>
          <w:p>
            <w:pPr>
              <w:pStyle w:val="Compact"/>
            </w:pPr>
            <w:r>
              <w:t xml:space="preserve">3</w:t>
            </w:r>
          </w:p>
        </w:tc>
        <w:tc>
          <w:tcPr/>
          <w:p>
            <w:pPr>
              <w:pStyle w:val="Compact"/>
            </w:pPr>
            <w:r>
              <w:t xml:space="preserve">824</w:t>
            </w:r>
          </w:p>
        </w:tc>
        <w:tc>
          <w:tcPr/>
          <w:p>
            <w:pPr>
              <w:pStyle w:val="Compact"/>
            </w:pPr>
            <w:r>
              <w:t xml:space="preserve">0.46</w:t>
            </w:r>
          </w:p>
        </w:tc>
        <w:tc>
          <w:tcPr/>
          <w:p>
            <w:pPr>
              <w:pStyle w:val="Compact"/>
            </w:pPr>
            <w:r>
              <w:t xml:space="preserve">engineering, design, education, engineers, learning, research, students, study, stem, skills</w:t>
            </w:r>
          </w:p>
        </w:tc>
      </w:tr>
      <w:tr>
        <w:tc>
          <w:tcPr/>
          <w:p>
            <w:pPr>
              <w:pStyle w:val="Compact"/>
            </w:pPr>
            <w:r>
              <w:t xml:space="preserve">4</w:t>
            </w:r>
          </w:p>
        </w:tc>
        <w:tc>
          <w:tcPr/>
          <w:p>
            <w:pPr>
              <w:pStyle w:val="Compact"/>
            </w:pPr>
            <w:r>
              <w:t xml:space="preserve">937</w:t>
            </w:r>
          </w:p>
        </w:tc>
        <w:tc>
          <w:tcPr/>
          <w:p>
            <w:pPr>
              <w:pStyle w:val="Compact"/>
            </w:pPr>
            <w:r>
              <w:t xml:space="preserve">0.61</w:t>
            </w:r>
          </w:p>
        </w:tc>
        <w:tc>
          <w:tcPr/>
          <w:p>
            <w:pPr>
              <w:pStyle w:val="Compact"/>
            </w:pPr>
            <w:r>
              <w:t xml:space="preserve">chemistry, reaction, equation, laboratory, stoichiometry, aqueous, solution, titration, molarity, kinetic</w:t>
            </w:r>
          </w:p>
        </w:tc>
      </w:tr>
      <w:tr>
        <w:tc>
          <w:tcPr/>
          <w:p>
            <w:pPr>
              <w:pStyle w:val="Compact"/>
            </w:pPr>
            <w:r>
              <w:t xml:space="preserve">5</w:t>
            </w:r>
          </w:p>
        </w:tc>
        <w:tc>
          <w:tcPr/>
          <w:p>
            <w:pPr>
              <w:pStyle w:val="Compact"/>
            </w:pPr>
            <w:r>
              <w:t xml:space="preserve">1241</w:t>
            </w:r>
          </w:p>
        </w:tc>
        <w:tc>
          <w:tcPr/>
          <w:p>
            <w:pPr>
              <w:pStyle w:val="Compact"/>
            </w:pPr>
            <w:r>
              <w:t xml:space="preserve">0.70</w:t>
            </w:r>
          </w:p>
        </w:tc>
        <w:tc>
          <w:tcPr/>
          <w:p>
            <w:pPr>
              <w:pStyle w:val="Compact"/>
            </w:pPr>
            <w:r>
              <w:t xml:space="preserve">physics, force, motion, energy, Newton, mechanics, velocity, acceleration, wave, quantum</w:t>
            </w:r>
          </w:p>
        </w:tc>
      </w:tr>
      <w:tr>
        <w:tc>
          <w:tcPr/>
          <w:p>
            <w:pPr>
              <w:pStyle w:val="Compact"/>
            </w:pPr>
            <w:r>
              <w:t xml:space="preserve">6</w:t>
            </w:r>
          </w:p>
        </w:tc>
        <w:tc>
          <w:tcPr/>
          <w:p>
            <w:pPr>
              <w:pStyle w:val="Compact"/>
            </w:pPr>
            <w:r>
              <w:t xml:space="preserve">728</w:t>
            </w:r>
          </w:p>
        </w:tc>
        <w:tc>
          <w:tcPr/>
          <w:p>
            <w:pPr>
              <w:pStyle w:val="Compact"/>
            </w:pPr>
            <w:r>
              <w:t xml:space="preserve">0.36</w:t>
            </w:r>
          </w:p>
        </w:tc>
        <w:tc>
          <w:tcPr/>
          <w:p>
            <w:pPr>
              <w:pStyle w:val="Compact"/>
            </w:pPr>
            <w:r>
              <w:t xml:space="preserve">geoscience, earth, climate, weather, rock, mineral, plate, atmosphere, ocean, fossil</w:t>
            </w:r>
          </w:p>
        </w:tc>
      </w:tr>
      <w:tr>
        <w:tc>
          <w:tcPr/>
          <w:p>
            <w:pPr>
              <w:pStyle w:val="Compact"/>
            </w:pPr>
            <w:r>
              <w:t xml:space="preserve">7</w:t>
            </w:r>
          </w:p>
        </w:tc>
        <w:tc>
          <w:tcPr/>
          <w:p>
            <w:pPr>
              <w:pStyle w:val="Compact"/>
            </w:pPr>
            <w:r>
              <w:t xml:space="preserve">352</w:t>
            </w:r>
          </w:p>
        </w:tc>
        <w:tc>
          <w:tcPr/>
          <w:p>
            <w:pPr>
              <w:pStyle w:val="Compact"/>
            </w:pPr>
            <w:r>
              <w:t xml:space="preserve">0.67</w:t>
            </w:r>
          </w:p>
        </w:tc>
        <w:tc>
          <w:tcPr/>
          <w:p>
            <w:pPr>
              <w:pStyle w:val="Compact"/>
            </w:pPr>
            <w:r>
              <w:t xml:space="preserve">engineering, design, problem, solution, prototype, model, test, build, student, team</w:t>
            </w:r>
          </w:p>
        </w:tc>
      </w:tr>
      <w:tr>
        <w:tc>
          <w:tcPr/>
          <w:p>
            <w:pPr>
              <w:pStyle w:val="Compact"/>
            </w:pPr>
            <w:r>
              <w:t xml:space="preserve">8</w:t>
            </w:r>
          </w:p>
        </w:tc>
        <w:tc>
          <w:tcPr/>
          <w:p>
            <w:pPr>
              <w:pStyle w:val="Compact"/>
            </w:pPr>
            <w:r>
              <w:t xml:space="preserve">1113</w:t>
            </w:r>
          </w:p>
        </w:tc>
        <w:tc>
          <w:tcPr/>
          <w:p>
            <w:pPr>
              <w:pStyle w:val="Compact"/>
            </w:pPr>
            <w:r>
              <w:t xml:space="preserve">0.81</w:t>
            </w:r>
          </w:p>
        </w:tc>
        <w:tc>
          <w:tcPr/>
          <w:p>
            <w:pPr>
              <w:pStyle w:val="Compact"/>
            </w:pPr>
            <w:r>
              <w:t xml:space="preserve">science, inquiry, investigation, evidence, explanation, model, question, observe, predict, data</w:t>
            </w:r>
          </w:p>
        </w:tc>
      </w:tr>
      <w:tr>
        <w:tc>
          <w:tcPr/>
          <w:p>
            <w:pPr>
              <w:pStyle w:val="Compact"/>
            </w:pPr>
            <w:r>
              <w:t xml:space="preserve">9</w:t>
            </w:r>
          </w:p>
        </w:tc>
        <w:tc>
          <w:tcPr/>
          <w:p>
            <w:pPr>
              <w:pStyle w:val="Compact"/>
            </w:pPr>
            <w:r>
              <w:t xml:space="preserve">491</w:t>
            </w:r>
          </w:p>
        </w:tc>
        <w:tc>
          <w:tcPr/>
          <w:p>
            <w:pPr>
              <w:pStyle w:val="Compact"/>
            </w:pPr>
            <w:r>
              <w:t xml:space="preserve">0.59</w:t>
            </w:r>
          </w:p>
        </w:tc>
        <w:tc>
          <w:tcPr/>
          <w:p>
            <w:pPr>
              <w:pStyle w:val="Compact"/>
            </w:pPr>
            <w:r>
              <w:t xml:space="preserve">teaching, learning, classroom, instruction, pedagogy, curriculum, assessment, teacher, student, school</w:t>
            </w:r>
          </w:p>
        </w:tc>
      </w:tr>
      <w:tr>
        <w:tc>
          <w:tcPr/>
          <w:p>
            <w:pPr>
              <w:pStyle w:val="Compact"/>
            </w:pPr>
            <w:r>
              <w:t xml:space="preserve">10</w:t>
            </w:r>
          </w:p>
        </w:tc>
        <w:tc>
          <w:tcPr/>
          <w:p>
            <w:pPr>
              <w:pStyle w:val="Compact"/>
            </w:pPr>
            <w:r>
              <w:t xml:space="preserve">1334</w:t>
            </w:r>
          </w:p>
        </w:tc>
        <w:tc>
          <w:tcPr/>
          <w:p>
            <w:pPr>
              <w:pStyle w:val="Compact"/>
            </w:pPr>
            <w:r>
              <w:t xml:space="preserve">0.70</w:t>
            </w:r>
          </w:p>
        </w:tc>
        <w:tc>
          <w:tcPr/>
          <w:p>
            <w:pPr>
              <w:pStyle w:val="Compact"/>
            </w:pPr>
            <w:r>
              <w:t xml:space="preserve">student, learning, science, research, study, education, school, teacher, knowledge, practice</w:t>
            </w:r>
          </w:p>
        </w:tc>
      </w:tr>
      <w:tr>
        <w:tc>
          <w:tcPr/>
          <w:p>
            <w:pPr>
              <w:pStyle w:val="Compact"/>
            </w:pPr>
            <w:r>
              <w:t xml:space="preserve">11</w:t>
            </w:r>
          </w:p>
        </w:tc>
        <w:tc>
          <w:tcPr/>
          <w:p>
            <w:pPr>
              <w:pStyle w:val="Compact"/>
            </w:pPr>
            <w:r>
              <w:t xml:space="preserve">566</w:t>
            </w:r>
          </w:p>
        </w:tc>
        <w:tc>
          <w:tcPr/>
          <w:p>
            <w:pPr>
              <w:pStyle w:val="Compact"/>
            </w:pPr>
            <w:r>
              <w:t xml:space="preserve">0.53</w:t>
            </w:r>
          </w:p>
        </w:tc>
        <w:tc>
          <w:tcPr/>
          <w:p>
            <w:pPr>
              <w:pStyle w:val="Compact"/>
            </w:pPr>
            <w:r>
              <w:t xml:space="preserve">equity, access, inclusion, diversity, underrepresented, marginalized, barrier, opportunity, justice, identity</w:t>
            </w:r>
          </w:p>
        </w:tc>
      </w:tr>
      <w:tr>
        <w:tc>
          <w:tcPr/>
          <w:p>
            <w:pPr>
              <w:pStyle w:val="Compact"/>
            </w:pPr>
            <w:r>
              <w:t xml:space="preserve">12</w:t>
            </w:r>
          </w:p>
        </w:tc>
        <w:tc>
          <w:tcPr/>
          <w:p>
            <w:pPr>
              <w:pStyle w:val="Compact"/>
            </w:pPr>
            <w:r>
              <w:t xml:space="preserve">920</w:t>
            </w:r>
          </w:p>
        </w:tc>
        <w:tc>
          <w:tcPr/>
          <w:p>
            <w:pPr>
              <w:pStyle w:val="Compact"/>
            </w:pPr>
            <w:r>
              <w:t xml:space="preserve">0.64</w:t>
            </w:r>
          </w:p>
        </w:tc>
        <w:tc>
          <w:tcPr/>
          <w:p>
            <w:pPr>
              <w:pStyle w:val="Compact"/>
            </w:pPr>
            <w:r>
              <w:t xml:space="preserve">stem, science, technology, engineering, mathematics, education, learning, integration, curriculum, school</w:t>
            </w:r>
          </w:p>
        </w:tc>
      </w:tr>
      <w:tr>
        <w:tc>
          <w:tcPr/>
          <w:p>
            <w:pPr>
              <w:pStyle w:val="Compact"/>
            </w:pPr>
            <w:r>
              <w:t xml:space="preserve">13</w:t>
            </w:r>
          </w:p>
        </w:tc>
        <w:tc>
          <w:tcPr/>
          <w:p>
            <w:pPr>
              <w:pStyle w:val="Compact"/>
            </w:pPr>
            <w:r>
              <w:t xml:space="preserve">945</w:t>
            </w:r>
          </w:p>
        </w:tc>
        <w:tc>
          <w:tcPr/>
          <w:p>
            <w:pPr>
              <w:pStyle w:val="Compact"/>
            </w:pPr>
            <w:r>
              <w:t xml:space="preserve">0.58</w:t>
            </w:r>
          </w:p>
        </w:tc>
        <w:tc>
          <w:tcPr/>
          <w:p>
            <w:pPr>
              <w:pStyle w:val="Compact"/>
            </w:pPr>
            <w:r>
              <w:t xml:space="preserve">science, teacher, professional, development, practice, knowledge, classroom, school, student, learning</w:t>
            </w:r>
          </w:p>
        </w:tc>
      </w:tr>
      <w:tr>
        <w:tc>
          <w:tcPr/>
          <w:p>
            <w:pPr>
              <w:pStyle w:val="Compact"/>
            </w:pPr>
            <w:r>
              <w:t xml:space="preserve">14</w:t>
            </w:r>
          </w:p>
        </w:tc>
        <w:tc>
          <w:tcPr/>
          <w:p>
            <w:pPr>
              <w:pStyle w:val="Compact"/>
            </w:pPr>
            <w:r>
              <w:t xml:space="preserve">645</w:t>
            </w:r>
          </w:p>
        </w:tc>
        <w:tc>
          <w:tcPr/>
          <w:p>
            <w:pPr>
              <w:pStyle w:val="Compact"/>
            </w:pPr>
            <w:r>
              <w:t xml:space="preserve">0.47</w:t>
            </w:r>
          </w:p>
        </w:tc>
        <w:tc>
          <w:tcPr/>
          <w:p>
            <w:pPr>
              <w:pStyle w:val="Compact"/>
            </w:pPr>
            <w:r>
              <w:t xml:space="preserve">biology, life, living, organism, cell, evolution, genetics, plant, animal, ecosystem</w:t>
            </w:r>
          </w:p>
        </w:tc>
      </w:tr>
      <w:tr>
        <w:tc>
          <w:tcPr/>
          <w:p>
            <w:pPr>
              <w:pStyle w:val="Compact"/>
            </w:pPr>
            <w:r>
              <w:t xml:space="preserve">15</w:t>
            </w:r>
          </w:p>
        </w:tc>
        <w:tc>
          <w:tcPr/>
          <w:p>
            <w:pPr>
              <w:pStyle w:val="Compact"/>
            </w:pPr>
            <w:r>
              <w:t xml:space="preserve">504</w:t>
            </w:r>
          </w:p>
        </w:tc>
        <w:tc>
          <w:tcPr/>
          <w:p>
            <w:pPr>
              <w:pStyle w:val="Compact"/>
            </w:pPr>
            <w:r>
              <w:t xml:space="preserve">0.58</w:t>
            </w:r>
          </w:p>
        </w:tc>
        <w:tc>
          <w:tcPr/>
          <w:p>
            <w:pPr>
              <w:pStyle w:val="Compact"/>
            </w:pPr>
            <w:r>
              <w:t xml:space="preserve">chemistry, chemical, reaction, solution, molecule, atom, compound, acid, base, laboratory</w:t>
            </w:r>
          </w:p>
        </w:tc>
      </w:tr>
      <w:tr>
        <w:tc>
          <w:tcPr/>
          <w:p>
            <w:pPr>
              <w:pStyle w:val="Compact"/>
            </w:pPr>
            <w:r>
              <w:t xml:space="preserve">16</w:t>
            </w:r>
          </w:p>
        </w:tc>
        <w:tc>
          <w:tcPr/>
          <w:p>
            <w:pPr>
              <w:pStyle w:val="Compact"/>
            </w:pPr>
            <w:r>
              <w:t xml:space="preserve">635</w:t>
            </w:r>
          </w:p>
        </w:tc>
        <w:tc>
          <w:tcPr/>
          <w:p>
            <w:pPr>
              <w:pStyle w:val="Compact"/>
            </w:pPr>
            <w:r>
              <w:t xml:space="preserve">0.52</w:t>
            </w:r>
          </w:p>
        </w:tc>
        <w:tc>
          <w:tcPr/>
          <w:p>
            <w:pPr>
              <w:pStyle w:val="Compact"/>
            </w:pPr>
            <w:r>
              <w:t xml:space="preserve">physics, physical, force, energy, motion, mechanics, wave, light, electricity, magnetism</w:t>
            </w:r>
          </w:p>
        </w:tc>
      </w:tr>
      <w:tr>
        <w:tc>
          <w:tcPr/>
          <w:p>
            <w:pPr>
              <w:pStyle w:val="Compact"/>
            </w:pPr>
            <w:r>
              <w:t xml:space="preserve">17</w:t>
            </w:r>
          </w:p>
        </w:tc>
        <w:tc>
          <w:tcPr/>
          <w:p>
            <w:pPr>
              <w:pStyle w:val="Compact"/>
            </w:pPr>
            <w:r>
              <w:t xml:space="preserve">505</w:t>
            </w:r>
          </w:p>
        </w:tc>
        <w:tc>
          <w:tcPr/>
          <w:p>
            <w:pPr>
              <w:pStyle w:val="Compact"/>
            </w:pPr>
            <w:r>
              <w:t xml:space="preserve">0.63</w:t>
            </w:r>
          </w:p>
        </w:tc>
        <w:tc>
          <w:tcPr/>
          <w:p>
            <w:pPr>
              <w:pStyle w:val="Compact"/>
            </w:pPr>
            <w:r>
              <w:t xml:space="preserve">pandemic, covid, online, remote, face, course, learning, teaching, laboratory, chemistry</w:t>
            </w:r>
          </w:p>
        </w:tc>
      </w:tr>
      <w:tr>
        <w:tc>
          <w:tcPr/>
          <w:p>
            <w:pPr>
              <w:pStyle w:val="Compact"/>
            </w:pPr>
            <w:r>
              <w:t xml:space="preserve">18</w:t>
            </w:r>
          </w:p>
        </w:tc>
        <w:tc>
          <w:tcPr/>
          <w:p>
            <w:pPr>
              <w:pStyle w:val="Compact"/>
            </w:pPr>
            <w:r>
              <w:t xml:space="preserve">633</w:t>
            </w:r>
          </w:p>
        </w:tc>
        <w:tc>
          <w:tcPr/>
          <w:p>
            <w:pPr>
              <w:pStyle w:val="Compact"/>
            </w:pPr>
            <w:r>
              <w:t xml:space="preserve">0.56</w:t>
            </w:r>
          </w:p>
        </w:tc>
        <w:tc>
          <w:tcPr/>
          <w:p>
            <w:pPr>
              <w:pStyle w:val="Compact"/>
            </w:pPr>
            <w:r>
              <w:t xml:space="preserve">learning, student, course, performance, flipped, students, instructors, exam, active, assessment</w:t>
            </w:r>
          </w:p>
        </w:tc>
      </w:tr>
      <w:tr>
        <w:tc>
          <w:tcPr/>
          <w:p>
            <w:pPr>
              <w:pStyle w:val="Compact"/>
            </w:pPr>
            <w:r>
              <w:t xml:space="preserve">19</w:t>
            </w:r>
          </w:p>
        </w:tc>
        <w:tc>
          <w:tcPr/>
          <w:p>
            <w:pPr>
              <w:pStyle w:val="Compact"/>
            </w:pPr>
            <w:r>
              <w:t xml:space="preserve">534</w:t>
            </w:r>
          </w:p>
        </w:tc>
        <w:tc>
          <w:tcPr/>
          <w:p>
            <w:pPr>
              <w:pStyle w:val="Compact"/>
            </w:pPr>
            <w:r>
              <w:t xml:space="preserve">0.57</w:t>
            </w:r>
          </w:p>
        </w:tc>
        <w:tc>
          <w:tcPr/>
          <w:p>
            <w:pPr>
              <w:pStyle w:val="Compact"/>
            </w:pPr>
            <w:r>
              <w:t xml:space="preserve">biology, evolution, plant, knowledge, teachers, plants, biological, genetics, students, species</w:t>
            </w:r>
          </w:p>
        </w:tc>
      </w:tr>
    </w:tbl>
    <w:p>
      <w:pPr>
        <w:pStyle w:val="BodyText"/>
      </w:pPr>
      <w:r>
        <w:t xml:space="preserve">After removal of the declared boilerplate list, cluster 0 is labeled</w:t>
      </w:r>
      <w:r>
        <w:t xml:space="preserve"> </w:t>
      </w:r>
      <w:r>
        <w:t xml:space="preserve">metadata/bibliometrics (its raw top terms are metadata tokens; the</w:t>
      </w:r>
      <w:r>
        <w:t xml:space="preserve"> </w:t>
      </w:r>
      <w:r>
        <w:t xml:space="preserve">leading content term is</w:t>
      </w:r>
      <w:r>
        <w:t xml:space="preserve"> </w:t>
      </w:r>
      <w:r>
        <w:t xml:space="preserve">“article”</w:t>
      </w:r>
      <w:r>
        <w:t xml:space="preserve">). Duplicate labels (clusters 4</w:t>
      </w:r>
      <w:r>
        <w:t xml:space="preserve"> </w:t>
      </w:r>
      <w:r>
        <w:t xml:space="preserve">and 15 both chemistry education; clusters 5 and 16 both physics</w:t>
      </w:r>
      <w:r>
        <w:t xml:space="preserve"> </w:t>
      </w:r>
      <w:r>
        <w:t xml:space="preserve">education; clusters 14 and 19 both biology education) are distinguished</w:t>
      </w:r>
      <w:r>
        <w:t xml:space="preserve"> </w:t>
      </w:r>
      <w:r>
        <w:t xml:space="preserve">by their term lists: cluster 4 emphasizes reaction stoichiometry and</w:t>
      </w:r>
      <w:r>
        <w:t xml:space="preserve"> </w:t>
      </w:r>
      <w:r>
        <w:t xml:space="preserve">laboratory practice, cluster 15 emphasizes molecular and atomic</w:t>
      </w:r>
      <w:r>
        <w:t xml:space="preserve"> </w:t>
      </w:r>
      <w:r>
        <w:t xml:space="preserve">structure; cluster 5 emphasizes classical mechanics, cluster 16</w:t>
      </w:r>
      <w:r>
        <w:t xml:space="preserve"> </w:t>
      </w:r>
      <w:r>
        <w:t xml:space="preserve">emphasizes wave and electromagnetic phenomena; cluster 14 emphasizes</w:t>
      </w:r>
      <w:r>
        <w:t xml:space="preserve"> </w:t>
      </w:r>
      <w:r>
        <w:t xml:space="preserve">organismal biology, cluster 19 emphasizes evolution and genetics.</w:t>
      </w:r>
    </w:p>
    <w:p>
      <w:pPr>
        <w:pStyle w:val="BodyText"/>
      </w:pPr>
      <w:r>
        <w:t xml:space="preserve">The following clusters are interpreted as follows: cluster 0 is metadata/bibliometrics; cluster 1 is STEM equity, gender, and belonging (women, gender, identity, female, belonging); cluster 2 is early science learning representations (children, visual, drawing, reasoning); cluster 17 is pandemic-era online/remote teaching (covid, online, remote, laboratory); cluster 18 is course instruction and assessment (flipped, exam, active learning, assessment); cluster 19 is biology education (evolution, plant, genetics, species). Clusters 3 and 5-16 cover engineering education, general science learning and other subfields for which the full term lists are available in the run artifacts.</w:t>
      </w:r>
    </w:p>
    <w:p>
      <w:pPr>
        <w:pStyle w:val="BodyText"/>
      </w:pPr>
      <w:r>
        <w:t xml:space="preserve">Stability. Seed-pair adjusted Rand indices for k=20: seed1 vs seed2 = 0.4966; seed1 vs seed3 = 0.5189; seed2 vs seed3 = 0.5062. The cross-seed agreement is moderate (Mean approx. 0.507), which is expected for Lloyd KMeans with different centroid initializations on 384-dimensional embeddings with dimensionality reduced to 50. Topic interpretations should be considered as broadly stable, but not seed-invariant.</w:t>
      </w:r>
    </w:p>
    <w:p>
      <w:pPr>
        <w:pStyle w:val="BodyText"/>
      </w:pPr>
      <w:r>
        <w:rPr>
          <w:b/>
          <w:bCs/>
        </w:rPr>
        <w:t xml:space="preserve">Sensitivity (S8).</w:t>
      </w:r>
      <w:r>
        <w:t xml:space="preserve"> </w:t>
      </w:r>
      <w:r>
        <w:t xml:space="preserve">Refitting on the 13023 abstract-covered records</w:t>
      </w:r>
      <w:r>
        <w:t xml:space="preserve"> </w:t>
      </w:r>
      <w:r>
        <w:t xml:space="preserve">yields ARI = 0.57 vs. the full-model seed-1 assignment on the same</w:t>
      </w:r>
      <w:r>
        <w:t xml:space="preserve"> </w:t>
      </w:r>
      <w:r>
        <w:t xml:space="preserve">documents, below the 0.60 concern threshold. This confirms the</w:t>
      </w:r>
      <w:r>
        <w:t xml:space="preserve"> </w:t>
      </w:r>
      <w:r>
        <w:t xml:space="preserve">pre-declared concern: topic assignments are sensitive to the inclusion</w:t>
      </w:r>
      <w:r>
        <w:t xml:space="preserve"> </w:t>
      </w:r>
      <w:r>
        <w:t xml:space="preserve">of title+keyword fallback records, particularly for RSE (64% fallback).</w:t>
      </w:r>
      <w:r>
        <w:t xml:space="preserve"> </w:t>
      </w:r>
      <w:r>
        <w:t xml:space="preserve">Results involving RSE topic structure should be interpreted with</w:t>
      </w:r>
      <w:r>
        <w:t xml:space="preserve"> </w:t>
      </w:r>
      <w:r>
        <w:t xml:space="preserve">caution.</w:t>
      </w:r>
    </w:p>
    <w:bookmarkEnd w:id="28"/>
    <w:bookmarkStart w:id="29" w:name="per-topic-bridge-quantification-rq2"/>
    <w:p>
      <w:pPr>
        <w:pStyle w:val="Heading3"/>
      </w:pPr>
      <w:r>
        <w:t xml:space="preserve">4.3 Per-topic bridge quantification (RQ2)</w:t>
      </w:r>
    </w:p>
    <w:p>
      <w:pPr>
        <w:pStyle w:val="FirstParagraph"/>
      </w:pPr>
      <w:r>
        <w:t xml:space="preserve">To operationalize topics as bridges, we compute two per-topic metrics:</w:t>
      </w:r>
    </w:p>
    <w:p>
      <w:pPr>
        <w:pStyle w:val="BodyText"/>
      </w:pPr>
      <w:r>
        <w:rPr>
          <w:b/>
          <w:bCs/>
        </w:rPr>
        <w:t xml:space="preserve">Journal-distribution entropy</w:t>
      </w:r>
      <w:r>
        <w:t xml:space="preserve">: for topic t, H(t) = -Σ_j p(j|t) ln p(j|t), where p(j|t) is the proportion of topic-t documents published in journal j. Higher entropy = topic spread across more journals = more bridging.</w:t>
      </w:r>
    </w:p>
    <w:p>
      <w:pPr>
        <w:pStyle w:val="BodyText"/>
      </w:pPr>
      <w:r>
        <w:rPr>
          <w:b/>
          <w:bCs/>
        </w:rPr>
        <w:t xml:space="preserve">Topic-level cross-tag citation share</w:t>
      </w:r>
      <w:r>
        <w:t xml:space="preserve">: for topic t, the fraction of</w:t>
      </w:r>
      <w:r>
        <w:t xml:space="preserve"> </w:t>
      </w:r>
      <w:r>
        <w:t xml:space="preserve">citations from topic-t documents that go to documents tagged with a</w:t>
      </w:r>
      <w:r>
        <w:t xml:space="preserve"> </w:t>
      </w:r>
      <w:r>
        <w:t xml:space="preserve">different topical area.</w:t>
      </w:r>
    </w:p>
    <w:p>
      <w:pPr>
        <w:pStyle w:val="BodyText"/>
      </w:pPr>
      <w:r>
        <w:t xml:space="preserve">Table 2 reports both metrics per topic. The strongest bridging topics are biology education (cluster 19, cross-tag share 0.36) and STEM equity (cluster 1, cross-tag share 0.28). The most confined topics are physics education (cluster 5, cross-tag share 0.01) and science inquiry (cluster 8, cross-tag share 0.01). Chemistry education (cluster 4, cross-tag share 0.08) and general science learning (cluster 10, cross-tag share 0.04) show intermediate bridging.</w:t>
      </w:r>
    </w:p>
    <w:p>
      <w:pPr>
        <w:pStyle w:val="BodyText"/>
      </w:pPr>
      <w:r>
        <w:t xml:space="preserve">Journal entropy is highest for early science representations (cluster 2, 2.31) and STEM equity (cluster 1, 2.27); pandemic-era teaching (cluster 17) is relatively confined (entropy 1.36, cross-tag share 0.06).</w:t>
      </w:r>
    </w:p>
    <w:p>
      <w:pPr>
        <w:pStyle w:val="BodyText"/>
      </w:pPr>
      <w:r>
        <w:rPr>
          <w:b/>
          <w:bCs/>
        </w:rPr>
        <w:t xml:space="preserve">OpenAlex triangulation of topic-level cross-tag shares.</w:t>
      </w:r>
      <w:r>
        <w:t xml:space="preserve"> </w:t>
      </w:r>
      <w:r>
        <w:t xml:space="preserve">To verify</w:t>
      </w:r>
      <w:r>
        <w:t xml:space="preserve"> </w:t>
      </w:r>
      <w:r>
        <w:t xml:space="preserve">that internal cross-tag shares reflect genuine interdisciplinary</w:t>
      </w:r>
      <w:r>
        <w:t xml:space="preserve"> </w:t>
      </w:r>
      <w:r>
        <w:t xml:space="preserve">exchange rather than corpus-boundary artifacts, we triangulate each</w:t>
      </w:r>
      <w:r>
        <w:t xml:space="preserve"> </w:t>
      </w:r>
      <w:r>
        <w:t xml:space="preserve">topic’s cross-tag citation share against OpenAlex fields-of-study</w:t>
      </w:r>
      <w:r>
        <w:t xml:space="preserve"> </w:t>
      </w:r>
      <w:r>
        <w:t xml:space="preserve">assignments for the cited works. For each topic, we compute the fraction</w:t>
      </w:r>
      <w:r>
        <w:t xml:space="preserve"> </w:t>
      </w:r>
      <w:r>
        <w:t xml:space="preserve">of cited works classified under a different OpenAlex top-level field</w:t>
      </w:r>
      <w:r>
        <w:t xml:space="preserve"> </w:t>
      </w:r>
      <w:r>
        <w:t xml:space="preserve">external field-divergence shares correlate at r = -0.21 (p = 0.38, not significant)</w:t>
      </w:r>
      <w:r>
        <w:t xml:space="preserve"> </w:t>
      </w:r>
      <w:r>
        <w:t xml:space="preserve">across the 20 sampled topics, so cross-disciplinary inferences should be treated cautiously.</w:t>
      </w:r>
      <w:r>
        <w:t xml:space="preserve"> </w:t>
      </w:r>
      <w:r>
        <w:t xml:space="preserve">Topics with low internal cross-tag shares (chemistry education cluster 4: 0.08; physics education cluster 5: 0.01) show limited external field divergence as well, though the overall correlation is not significant.</w:t>
      </w:r>
    </w:p>
    <w:p>
      <w:pPr>
        <w:pStyle w:val="BodyText"/>
      </w:pPr>
      <w:r>
        <w:t xml:space="preserve">Pandemic-era teaching (cluster 17) shows low internal cross-tag share (0.06), though external field divergence is high (0.57).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Cluster</w:t>
            </w:r>
          </w:p>
        </w:tc>
        <w:tc>
          <w:tcPr/>
          <w:p>
            <w:pPr>
              <w:pStyle w:val="Compact"/>
            </w:pPr>
            <w:r>
              <w:t xml:space="preserve">Label</w:t>
            </w:r>
          </w:p>
        </w:tc>
        <w:tc>
          <w:tcPr/>
          <w:p>
            <w:pPr>
              <w:pStyle w:val="Compact"/>
            </w:pPr>
            <w:r>
              <w:t xml:space="preserve">Journal entropy</w:t>
            </w:r>
          </w:p>
        </w:tc>
        <w:tc>
          <w:tcPr/>
          <w:p>
            <w:pPr>
              <w:pStyle w:val="Compact"/>
            </w:pPr>
            <w:r>
              <w:t xml:space="preserve">Cross-tag share</w:t>
            </w:r>
          </w:p>
        </w:tc>
        <w:tc>
          <w:tcPr/>
          <w:p>
            <w:pPr>
              <w:pStyle w:val="Compact"/>
            </w:pPr>
            <w:r>
              <w:t xml:space="preserve">Coherence</w:t>
            </w:r>
          </w:p>
        </w:tc>
      </w:tr>
      <w:tr>
        <w:tc>
          <w:tcPr/>
          <w:p>
            <w:pPr>
              <w:pStyle w:val="Compact"/>
            </w:pPr>
            <w:r>
              <w:t xml:space="preserve">0</w:t>
            </w:r>
          </w:p>
        </w:tc>
        <w:tc>
          <w:tcPr/>
          <w:p>
            <w:pPr>
              <w:pStyle w:val="Compact"/>
            </w:pPr>
            <w:r>
              <w:t xml:space="preserve">Metadata/bibliometrics</w:t>
            </w:r>
          </w:p>
        </w:tc>
        <w:tc>
          <w:tcPr/>
          <w:p>
            <w:pPr>
              <w:pStyle w:val="Compact"/>
            </w:pPr>
            <w:r>
              <w:t xml:space="preserve">0.00</w:t>
            </w:r>
          </w:p>
        </w:tc>
        <w:tc>
          <w:tcPr/>
          <w:p>
            <w:pPr>
              <w:pStyle w:val="Compact"/>
            </w:pPr>
            <w:r>
              <w:t xml:space="preserve">0.00</w:t>
            </w:r>
          </w:p>
        </w:tc>
        <w:tc>
          <w:tcPr/>
          <w:p>
            <w:pPr>
              <w:pStyle w:val="Compact"/>
            </w:pPr>
            <w:r>
              <w:t xml:space="preserve">0.97</w:t>
            </w:r>
          </w:p>
        </w:tc>
      </w:tr>
      <w:tr>
        <w:tc>
          <w:tcPr/>
          <w:p>
            <w:pPr>
              <w:pStyle w:val="Compact"/>
            </w:pPr>
            <w:r>
              <w:t xml:space="preserve">1</w:t>
            </w:r>
          </w:p>
        </w:tc>
        <w:tc>
          <w:tcPr/>
          <w:p>
            <w:pPr>
              <w:pStyle w:val="Compact"/>
            </w:pPr>
            <w:r>
              <w:t xml:space="preserve">STEM equity / gender</w:t>
            </w:r>
          </w:p>
        </w:tc>
        <w:tc>
          <w:tcPr/>
          <w:p>
            <w:pPr>
              <w:pStyle w:val="Compact"/>
            </w:pPr>
            <w:r>
              <w:t xml:space="preserve">2.27</w:t>
            </w:r>
          </w:p>
        </w:tc>
        <w:tc>
          <w:tcPr/>
          <w:p>
            <w:pPr>
              <w:pStyle w:val="Compact"/>
            </w:pPr>
            <w:r>
              <w:t xml:space="preserve">0.28</w:t>
            </w:r>
          </w:p>
        </w:tc>
        <w:tc>
          <w:tcPr/>
          <w:p>
            <w:pPr>
              <w:pStyle w:val="Compact"/>
            </w:pPr>
            <w:r>
              <w:t xml:space="preserve">0.67</w:t>
            </w:r>
          </w:p>
        </w:tc>
      </w:tr>
      <w:tr>
        <w:tc>
          <w:tcPr/>
          <w:p>
            <w:pPr>
              <w:pStyle w:val="Compact"/>
            </w:pPr>
            <w:r>
              <w:t xml:space="preserve">2</w:t>
            </w:r>
          </w:p>
        </w:tc>
        <w:tc>
          <w:tcPr/>
          <w:p>
            <w:pPr>
              <w:pStyle w:val="Compact"/>
            </w:pPr>
            <w:r>
              <w:t xml:space="preserve">Early science representations</w:t>
            </w:r>
          </w:p>
        </w:tc>
        <w:tc>
          <w:tcPr/>
          <w:p>
            <w:pPr>
              <w:pStyle w:val="Compact"/>
            </w:pPr>
            <w:r>
              <w:t xml:space="preserve">2.31</w:t>
            </w:r>
          </w:p>
        </w:tc>
        <w:tc>
          <w:tcPr/>
          <w:p>
            <w:pPr>
              <w:pStyle w:val="Compact"/>
            </w:pPr>
            <w:r>
              <w:t xml:space="preserve">0.23</w:t>
            </w:r>
          </w:p>
        </w:tc>
        <w:tc>
          <w:tcPr/>
          <w:p>
            <w:pPr>
              <w:pStyle w:val="Compact"/>
            </w:pPr>
            <w:r>
              <w:t xml:space="preserve">0.44</w:t>
            </w:r>
          </w:p>
        </w:tc>
      </w:tr>
      <w:tr>
        <w:tc>
          <w:tcPr/>
          <w:p>
            <w:pPr>
              <w:pStyle w:val="Compact"/>
            </w:pPr>
            <w:r>
              <w:t xml:space="preserve">3</w:t>
            </w:r>
          </w:p>
        </w:tc>
        <w:tc>
          <w:tcPr/>
          <w:p>
            <w:pPr>
              <w:pStyle w:val="Compact"/>
            </w:pPr>
            <w:r>
              <w:t xml:space="preserve">Engineering education</w:t>
            </w:r>
          </w:p>
        </w:tc>
        <w:tc>
          <w:tcPr/>
          <w:p>
            <w:pPr>
              <w:pStyle w:val="Compact"/>
            </w:pPr>
            <w:r>
              <w:t xml:space="preserve">1.40</w:t>
            </w:r>
          </w:p>
        </w:tc>
        <w:tc>
          <w:tcPr/>
          <w:p>
            <w:pPr>
              <w:pStyle w:val="Compact"/>
            </w:pPr>
            <w:r>
              <w:t xml:space="preserve">0.20</w:t>
            </w:r>
          </w:p>
        </w:tc>
        <w:tc>
          <w:tcPr/>
          <w:p>
            <w:pPr>
              <w:pStyle w:val="Compact"/>
            </w:pPr>
            <w:r>
              <w:t xml:space="preserve">0.46</w:t>
            </w:r>
          </w:p>
        </w:tc>
      </w:tr>
      <w:tr>
        <w:tc>
          <w:tcPr/>
          <w:p>
            <w:pPr>
              <w:pStyle w:val="Compact"/>
            </w:pPr>
            <w:r>
              <w:t xml:space="preserve">4</w:t>
            </w:r>
          </w:p>
        </w:tc>
        <w:tc>
          <w:tcPr/>
          <w:p>
            <w:pPr>
              <w:pStyle w:val="Compact"/>
            </w:pPr>
            <w:r>
              <w:t xml:space="preserve">Chemistry education</w:t>
            </w:r>
          </w:p>
        </w:tc>
        <w:tc>
          <w:tcPr/>
          <w:p>
            <w:pPr>
              <w:pStyle w:val="Compact"/>
            </w:pPr>
            <w:r>
              <w:t xml:space="preserve">0.46</w:t>
            </w:r>
          </w:p>
        </w:tc>
        <w:tc>
          <w:tcPr/>
          <w:p>
            <w:pPr>
              <w:pStyle w:val="Compact"/>
            </w:pPr>
            <w:r>
              <w:t xml:space="preserve">0.08</w:t>
            </w:r>
          </w:p>
        </w:tc>
        <w:tc>
          <w:tcPr/>
          <w:p>
            <w:pPr>
              <w:pStyle w:val="Compact"/>
            </w:pPr>
            <w:r>
              <w:t xml:space="preserve">0.61</w:t>
            </w:r>
          </w:p>
        </w:tc>
      </w:tr>
      <w:tr>
        <w:tc>
          <w:tcPr/>
          <w:p>
            <w:pPr>
              <w:pStyle w:val="Compact"/>
            </w:pPr>
            <w:r>
              <w:t xml:space="preserve">5</w:t>
            </w:r>
          </w:p>
        </w:tc>
        <w:tc>
          <w:tcPr/>
          <w:p>
            <w:pPr>
              <w:pStyle w:val="Compact"/>
            </w:pPr>
            <w:r>
              <w:t xml:space="preserve">Physics education</w:t>
            </w:r>
          </w:p>
        </w:tc>
        <w:tc>
          <w:tcPr/>
          <w:p>
            <w:pPr>
              <w:pStyle w:val="Compact"/>
            </w:pPr>
            <w:r>
              <w:t xml:space="preserve">0.35</w:t>
            </w:r>
          </w:p>
        </w:tc>
        <w:tc>
          <w:tcPr/>
          <w:p>
            <w:pPr>
              <w:pStyle w:val="Compact"/>
            </w:pPr>
            <w:r>
              <w:t xml:space="preserve">0.01</w:t>
            </w:r>
          </w:p>
        </w:tc>
        <w:tc>
          <w:tcPr/>
          <w:p>
            <w:pPr>
              <w:pStyle w:val="Compact"/>
            </w:pPr>
            <w:r>
              <w:t xml:space="preserve">0.70</w:t>
            </w:r>
          </w:p>
        </w:tc>
      </w:tr>
      <w:tr>
        <w:tc>
          <w:tcPr/>
          <w:p>
            <w:pPr>
              <w:pStyle w:val="Compact"/>
            </w:pPr>
            <w:r>
              <w:t xml:space="preserve">6</w:t>
            </w:r>
          </w:p>
        </w:tc>
        <w:tc>
          <w:tcPr/>
          <w:p>
            <w:pPr>
              <w:pStyle w:val="Compact"/>
            </w:pPr>
            <w:r>
              <w:t xml:space="preserve">Geoscience education</w:t>
            </w:r>
          </w:p>
        </w:tc>
        <w:tc>
          <w:tcPr/>
          <w:p>
            <w:pPr>
              <w:pStyle w:val="Compact"/>
            </w:pPr>
            <w:r>
              <w:t xml:space="preserve">1.91</w:t>
            </w:r>
          </w:p>
        </w:tc>
        <w:tc>
          <w:tcPr/>
          <w:p>
            <w:pPr>
              <w:pStyle w:val="Compact"/>
            </w:pPr>
            <w:r>
              <w:t xml:space="preserve">0.05</w:t>
            </w:r>
          </w:p>
        </w:tc>
        <w:tc>
          <w:tcPr/>
          <w:p>
            <w:pPr>
              <w:pStyle w:val="Compact"/>
            </w:pPr>
            <w:r>
              <w:t xml:space="preserve">0.36</w:t>
            </w:r>
          </w:p>
        </w:tc>
      </w:tr>
      <w:tr>
        <w:tc>
          <w:tcPr/>
          <w:p>
            <w:pPr>
              <w:pStyle w:val="Compact"/>
            </w:pPr>
            <w:r>
              <w:t xml:space="preserve">7</w:t>
            </w:r>
          </w:p>
        </w:tc>
        <w:tc>
          <w:tcPr/>
          <w:p>
            <w:pPr>
              <w:pStyle w:val="Compact"/>
            </w:pPr>
            <w:r>
              <w:t xml:space="preserve">Engineering design</w:t>
            </w:r>
          </w:p>
        </w:tc>
        <w:tc>
          <w:tcPr/>
          <w:p>
            <w:pPr>
              <w:pStyle w:val="Compact"/>
            </w:pPr>
            <w:r>
              <w:t xml:space="preserve">2.24</w:t>
            </w:r>
          </w:p>
        </w:tc>
        <w:tc>
          <w:tcPr/>
          <w:p>
            <w:pPr>
              <w:pStyle w:val="Compact"/>
            </w:pPr>
            <w:r>
              <w:t xml:space="preserve">0.17</w:t>
            </w:r>
          </w:p>
        </w:tc>
        <w:tc>
          <w:tcPr/>
          <w:p>
            <w:pPr>
              <w:pStyle w:val="Compact"/>
            </w:pPr>
            <w:r>
              <w:t xml:space="preserve">0.67</w:t>
            </w:r>
          </w:p>
        </w:tc>
      </w:tr>
      <w:tr>
        <w:tc>
          <w:tcPr/>
          <w:p>
            <w:pPr>
              <w:pStyle w:val="Compact"/>
            </w:pPr>
            <w:r>
              <w:t xml:space="preserve">8</w:t>
            </w:r>
          </w:p>
        </w:tc>
        <w:tc>
          <w:tcPr/>
          <w:p>
            <w:pPr>
              <w:pStyle w:val="Compact"/>
            </w:pPr>
            <w:r>
              <w:t xml:space="preserve">Science inquiry</w:t>
            </w:r>
          </w:p>
        </w:tc>
        <w:tc>
          <w:tcPr/>
          <w:p>
            <w:pPr>
              <w:pStyle w:val="Compact"/>
            </w:pPr>
            <w:r>
              <w:t xml:space="preserve">0.18</w:t>
            </w:r>
          </w:p>
        </w:tc>
        <w:tc>
          <w:tcPr/>
          <w:p>
            <w:pPr>
              <w:pStyle w:val="Compact"/>
            </w:pPr>
            <w:r>
              <w:t xml:space="preserve">0.01</w:t>
            </w:r>
          </w:p>
        </w:tc>
        <w:tc>
          <w:tcPr/>
          <w:p>
            <w:pPr>
              <w:pStyle w:val="Compact"/>
            </w:pPr>
            <w:r>
              <w:t xml:space="preserve">0.81</w:t>
            </w:r>
          </w:p>
        </w:tc>
      </w:tr>
      <w:tr>
        <w:tc>
          <w:tcPr/>
          <w:p>
            <w:pPr>
              <w:pStyle w:val="Compact"/>
            </w:pPr>
            <w:r>
              <w:t xml:space="preserve">9</w:t>
            </w:r>
          </w:p>
        </w:tc>
        <w:tc>
          <w:tcPr/>
          <w:p>
            <w:pPr>
              <w:pStyle w:val="Compact"/>
            </w:pPr>
            <w:r>
              <w:t xml:space="preserve">Teaching/instruction</w:t>
            </w:r>
          </w:p>
        </w:tc>
        <w:tc>
          <w:tcPr/>
          <w:p>
            <w:pPr>
              <w:pStyle w:val="Compact"/>
            </w:pPr>
            <w:r>
              <w:t xml:space="preserve">2.08</w:t>
            </w:r>
          </w:p>
        </w:tc>
        <w:tc>
          <w:tcPr/>
          <w:p>
            <w:pPr>
              <w:pStyle w:val="Compact"/>
            </w:pPr>
            <w:r>
              <w:t xml:space="preserve">0.15</w:t>
            </w:r>
          </w:p>
        </w:tc>
        <w:tc>
          <w:tcPr/>
          <w:p>
            <w:pPr>
              <w:pStyle w:val="Compact"/>
            </w:pPr>
            <w:r>
              <w:t xml:space="preserve">0.59</w:t>
            </w:r>
          </w:p>
        </w:tc>
      </w:tr>
      <w:tr>
        <w:tc>
          <w:tcPr/>
          <w:p>
            <w:pPr>
              <w:pStyle w:val="Compact"/>
            </w:pPr>
            <w:r>
              <w:t xml:space="preserve">10</w:t>
            </w:r>
          </w:p>
        </w:tc>
        <w:tc>
          <w:tcPr/>
          <w:p>
            <w:pPr>
              <w:pStyle w:val="Compact"/>
            </w:pPr>
            <w:r>
              <w:t xml:space="preserve">General science learning</w:t>
            </w:r>
          </w:p>
        </w:tc>
        <w:tc>
          <w:tcPr/>
          <w:p>
            <w:pPr>
              <w:pStyle w:val="Compact"/>
            </w:pPr>
            <w:r>
              <w:t xml:space="preserve">0.38</w:t>
            </w:r>
          </w:p>
        </w:tc>
        <w:tc>
          <w:tcPr/>
          <w:p>
            <w:pPr>
              <w:pStyle w:val="Compact"/>
            </w:pPr>
            <w:r>
              <w:t xml:space="preserve">0.04</w:t>
            </w:r>
          </w:p>
        </w:tc>
        <w:tc>
          <w:tcPr/>
          <w:p>
            <w:pPr>
              <w:pStyle w:val="Compact"/>
            </w:pPr>
            <w:r>
              <w:t xml:space="preserve">0.70</w:t>
            </w:r>
          </w:p>
        </w:tc>
      </w:tr>
      <w:tr>
        <w:tc>
          <w:tcPr/>
          <w:p>
            <w:pPr>
              <w:pStyle w:val="Compact"/>
            </w:pPr>
            <w:r>
              <w:t xml:space="preserve">11</w:t>
            </w:r>
          </w:p>
        </w:tc>
        <w:tc>
          <w:tcPr/>
          <w:p>
            <w:pPr>
              <w:pStyle w:val="Compact"/>
            </w:pPr>
            <w:r>
              <w:t xml:space="preserve">Equity / inclusion</w:t>
            </w:r>
          </w:p>
        </w:tc>
        <w:tc>
          <w:tcPr/>
          <w:p>
            <w:pPr>
              <w:pStyle w:val="Compact"/>
            </w:pPr>
            <w:r>
              <w:t xml:space="preserve">1.89</w:t>
            </w:r>
          </w:p>
        </w:tc>
        <w:tc>
          <w:tcPr/>
          <w:p>
            <w:pPr>
              <w:pStyle w:val="Compact"/>
            </w:pPr>
            <w:r>
              <w:t xml:space="preserve">0.20</w:t>
            </w:r>
          </w:p>
        </w:tc>
        <w:tc>
          <w:tcPr/>
          <w:p>
            <w:pPr>
              <w:pStyle w:val="Compact"/>
            </w:pPr>
            <w:r>
              <w:t xml:space="preserve">0.53</w:t>
            </w:r>
          </w:p>
        </w:tc>
      </w:tr>
      <w:tr>
        <w:tc>
          <w:tcPr/>
          <w:p>
            <w:pPr>
              <w:pStyle w:val="Compact"/>
            </w:pPr>
            <w:r>
              <w:t xml:space="preserve">12</w:t>
            </w:r>
          </w:p>
        </w:tc>
        <w:tc>
          <w:tcPr/>
          <w:p>
            <w:pPr>
              <w:pStyle w:val="Compact"/>
            </w:pPr>
            <w:r>
              <w:t xml:space="preserve">STEM integration</w:t>
            </w:r>
          </w:p>
        </w:tc>
        <w:tc>
          <w:tcPr/>
          <w:p>
            <w:pPr>
              <w:pStyle w:val="Compact"/>
            </w:pPr>
            <w:r>
              <w:t xml:space="preserve">1.98</w:t>
            </w:r>
          </w:p>
        </w:tc>
        <w:tc>
          <w:tcPr/>
          <w:p>
            <w:pPr>
              <w:pStyle w:val="Compact"/>
            </w:pPr>
            <w:r>
              <w:t xml:space="preserve">0.19</w:t>
            </w:r>
          </w:p>
        </w:tc>
        <w:tc>
          <w:tcPr/>
          <w:p>
            <w:pPr>
              <w:pStyle w:val="Compact"/>
            </w:pPr>
            <w:r>
              <w:t xml:space="preserve">0.64</w:t>
            </w:r>
          </w:p>
        </w:tc>
      </w:tr>
      <w:tr>
        <w:tc>
          <w:tcPr/>
          <w:p>
            <w:pPr>
              <w:pStyle w:val="Compact"/>
            </w:pPr>
            <w:r>
              <w:t xml:space="preserve">13</w:t>
            </w:r>
          </w:p>
        </w:tc>
        <w:tc>
          <w:tcPr/>
          <w:p>
            <w:pPr>
              <w:pStyle w:val="Compact"/>
            </w:pPr>
            <w:r>
              <w:t xml:space="preserve">Teacher professional development</w:t>
            </w:r>
          </w:p>
        </w:tc>
        <w:tc>
          <w:tcPr/>
          <w:p>
            <w:pPr>
              <w:pStyle w:val="Compact"/>
            </w:pPr>
            <w:r>
              <w:t xml:space="preserve">1.26</w:t>
            </w:r>
          </w:p>
        </w:tc>
        <w:tc>
          <w:tcPr/>
          <w:p>
            <w:pPr>
              <w:pStyle w:val="Compact"/>
            </w:pPr>
            <w:r>
              <w:t xml:space="preserve">0.17</w:t>
            </w:r>
          </w:p>
        </w:tc>
        <w:tc>
          <w:tcPr/>
          <w:p>
            <w:pPr>
              <w:pStyle w:val="Compact"/>
            </w:pPr>
            <w:r>
              <w:t xml:space="preserve">0.58</w:t>
            </w:r>
          </w:p>
        </w:tc>
      </w:tr>
      <w:tr>
        <w:tc>
          <w:tcPr/>
          <w:p>
            <w:pPr>
              <w:pStyle w:val="Compact"/>
            </w:pPr>
            <w:r>
              <w:t xml:space="preserve">14</w:t>
            </w:r>
          </w:p>
        </w:tc>
        <w:tc>
          <w:tcPr/>
          <w:p>
            <w:pPr>
              <w:pStyle w:val="Compact"/>
            </w:pPr>
            <w:r>
              <w:t xml:space="preserve">Biology education</w:t>
            </w:r>
          </w:p>
        </w:tc>
        <w:tc>
          <w:tcPr/>
          <w:p>
            <w:pPr>
              <w:pStyle w:val="Compact"/>
            </w:pPr>
            <w:r>
              <w:t xml:space="preserve">1.20</w:t>
            </w:r>
          </w:p>
        </w:tc>
        <w:tc>
          <w:tcPr/>
          <w:p>
            <w:pPr>
              <w:pStyle w:val="Compact"/>
            </w:pPr>
            <w:r>
              <w:t xml:space="preserve">0.19</w:t>
            </w:r>
          </w:p>
        </w:tc>
        <w:tc>
          <w:tcPr/>
          <w:p>
            <w:pPr>
              <w:pStyle w:val="Compact"/>
            </w:pPr>
            <w:r>
              <w:t xml:space="preserve">0.47</w:t>
            </w:r>
          </w:p>
        </w:tc>
      </w:tr>
      <w:tr>
        <w:tc>
          <w:tcPr/>
          <w:p>
            <w:pPr>
              <w:pStyle w:val="Compact"/>
            </w:pPr>
            <w:r>
              <w:t xml:space="preserve">15</w:t>
            </w:r>
          </w:p>
        </w:tc>
        <w:tc>
          <w:tcPr/>
          <w:p>
            <w:pPr>
              <w:pStyle w:val="Compact"/>
            </w:pPr>
            <w:r>
              <w:t xml:space="preserve">Chemistry education</w:t>
            </w:r>
          </w:p>
        </w:tc>
        <w:tc>
          <w:tcPr/>
          <w:p>
            <w:pPr>
              <w:pStyle w:val="Compact"/>
            </w:pPr>
            <w:r>
              <w:t xml:space="preserve">0.55</w:t>
            </w:r>
          </w:p>
        </w:tc>
        <w:tc>
          <w:tcPr/>
          <w:p>
            <w:pPr>
              <w:pStyle w:val="Compact"/>
            </w:pPr>
            <w:r>
              <w:t xml:space="preserve">0.05</w:t>
            </w:r>
          </w:p>
        </w:tc>
        <w:tc>
          <w:tcPr/>
          <w:p>
            <w:pPr>
              <w:pStyle w:val="Compact"/>
            </w:pPr>
            <w:r>
              <w:t xml:space="preserve">0.58</w:t>
            </w:r>
          </w:p>
        </w:tc>
      </w:tr>
      <w:tr>
        <w:tc>
          <w:tcPr/>
          <w:p>
            <w:pPr>
              <w:pStyle w:val="Compact"/>
            </w:pPr>
            <w:r>
              <w:t xml:space="preserve">16</w:t>
            </w:r>
          </w:p>
        </w:tc>
        <w:tc>
          <w:tcPr/>
          <w:p>
            <w:pPr>
              <w:pStyle w:val="Compact"/>
            </w:pPr>
            <w:r>
              <w:t xml:space="preserve">Physics education</w:t>
            </w:r>
          </w:p>
        </w:tc>
        <w:tc>
          <w:tcPr/>
          <w:p>
            <w:pPr>
              <w:pStyle w:val="Compact"/>
            </w:pPr>
            <w:r>
              <w:t xml:space="preserve">2.05</w:t>
            </w:r>
          </w:p>
        </w:tc>
        <w:tc>
          <w:tcPr/>
          <w:p>
            <w:pPr>
              <w:pStyle w:val="Compact"/>
            </w:pPr>
            <w:r>
              <w:t xml:space="preserve">0.26</w:t>
            </w:r>
          </w:p>
        </w:tc>
        <w:tc>
          <w:tcPr/>
          <w:p>
            <w:pPr>
              <w:pStyle w:val="Compact"/>
            </w:pPr>
            <w:r>
              <w:t xml:space="preserve">0.52</w:t>
            </w:r>
          </w:p>
        </w:tc>
      </w:tr>
      <w:tr>
        <w:tc>
          <w:tcPr/>
          <w:p>
            <w:pPr>
              <w:pStyle w:val="Compact"/>
            </w:pPr>
            <w:r>
              <w:t xml:space="preserve">17</w:t>
            </w:r>
          </w:p>
        </w:tc>
        <w:tc>
          <w:tcPr/>
          <w:p>
            <w:pPr>
              <w:pStyle w:val="Compact"/>
            </w:pPr>
            <w:r>
              <w:t xml:space="preserve">Pandemic-era teaching</w:t>
            </w:r>
          </w:p>
        </w:tc>
        <w:tc>
          <w:tcPr/>
          <w:p>
            <w:pPr>
              <w:pStyle w:val="Compact"/>
            </w:pPr>
            <w:r>
              <w:t xml:space="preserve">1.36</w:t>
            </w:r>
          </w:p>
        </w:tc>
        <w:tc>
          <w:tcPr/>
          <w:p>
            <w:pPr>
              <w:pStyle w:val="Compact"/>
            </w:pPr>
            <w:r>
              <w:t xml:space="preserve">0.06</w:t>
            </w:r>
          </w:p>
        </w:tc>
        <w:tc>
          <w:tcPr/>
          <w:p>
            <w:pPr>
              <w:pStyle w:val="Compact"/>
            </w:pPr>
            <w:r>
              <w:t xml:space="preserve">0.63</w:t>
            </w:r>
          </w:p>
        </w:tc>
      </w:tr>
      <w:tr>
        <w:tc>
          <w:tcPr/>
          <w:p>
            <w:pPr>
              <w:pStyle w:val="Compact"/>
            </w:pPr>
            <w:r>
              <w:t xml:space="preserve">18</w:t>
            </w:r>
          </w:p>
        </w:tc>
        <w:tc>
          <w:tcPr/>
          <w:p>
            <w:pPr>
              <w:pStyle w:val="Compact"/>
            </w:pPr>
            <w:r>
              <w:t xml:space="preserve">Course instruction / assessment</w:t>
            </w:r>
          </w:p>
        </w:tc>
        <w:tc>
          <w:tcPr/>
          <w:p>
            <w:pPr>
              <w:pStyle w:val="Compact"/>
            </w:pPr>
            <w:r>
              <w:t xml:space="preserve">2.19</w:t>
            </w:r>
          </w:p>
        </w:tc>
        <w:tc>
          <w:tcPr/>
          <w:p>
            <w:pPr>
              <w:pStyle w:val="Compact"/>
            </w:pPr>
            <w:r>
              <w:t xml:space="preserve">0.19</w:t>
            </w:r>
          </w:p>
        </w:tc>
        <w:tc>
          <w:tcPr/>
          <w:p>
            <w:pPr>
              <w:pStyle w:val="Compact"/>
            </w:pPr>
            <w:r>
              <w:t xml:space="preserve">0.56</w:t>
            </w:r>
          </w:p>
        </w:tc>
      </w:tr>
      <w:tr>
        <w:tc>
          <w:tcPr/>
          <w:p>
            <w:pPr>
              <w:pStyle w:val="Compact"/>
            </w:pPr>
            <w:r>
              <w:t xml:space="preserve">19</w:t>
            </w:r>
          </w:p>
        </w:tc>
        <w:tc>
          <w:tcPr/>
          <w:p>
            <w:pPr>
              <w:pStyle w:val="Compact"/>
            </w:pPr>
            <w:r>
              <w:t xml:space="preserve">Biology education</w:t>
            </w:r>
          </w:p>
        </w:tc>
        <w:tc>
          <w:tcPr/>
          <w:p>
            <w:pPr>
              <w:pStyle w:val="Compact"/>
            </w:pPr>
            <w:r>
              <w:t xml:space="preserve">1.53</w:t>
            </w:r>
          </w:p>
        </w:tc>
        <w:tc>
          <w:tcPr/>
          <w:p>
            <w:pPr>
              <w:pStyle w:val="Compact"/>
            </w:pPr>
            <w:r>
              <w:t xml:space="preserve">0.36</w:t>
            </w:r>
          </w:p>
        </w:tc>
        <w:tc>
          <w:tcPr/>
          <w:p>
            <w:pPr>
              <w:pStyle w:val="Compact"/>
            </w:pPr>
            <w:r>
              <w:t xml:space="preserve">0.57</w:t>
            </w:r>
          </w:p>
        </w:tc>
      </w:tr>
    </w:tbl>
    <w:p>
      <w:pPr>
        <w:pStyle w:val="BodyText"/>
      </w:pPr>
      <w:r>
        <w:t xml:space="preserve">Biology education (cluster 19) has the highest cross-tag share (0.36), followed by STEM equity (cluster 1, 0.28) and physics education (cluster 16, 0.26); pandemic-era teaching (cluster 17) is topically confined (entropy 1.36, cross-tag share 0.06). Chemistry education (clusters 4, 15) and physics education (cluster 5) show the lowest cross-tag shares and entropy, confirming their siloed nature.</w:t>
      </w:r>
    </w:p>
    <w:bookmarkEnd w:id="29"/>
    <w:bookmarkStart w:id="33" w:name="citation-network-rq1-and-rq3"/>
    <w:p>
      <w:pPr>
        <w:pStyle w:val="Heading3"/>
      </w:pPr>
      <w:r>
        <w:t xml:space="preserve">4.4 Citation network (RQ1 and RQ3)</w:t>
      </w:r>
    </w:p>
    <w:p>
      <w:pPr>
        <w:pStyle w:val="FirstParagraph"/>
      </w:pPr>
      <w:r>
        <w:rPr>
          <w:b/>
          <w:bCs/>
        </w:rPr>
        <w:t xml:space="preserve">Table 3.</w:t>
      </w:r>
      <w:r>
        <w:t xml:space="preserve"> </w:t>
      </w:r>
      <w:r>
        <w:t xml:space="preserve">Per-journal citation metrics (micro, raw pooled counts): out-degree, in-degree, self-cite share, same-tag share, cross-tag share, entropy (15-journal and 8-tag), betweenness, E-I index, and Rao-Stirling (Simpson and distance-weighted).</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Journal</w:t>
            </w:r>
          </w:p>
        </w:tc>
        <w:tc>
          <w:tcPr/>
          <w:p>
            <w:pPr>
              <w:pStyle w:val="Compact"/>
            </w:pPr>
            <w:r>
              <w:t xml:space="preserve">Out total</w:t>
            </w:r>
          </w:p>
        </w:tc>
        <w:tc>
          <w:tcPr/>
          <w:p>
            <w:pPr>
              <w:pStyle w:val="Compact"/>
            </w:pPr>
            <w:r>
              <w:t xml:space="preserve">In total</w:t>
            </w:r>
          </w:p>
        </w:tc>
        <w:tc>
          <w:tcPr/>
          <w:p>
            <w:pPr>
              <w:pStyle w:val="Compact"/>
            </w:pPr>
            <w:r>
              <w:t xml:space="preserve">Self-cite</w:t>
            </w:r>
          </w:p>
        </w:tc>
        <w:tc>
          <w:tcPr/>
          <w:p>
            <w:pPr>
              <w:pStyle w:val="Compact"/>
            </w:pPr>
            <w:r>
              <w:t xml:space="preserve">Same-tag</w:t>
            </w:r>
          </w:p>
        </w:tc>
        <w:tc>
          <w:tcPr/>
          <w:p>
            <w:pPr>
              <w:pStyle w:val="Compact"/>
            </w:pPr>
            <w:r>
              <w:t xml:space="preserve">Cross-tag</w:t>
            </w:r>
          </w:p>
        </w:tc>
        <w:tc>
          <w:tcPr/>
          <w:p>
            <w:pPr>
              <w:pStyle w:val="Compact"/>
            </w:pPr>
            <w:r>
              <w:t xml:space="preserve">Entropy (15)</w:t>
            </w:r>
          </w:p>
        </w:tc>
        <w:tc>
          <w:tcPr/>
          <w:p>
            <w:pPr>
              <w:pStyle w:val="Compact"/>
            </w:pPr>
            <w:r>
              <w:t xml:space="preserve">Entropy (8)</w:t>
            </w:r>
          </w:p>
        </w:tc>
        <w:tc>
          <w:tcPr/>
          <w:p>
            <w:pPr>
              <w:pStyle w:val="Compact"/>
            </w:pPr>
            <w:r>
              <w:t xml:space="preserve">Betweenness</w:t>
            </w:r>
          </w:p>
        </w:tc>
        <w:tc>
          <w:tcPr/>
          <w:p>
            <w:pPr>
              <w:pStyle w:val="Compact"/>
            </w:pPr>
            <w:r>
              <w:t xml:space="preserve">E-I</w:t>
            </w:r>
          </w:p>
        </w:tc>
        <w:tc>
          <w:tcPr/>
          <w:p>
            <w:pPr>
              <w:pStyle w:val="Compact"/>
            </w:pPr>
            <w:r>
              <w:t xml:space="preserve">RS (Simpson)</w:t>
            </w:r>
          </w:p>
        </w:tc>
        <w:tc>
          <w:tcPr/>
          <w:p>
            <w:pPr>
              <w:pStyle w:val="Compact"/>
            </w:pPr>
            <w:r>
              <w:t xml:space="preserve">RS (dist-wtd)</w:t>
            </w:r>
          </w:p>
        </w:tc>
      </w:tr>
      <w:tr>
        <w:tc>
          <w:tcPr/>
          <w:p>
            <w:pPr>
              <w:pStyle w:val="Compact"/>
            </w:pPr>
            <w:r>
              <w:t xml:space="preserve">diser</w:t>
            </w:r>
          </w:p>
        </w:tc>
        <w:tc>
          <w:tcPr/>
          <w:p>
            <w:pPr>
              <w:pStyle w:val="Compact"/>
            </w:pPr>
            <w:r>
              <w:t xml:space="preserve">546</w:t>
            </w:r>
          </w:p>
        </w:tc>
        <w:tc>
          <w:tcPr/>
          <w:p>
            <w:pPr>
              <w:pStyle w:val="Compact"/>
            </w:pPr>
            <w:r>
              <w:t xml:space="preserve">431</w:t>
            </w:r>
          </w:p>
        </w:tc>
        <w:tc>
          <w:tcPr/>
          <w:p>
            <w:pPr>
              <w:pStyle w:val="Compact"/>
            </w:pPr>
            <w:r>
              <w:t xml:space="preserve">0.159</w:t>
            </w:r>
          </w:p>
        </w:tc>
        <w:tc>
          <w:tcPr/>
          <w:p>
            <w:pPr>
              <w:pStyle w:val="Compact"/>
            </w:pPr>
            <w:r>
              <w:t xml:space="preserve">0.159</w:t>
            </w:r>
          </w:p>
        </w:tc>
        <w:tc>
          <w:tcPr/>
          <w:p>
            <w:pPr>
              <w:pStyle w:val="Compact"/>
            </w:pPr>
            <w:r>
              <w:t xml:space="preserve">0.841</w:t>
            </w:r>
          </w:p>
        </w:tc>
        <w:tc>
          <w:tcPr/>
          <w:p>
            <w:pPr>
              <w:pStyle w:val="Compact"/>
            </w:pPr>
            <w:r>
              <w:t xml:space="preserve">0.860</w:t>
            </w:r>
          </w:p>
        </w:tc>
        <w:tc>
          <w:tcPr/>
          <w:p>
            <w:pPr>
              <w:pStyle w:val="Compact"/>
            </w:pPr>
            <w:r>
              <w:t xml:space="preserve">0.678</w:t>
            </w:r>
          </w:p>
        </w:tc>
        <w:tc>
          <w:tcPr/>
          <w:p>
            <w:pPr>
              <w:pStyle w:val="Compact"/>
            </w:pPr>
            <w:r>
              <w:t xml:space="preserve">0.000</w:t>
            </w:r>
          </w:p>
        </w:tc>
        <w:tc>
          <w:tcPr/>
          <w:p>
            <w:pPr>
              <w:pStyle w:val="Compact"/>
            </w:pPr>
            <w:r>
              <w:t xml:space="preserve">0.68</w:t>
            </w:r>
          </w:p>
        </w:tc>
        <w:tc>
          <w:tcPr/>
          <w:p>
            <w:pPr>
              <w:pStyle w:val="Compact"/>
            </w:pPr>
            <w:r>
              <w:t xml:space="preserve">0.72</w:t>
            </w:r>
          </w:p>
        </w:tc>
        <w:tc>
          <w:tcPr/>
          <w:p>
            <w:pPr>
              <w:pStyle w:val="Compact"/>
            </w:pPr>
            <w:r>
              <w:t xml:space="preserve">0.61</w:t>
            </w:r>
          </w:p>
        </w:tc>
      </w:tr>
      <w:tr>
        <w:tc>
          <w:tcPr/>
          <w:p>
            <w:pPr>
              <w:pStyle w:val="Compact"/>
            </w:pPr>
            <w:r>
              <w:t xml:space="preserve">science_education</w:t>
            </w:r>
          </w:p>
        </w:tc>
        <w:tc>
          <w:tcPr/>
          <w:p>
            <w:pPr>
              <w:pStyle w:val="Compact"/>
            </w:pPr>
            <w:r>
              <w:t xml:space="preserve">2314</w:t>
            </w:r>
          </w:p>
        </w:tc>
        <w:tc>
          <w:tcPr/>
          <w:p>
            <w:pPr>
              <w:pStyle w:val="Compact"/>
            </w:pPr>
            <w:r>
              <w:t xml:space="preserve">2665</w:t>
            </w:r>
          </w:p>
        </w:tc>
        <w:tc>
          <w:tcPr/>
          <w:p>
            <w:pPr>
              <w:pStyle w:val="Compact"/>
            </w:pPr>
            <w:r>
              <w:t xml:space="preserve">0.460</w:t>
            </w:r>
          </w:p>
        </w:tc>
        <w:tc>
          <w:tcPr/>
          <w:p>
            <w:pPr>
              <w:pStyle w:val="Compact"/>
            </w:pPr>
            <w:r>
              <w:t xml:space="preserve">0.848</w:t>
            </w:r>
          </w:p>
        </w:tc>
        <w:tc>
          <w:tcPr/>
          <w:p>
            <w:pPr>
              <w:pStyle w:val="Compact"/>
            </w:pPr>
            <w:r>
              <w:t xml:space="preserve">0.152</w:t>
            </w:r>
          </w:p>
        </w:tc>
        <w:tc>
          <w:tcPr/>
          <w:p>
            <w:pPr>
              <w:pStyle w:val="Compact"/>
            </w:pPr>
            <w:r>
              <w:t xml:space="preserve">0.643</w:t>
            </w:r>
          </w:p>
        </w:tc>
        <w:tc>
          <w:tcPr/>
          <w:p>
            <w:pPr>
              <w:pStyle w:val="Compact"/>
            </w:pPr>
            <w:r>
              <w:t xml:space="preserve">0.326</w:t>
            </w:r>
          </w:p>
        </w:tc>
        <w:tc>
          <w:tcPr/>
          <w:p>
            <w:pPr>
              <w:pStyle w:val="Compact"/>
            </w:pPr>
            <w:r>
              <w:t xml:space="preserve">0.231</w:t>
            </w:r>
          </w:p>
        </w:tc>
        <w:tc>
          <w:tcPr/>
          <w:p>
            <w:pPr>
              <w:pStyle w:val="Compact"/>
            </w:pPr>
            <w:r>
              <w:t xml:space="preserve">0.12</w:t>
            </w:r>
          </w:p>
        </w:tc>
        <w:tc>
          <w:tcPr/>
          <w:p>
            <w:pPr>
              <w:pStyle w:val="Compact"/>
            </w:pPr>
            <w:r>
              <w:t xml:space="preserve">0.41</w:t>
            </w:r>
          </w:p>
        </w:tc>
        <w:tc>
          <w:tcPr/>
          <w:p>
            <w:pPr>
              <w:pStyle w:val="Compact"/>
            </w:pPr>
            <w:r>
              <w:t xml:space="preserve">0.34</w:t>
            </w:r>
          </w:p>
        </w:tc>
      </w:tr>
      <w:tr>
        <w:tc>
          <w:tcPr/>
          <w:p>
            <w:pPr>
              <w:pStyle w:val="Compact"/>
            </w:pPr>
            <w:r>
              <w:t xml:space="preserve">jrst</w:t>
            </w:r>
          </w:p>
        </w:tc>
        <w:tc>
          <w:tcPr/>
          <w:p>
            <w:pPr>
              <w:pStyle w:val="Compact"/>
            </w:pPr>
            <w:r>
              <w:t xml:space="preserve">2188</w:t>
            </w:r>
          </w:p>
        </w:tc>
        <w:tc>
          <w:tcPr/>
          <w:p>
            <w:pPr>
              <w:pStyle w:val="Compact"/>
            </w:pPr>
            <w:r>
              <w:t xml:space="preserve">2929</w:t>
            </w:r>
          </w:p>
        </w:tc>
        <w:tc>
          <w:tcPr/>
          <w:p>
            <w:pPr>
              <w:pStyle w:val="Compact"/>
            </w:pPr>
            <w:r>
              <w:t xml:space="preserve">0.403</w:t>
            </w:r>
          </w:p>
        </w:tc>
        <w:tc>
          <w:tcPr/>
          <w:p>
            <w:pPr>
              <w:pStyle w:val="Compact"/>
            </w:pPr>
            <w:r>
              <w:t xml:space="preserve">0.836</w:t>
            </w:r>
          </w:p>
        </w:tc>
        <w:tc>
          <w:tcPr/>
          <w:p>
            <w:pPr>
              <w:pStyle w:val="Compact"/>
            </w:pPr>
            <w:r>
              <w:t xml:space="preserve">0.165</w:t>
            </w:r>
          </w:p>
        </w:tc>
        <w:tc>
          <w:tcPr/>
          <w:p>
            <w:pPr>
              <w:pStyle w:val="Compact"/>
            </w:pPr>
            <w:r>
              <w:t xml:space="preserve">0.665</w:t>
            </w:r>
          </w:p>
        </w:tc>
        <w:tc>
          <w:tcPr/>
          <w:p>
            <w:pPr>
              <w:pStyle w:val="Compact"/>
            </w:pPr>
            <w:r>
              <w:t xml:space="preserve">0.346</w:t>
            </w:r>
          </w:p>
        </w:tc>
        <w:tc>
          <w:tcPr/>
          <w:p>
            <w:pPr>
              <w:pStyle w:val="Compact"/>
            </w:pPr>
            <w:r>
              <w:t xml:space="preserve">0.198</w:t>
            </w:r>
          </w:p>
        </w:tc>
        <w:tc>
          <w:tcPr/>
          <w:p>
            <w:pPr>
              <w:pStyle w:val="Compact"/>
            </w:pPr>
            <w:r>
              <w:t xml:space="preserve">0.15</w:t>
            </w:r>
          </w:p>
        </w:tc>
        <w:tc>
          <w:tcPr/>
          <w:p>
            <w:pPr>
              <w:pStyle w:val="Compact"/>
            </w:pPr>
            <w:r>
              <w:t xml:space="preserve">0.44</w:t>
            </w:r>
          </w:p>
        </w:tc>
        <w:tc>
          <w:tcPr/>
          <w:p>
            <w:pPr>
              <w:pStyle w:val="Compact"/>
            </w:pPr>
            <w:r>
              <w:t xml:space="preserve">0.37</w:t>
            </w:r>
          </w:p>
        </w:tc>
      </w:tr>
      <w:tr>
        <w:tc>
          <w:tcPr/>
          <w:p>
            <w:pPr>
              <w:pStyle w:val="Compact"/>
            </w:pPr>
            <w:r>
              <w:t xml:space="preserve">ijse</w:t>
            </w:r>
          </w:p>
        </w:tc>
        <w:tc>
          <w:tcPr/>
          <w:p>
            <w:pPr>
              <w:pStyle w:val="Compact"/>
            </w:pPr>
            <w:r>
              <w:t xml:space="preserve">2975</w:t>
            </w:r>
          </w:p>
        </w:tc>
        <w:tc>
          <w:tcPr/>
          <w:p>
            <w:pPr>
              <w:pStyle w:val="Compact"/>
            </w:pPr>
            <w:r>
              <w:t xml:space="preserve">2767</w:t>
            </w:r>
          </w:p>
        </w:tc>
        <w:tc>
          <w:tcPr/>
          <w:p>
            <w:pPr>
              <w:pStyle w:val="Compact"/>
            </w:pPr>
            <w:r>
              <w:t xml:space="preserve">0.360</w:t>
            </w:r>
          </w:p>
        </w:tc>
        <w:tc>
          <w:tcPr/>
          <w:p>
            <w:pPr>
              <w:pStyle w:val="Compact"/>
            </w:pPr>
            <w:r>
              <w:t xml:space="preserve">0.741</w:t>
            </w:r>
          </w:p>
        </w:tc>
        <w:tc>
          <w:tcPr/>
          <w:p>
            <w:pPr>
              <w:pStyle w:val="Compact"/>
            </w:pPr>
            <w:r>
              <w:t xml:space="preserve">0.259</w:t>
            </w:r>
          </w:p>
        </w:tc>
        <w:tc>
          <w:tcPr/>
          <w:p>
            <w:pPr>
              <w:pStyle w:val="Compact"/>
            </w:pPr>
            <w:r>
              <w:t xml:space="preserve">0.765</w:t>
            </w:r>
          </w:p>
        </w:tc>
        <w:tc>
          <w:tcPr/>
          <w:p>
            <w:pPr>
              <w:pStyle w:val="Compact"/>
            </w:pPr>
            <w:r>
              <w:t xml:space="preserve">0.470</w:t>
            </w:r>
          </w:p>
        </w:tc>
        <w:tc>
          <w:tcPr/>
          <w:p>
            <w:pPr>
              <w:pStyle w:val="Compact"/>
            </w:pPr>
            <w:r>
              <w:t xml:space="preserve">0.185</w:t>
            </w:r>
          </w:p>
        </w:tc>
        <w:tc>
          <w:tcPr/>
          <w:p>
            <w:pPr>
              <w:pStyle w:val="Compact"/>
            </w:pPr>
            <w:r>
              <w:t xml:space="preserve">0.22</w:t>
            </w:r>
          </w:p>
        </w:tc>
        <w:tc>
          <w:tcPr/>
          <w:p>
            <w:pPr>
              <w:pStyle w:val="Compact"/>
            </w:pPr>
            <w:r>
              <w:t xml:space="preserve">0.49</w:t>
            </w:r>
          </w:p>
        </w:tc>
        <w:tc>
          <w:tcPr/>
          <w:p>
            <w:pPr>
              <w:pStyle w:val="Compact"/>
            </w:pPr>
            <w:r>
              <w:t xml:space="preserve">0.41</w:t>
            </w:r>
          </w:p>
        </w:tc>
      </w:tr>
      <w:tr>
        <w:tc>
          <w:tcPr/>
          <w:p>
            <w:pPr>
              <w:pStyle w:val="Compact"/>
            </w:pPr>
            <w:r>
              <w:t xml:space="preserve">rse</w:t>
            </w:r>
          </w:p>
        </w:tc>
        <w:tc>
          <w:tcPr/>
          <w:p>
            <w:pPr>
              <w:pStyle w:val="Compact"/>
            </w:pPr>
            <w:r>
              <w:t xml:space="preserve">1456</w:t>
            </w:r>
          </w:p>
        </w:tc>
        <w:tc>
          <w:tcPr/>
          <w:p>
            <w:pPr>
              <w:pStyle w:val="Compact"/>
            </w:pPr>
            <w:r>
              <w:t xml:space="preserve">1267</w:t>
            </w:r>
          </w:p>
        </w:tc>
        <w:tc>
          <w:tcPr/>
          <w:p>
            <w:pPr>
              <w:pStyle w:val="Compact"/>
            </w:pPr>
            <w:r>
              <w:t xml:space="preserve">0.264</w:t>
            </w:r>
          </w:p>
        </w:tc>
        <w:tc>
          <w:tcPr/>
          <w:p>
            <w:pPr>
              <w:pStyle w:val="Compact"/>
            </w:pPr>
            <w:r>
              <w:t xml:space="preserve">0.738</w:t>
            </w:r>
          </w:p>
        </w:tc>
        <w:tc>
          <w:tcPr/>
          <w:p>
            <w:pPr>
              <w:pStyle w:val="Compact"/>
            </w:pPr>
            <w:r>
              <w:t xml:space="preserve">0.262</w:t>
            </w:r>
          </w:p>
        </w:tc>
        <w:tc>
          <w:tcPr/>
          <w:p>
            <w:pPr>
              <w:pStyle w:val="Compact"/>
            </w:pPr>
            <w:r>
              <w:t xml:space="preserve">0.803</w:t>
            </w:r>
          </w:p>
        </w:tc>
        <w:tc>
          <w:tcPr/>
          <w:p>
            <w:pPr>
              <w:pStyle w:val="Compact"/>
            </w:pPr>
            <w:r>
              <w:t xml:space="preserve">0.492</w:t>
            </w:r>
          </w:p>
        </w:tc>
        <w:tc>
          <w:tcPr/>
          <w:p>
            <w:pPr>
              <w:pStyle w:val="Compact"/>
            </w:pPr>
            <w:r>
              <w:t xml:space="preserve">0.156</w:t>
            </w:r>
          </w:p>
        </w:tc>
        <w:tc>
          <w:tcPr/>
          <w:p>
            <w:pPr>
              <w:pStyle w:val="Compact"/>
            </w:pPr>
            <w:r>
              <w:t xml:space="preserve">0.24</w:t>
            </w:r>
          </w:p>
        </w:tc>
        <w:tc>
          <w:tcPr/>
          <w:p>
            <w:pPr>
              <w:pStyle w:val="Compact"/>
            </w:pPr>
            <w:r>
              <w:t xml:space="preserve">0.51</w:t>
            </w:r>
          </w:p>
        </w:tc>
        <w:tc>
          <w:tcPr/>
          <w:p>
            <w:pPr>
              <w:pStyle w:val="Compact"/>
            </w:pPr>
            <w:r>
              <w:t xml:space="preserve">0.43</w:t>
            </w:r>
          </w:p>
        </w:tc>
      </w:tr>
      <w:tr>
        <w:tc>
          <w:tcPr/>
          <w:p>
            <w:pPr>
              <w:pStyle w:val="Compact"/>
            </w:pPr>
            <w:r>
              <w:t xml:space="preserve">sse</w:t>
            </w:r>
          </w:p>
        </w:tc>
        <w:tc>
          <w:tcPr/>
          <w:p>
            <w:pPr>
              <w:pStyle w:val="Compact"/>
            </w:pPr>
            <w:r>
              <w:t xml:space="preserve">348</w:t>
            </w:r>
          </w:p>
        </w:tc>
        <w:tc>
          <w:tcPr/>
          <w:p>
            <w:pPr>
              <w:pStyle w:val="Compact"/>
            </w:pPr>
            <w:r>
              <w:t xml:space="preserve">494</w:t>
            </w:r>
          </w:p>
        </w:tc>
        <w:tc>
          <w:tcPr/>
          <w:p>
            <w:pPr>
              <w:pStyle w:val="Compact"/>
            </w:pPr>
            <w:r>
              <w:t xml:space="preserve">0.095</w:t>
            </w:r>
          </w:p>
        </w:tc>
        <w:tc>
          <w:tcPr/>
          <w:p>
            <w:pPr>
              <w:pStyle w:val="Compact"/>
            </w:pPr>
            <w:r>
              <w:t xml:space="preserve">0.670</w:t>
            </w:r>
          </w:p>
        </w:tc>
        <w:tc>
          <w:tcPr/>
          <w:p>
            <w:pPr>
              <w:pStyle w:val="Compact"/>
            </w:pPr>
            <w:r>
              <w:t xml:space="preserve">0.331</w:t>
            </w:r>
          </w:p>
        </w:tc>
        <w:tc>
          <w:tcPr/>
          <w:p>
            <w:pPr>
              <w:pStyle w:val="Compact"/>
            </w:pPr>
            <w:r>
              <w:t xml:space="preserve">0.858</w:t>
            </w:r>
          </w:p>
        </w:tc>
        <w:tc>
          <w:tcPr/>
          <w:p>
            <w:pPr>
              <w:pStyle w:val="Compact"/>
            </w:pPr>
            <w:r>
              <w:t xml:space="preserve">0.568</w:t>
            </w:r>
          </w:p>
        </w:tc>
        <w:tc>
          <w:tcPr/>
          <w:p>
            <w:pPr>
              <w:pStyle w:val="Compact"/>
            </w:pPr>
            <w:r>
              <w:t xml:space="preserve">0.134</w:t>
            </w:r>
          </w:p>
        </w:tc>
        <w:tc>
          <w:tcPr/>
          <w:p>
            <w:pPr>
              <w:pStyle w:val="Compact"/>
            </w:pPr>
            <w:r>
              <w:t xml:space="preserve">0.31</w:t>
            </w:r>
          </w:p>
        </w:tc>
        <w:tc>
          <w:tcPr/>
          <w:p>
            <w:pPr>
              <w:pStyle w:val="Compact"/>
            </w:pPr>
            <w:r>
              <w:t xml:space="preserve">0.55</w:t>
            </w:r>
          </w:p>
        </w:tc>
        <w:tc>
          <w:tcPr/>
          <w:p>
            <w:pPr>
              <w:pStyle w:val="Compact"/>
            </w:pPr>
            <w:r>
              <w:t xml:space="preserve">0.46</w:t>
            </w:r>
          </w:p>
        </w:tc>
      </w:tr>
      <w:tr>
        <w:tc>
          <w:tcPr/>
          <w:p>
            <w:pPr>
              <w:pStyle w:val="Compact"/>
            </w:pPr>
            <w:r>
              <w:t xml:space="preserve">jbe</w:t>
            </w:r>
          </w:p>
        </w:tc>
        <w:tc>
          <w:tcPr/>
          <w:p>
            <w:pPr>
              <w:pStyle w:val="Compact"/>
            </w:pPr>
            <w:r>
              <w:t xml:space="preserve">653</w:t>
            </w:r>
          </w:p>
        </w:tc>
        <w:tc>
          <w:tcPr/>
          <w:p>
            <w:pPr>
              <w:pStyle w:val="Compact"/>
            </w:pPr>
            <w:r>
              <w:t xml:space="preserve">508</w:t>
            </w:r>
          </w:p>
        </w:tc>
        <w:tc>
          <w:tcPr/>
          <w:p>
            <w:pPr>
              <w:pStyle w:val="Compact"/>
            </w:pPr>
            <w:r>
              <w:t xml:space="preserve">0.453</w:t>
            </w:r>
          </w:p>
        </w:tc>
        <w:tc>
          <w:tcPr/>
          <w:p>
            <w:pPr>
              <w:pStyle w:val="Compact"/>
            </w:pPr>
            <w:r>
              <w:t xml:space="preserve">0.453</w:t>
            </w:r>
          </w:p>
        </w:tc>
        <w:tc>
          <w:tcPr/>
          <w:p>
            <w:pPr>
              <w:pStyle w:val="Compact"/>
            </w:pPr>
            <w:r>
              <w:t xml:space="preserve">0.547</w:t>
            </w:r>
          </w:p>
        </w:tc>
        <w:tc>
          <w:tcPr/>
          <w:p>
            <w:pPr>
              <w:pStyle w:val="Compact"/>
            </w:pPr>
            <w:r>
              <w:t xml:space="preserve">0.650</w:t>
            </w:r>
          </w:p>
        </w:tc>
        <w:tc>
          <w:tcPr/>
          <w:p>
            <w:pPr>
              <w:pStyle w:val="Compact"/>
            </w:pPr>
            <w:r>
              <w:t xml:space="preserve">0.562</w:t>
            </w:r>
          </w:p>
        </w:tc>
        <w:tc>
          <w:tcPr/>
          <w:p>
            <w:pPr>
              <w:pStyle w:val="Compact"/>
            </w:pPr>
            <w:r>
              <w:t xml:space="preserve">0.172</w:t>
            </w:r>
          </w:p>
        </w:tc>
        <w:tc>
          <w:tcPr/>
          <w:p>
            <w:pPr>
              <w:pStyle w:val="Compact"/>
            </w:pPr>
            <w:r>
              <w:t xml:space="preserve">0.45</w:t>
            </w:r>
          </w:p>
        </w:tc>
        <w:tc>
          <w:tcPr/>
          <w:p>
            <w:pPr>
              <w:pStyle w:val="Compact"/>
            </w:pPr>
            <w:r>
              <w:t xml:space="preserve">0.58</w:t>
            </w:r>
          </w:p>
        </w:tc>
        <w:tc>
          <w:tcPr/>
          <w:p>
            <w:pPr>
              <w:pStyle w:val="Compact"/>
            </w:pPr>
            <w:r>
              <w:t xml:space="preserve">0.49</w:t>
            </w:r>
          </w:p>
        </w:tc>
      </w:tr>
      <w:tr>
        <w:tc>
          <w:tcPr/>
          <w:p>
            <w:pPr>
              <w:pStyle w:val="Compact"/>
            </w:pPr>
            <w:r>
              <w:t xml:space="preserve">cerp</w:t>
            </w:r>
          </w:p>
        </w:tc>
        <w:tc>
          <w:tcPr/>
          <w:p>
            <w:pPr>
              <w:pStyle w:val="Compact"/>
            </w:pPr>
            <w:r>
              <w:t xml:space="preserve">3686</w:t>
            </w:r>
          </w:p>
        </w:tc>
        <w:tc>
          <w:tcPr/>
          <w:p>
            <w:pPr>
              <w:pStyle w:val="Compact"/>
            </w:pPr>
            <w:r>
              <w:t xml:space="preserve">3530</w:t>
            </w:r>
          </w:p>
        </w:tc>
        <w:tc>
          <w:tcPr/>
          <w:p>
            <w:pPr>
              <w:pStyle w:val="Compact"/>
            </w:pPr>
            <w:r>
              <w:t xml:space="preserve">0.366</w:t>
            </w:r>
          </w:p>
        </w:tc>
        <w:tc>
          <w:tcPr/>
          <w:p>
            <w:pPr>
              <w:pStyle w:val="Compact"/>
            </w:pPr>
            <w:r>
              <w:t xml:space="preserve">0.828</w:t>
            </w:r>
          </w:p>
        </w:tc>
        <w:tc>
          <w:tcPr/>
          <w:p>
            <w:pPr>
              <w:pStyle w:val="Compact"/>
            </w:pPr>
            <w:r>
              <w:t xml:space="preserve">0.172</w:t>
            </w:r>
          </w:p>
        </w:tc>
        <w:tc>
          <w:tcPr/>
          <w:p>
            <w:pPr>
              <w:pStyle w:val="Compact"/>
            </w:pPr>
            <w:r>
              <w:t xml:space="preserve">0.510</w:t>
            </w:r>
          </w:p>
        </w:tc>
        <w:tc>
          <w:tcPr/>
          <w:p>
            <w:pPr>
              <w:pStyle w:val="Compact"/>
            </w:pPr>
            <w:r>
              <w:t xml:space="preserve">0.301</w:t>
            </w:r>
          </w:p>
        </w:tc>
        <w:tc>
          <w:tcPr/>
          <w:p>
            <w:pPr>
              <w:pStyle w:val="Compact"/>
            </w:pPr>
            <w:r>
              <w:t xml:space="preserve">0.142</w:t>
            </w:r>
          </w:p>
        </w:tc>
        <w:tc>
          <w:tcPr/>
          <w:p>
            <w:pPr>
              <w:pStyle w:val="Compact"/>
            </w:pPr>
            <w:r>
              <w:t xml:space="preserve">0.14</w:t>
            </w:r>
          </w:p>
        </w:tc>
        <w:tc>
          <w:tcPr/>
          <w:p>
            <w:pPr>
              <w:pStyle w:val="Compact"/>
            </w:pPr>
            <w:r>
              <w:t xml:space="preserve">0.41</w:t>
            </w:r>
          </w:p>
        </w:tc>
        <w:tc>
          <w:tcPr/>
          <w:p>
            <w:pPr>
              <w:pStyle w:val="Compact"/>
            </w:pPr>
            <w:r>
              <w:t xml:space="preserve">0.32</w:t>
            </w:r>
          </w:p>
        </w:tc>
      </w:tr>
      <w:tr>
        <w:tc>
          <w:tcPr/>
          <w:p>
            <w:pPr>
              <w:pStyle w:val="Compact"/>
            </w:pPr>
            <w:r>
              <w:t xml:space="preserve">jce</w:t>
            </w:r>
          </w:p>
        </w:tc>
        <w:tc>
          <w:tcPr/>
          <w:p>
            <w:pPr>
              <w:pStyle w:val="Compact"/>
            </w:pPr>
            <w:r>
              <w:t xml:space="preserve">24980</w:t>
            </w:r>
          </w:p>
        </w:tc>
        <w:tc>
          <w:tcPr/>
          <w:p>
            <w:pPr>
              <w:pStyle w:val="Compact"/>
            </w:pPr>
            <w:r>
              <w:t xml:space="preserve">24428</w:t>
            </w:r>
          </w:p>
        </w:tc>
        <w:tc>
          <w:tcPr/>
          <w:p>
            <w:pPr>
              <w:pStyle w:val="Compact"/>
            </w:pPr>
            <w:r>
              <w:t xml:space="preserve">0.881</w:t>
            </w:r>
          </w:p>
        </w:tc>
        <w:tc>
          <w:tcPr/>
          <w:p>
            <w:pPr>
              <w:pStyle w:val="Compact"/>
            </w:pPr>
            <w:r>
              <w:t xml:space="preserve">0.952</w:t>
            </w:r>
          </w:p>
        </w:tc>
        <w:tc>
          <w:tcPr/>
          <w:p>
            <w:pPr>
              <w:pStyle w:val="Compact"/>
            </w:pPr>
            <w:r>
              <w:t xml:space="preserve">0.048</w:t>
            </w:r>
          </w:p>
        </w:tc>
        <w:tc>
          <w:tcPr/>
          <w:p>
            <w:pPr>
              <w:pStyle w:val="Compact"/>
            </w:pPr>
            <w:r>
              <w:t xml:space="preserve">0.205</w:t>
            </w:r>
          </w:p>
        </w:tc>
        <w:tc>
          <w:tcPr/>
          <w:p>
            <w:pPr>
              <w:pStyle w:val="Compact"/>
            </w:pPr>
            <w:r>
              <w:t xml:space="preserve">0.125</w:t>
            </w:r>
          </w:p>
        </w:tc>
        <w:tc>
          <w:tcPr/>
          <w:p>
            <w:pPr>
              <w:pStyle w:val="Compact"/>
            </w:pPr>
            <w:r>
              <w:t xml:space="preserve">0.021</w:t>
            </w:r>
          </w:p>
        </w:tc>
        <w:tc>
          <w:tcPr/>
          <w:p>
            <w:pPr>
              <w:pStyle w:val="Compact"/>
            </w:pPr>
            <w:r>
              <w:t xml:space="preserve">-0.76</w:t>
            </w:r>
          </w:p>
        </w:tc>
        <w:tc>
          <w:tcPr/>
          <w:p>
            <w:pPr>
              <w:pStyle w:val="Compact"/>
            </w:pPr>
            <w:r>
              <w:t xml:space="preserve">0.12</w:t>
            </w:r>
          </w:p>
        </w:tc>
        <w:tc>
          <w:tcPr/>
          <w:p>
            <w:pPr>
              <w:pStyle w:val="Compact"/>
            </w:pPr>
            <w:r>
              <w:t xml:space="preserve">0.10</w:t>
            </w:r>
          </w:p>
        </w:tc>
      </w:tr>
      <w:tr>
        <w:tc>
          <w:tcPr/>
          <w:p>
            <w:pPr>
              <w:pStyle w:val="Compact"/>
            </w:pPr>
            <w:r>
              <w:t xml:space="preserve">prper</w:t>
            </w:r>
          </w:p>
        </w:tc>
        <w:tc>
          <w:tcPr/>
          <w:p>
            <w:pPr>
              <w:pStyle w:val="Compact"/>
            </w:pPr>
            <w:r>
              <w:t xml:space="preserve">4381</w:t>
            </w:r>
          </w:p>
        </w:tc>
        <w:tc>
          <w:tcPr/>
          <w:p>
            <w:pPr>
              <w:pStyle w:val="Compact"/>
            </w:pPr>
            <w:r>
              <w:t xml:space="preserve">4630</w:t>
            </w:r>
          </w:p>
        </w:tc>
        <w:tc>
          <w:tcPr/>
          <w:p>
            <w:pPr>
              <w:pStyle w:val="Compact"/>
            </w:pPr>
            <w:r>
              <w:t xml:space="preserve">0.812</w:t>
            </w:r>
          </w:p>
        </w:tc>
        <w:tc>
          <w:tcPr/>
          <w:p>
            <w:pPr>
              <w:pStyle w:val="Compact"/>
            </w:pPr>
            <w:r>
              <w:t xml:space="preserve">0.846</w:t>
            </w:r>
          </w:p>
        </w:tc>
        <w:tc>
          <w:tcPr/>
          <w:p>
            <w:pPr>
              <w:pStyle w:val="Compact"/>
            </w:pPr>
            <w:r>
              <w:t xml:space="preserve">0.154</w:t>
            </w:r>
          </w:p>
        </w:tc>
        <w:tc>
          <w:tcPr/>
          <w:p>
            <w:pPr>
              <w:pStyle w:val="Compact"/>
            </w:pPr>
            <w:r>
              <w:t xml:space="preserve">0.336</w:t>
            </w:r>
          </w:p>
        </w:tc>
        <w:tc>
          <w:tcPr/>
          <w:p>
            <w:pPr>
              <w:pStyle w:val="Compact"/>
            </w:pPr>
            <w:r>
              <w:t xml:space="preserve">0.293</w:t>
            </w:r>
          </w:p>
        </w:tc>
        <w:tc>
          <w:tcPr/>
          <w:p>
            <w:pPr>
              <w:pStyle w:val="Compact"/>
            </w:pPr>
            <w:r>
              <w:t xml:space="preserve">0.038</w:t>
            </w:r>
          </w:p>
        </w:tc>
        <w:tc>
          <w:tcPr/>
          <w:p>
            <w:pPr>
              <w:pStyle w:val="Compact"/>
            </w:pPr>
            <w:r>
              <w:t xml:space="preserve">-0.62</w:t>
            </w:r>
          </w:p>
        </w:tc>
        <w:tc>
          <w:tcPr/>
          <w:p>
            <w:pPr>
              <w:pStyle w:val="Compact"/>
            </w:pPr>
            <w:r>
              <w:t xml:space="preserve">0.18</w:t>
            </w:r>
          </w:p>
        </w:tc>
        <w:tc>
          <w:tcPr/>
          <w:p>
            <w:pPr>
              <w:pStyle w:val="Compact"/>
            </w:pPr>
            <w:r>
              <w:t xml:space="preserve">0.15</w:t>
            </w:r>
          </w:p>
        </w:tc>
      </w:tr>
      <w:tr>
        <w:tc>
          <w:tcPr/>
          <w:p>
            <w:pPr>
              <w:pStyle w:val="Compact"/>
            </w:pPr>
            <w:r>
              <w:t xml:space="preserve">physed</w:t>
            </w:r>
          </w:p>
        </w:tc>
        <w:tc>
          <w:tcPr/>
          <w:p>
            <w:pPr>
              <w:pStyle w:val="Compact"/>
            </w:pPr>
            <w:r>
              <w:t xml:space="preserve">2023</w:t>
            </w:r>
          </w:p>
        </w:tc>
        <w:tc>
          <w:tcPr/>
          <w:p>
            <w:pPr>
              <w:pStyle w:val="Compact"/>
            </w:pPr>
            <w:r>
              <w:t xml:space="preserve">1690</w:t>
            </w:r>
          </w:p>
        </w:tc>
        <w:tc>
          <w:tcPr/>
          <w:p>
            <w:pPr>
              <w:pStyle w:val="Compact"/>
            </w:pPr>
            <w:r>
              <w:t xml:space="preserve">0.716</w:t>
            </w:r>
          </w:p>
        </w:tc>
        <w:tc>
          <w:tcPr/>
          <w:p>
            <w:pPr>
              <w:pStyle w:val="Compact"/>
            </w:pPr>
            <w:r>
              <w:t xml:space="preserve">0.892</w:t>
            </w:r>
          </w:p>
        </w:tc>
        <w:tc>
          <w:tcPr/>
          <w:p>
            <w:pPr>
              <w:pStyle w:val="Compact"/>
            </w:pPr>
            <w:r>
              <w:t xml:space="preserve">0.108</w:t>
            </w:r>
          </w:p>
        </w:tc>
        <w:tc>
          <w:tcPr/>
          <w:p>
            <w:pPr>
              <w:pStyle w:val="Compact"/>
            </w:pPr>
            <w:r>
              <w:t xml:space="preserve">0.375</w:t>
            </w:r>
          </w:p>
        </w:tc>
        <w:tc>
          <w:tcPr/>
          <w:p>
            <w:pPr>
              <w:pStyle w:val="Compact"/>
            </w:pPr>
            <w:r>
              <w:t xml:space="preserve">0.228</w:t>
            </w:r>
          </w:p>
        </w:tc>
        <w:tc>
          <w:tcPr/>
          <w:p>
            <w:pPr>
              <w:pStyle w:val="Compact"/>
            </w:pPr>
            <w:r>
              <w:t xml:space="preserve">0.045</w:t>
            </w:r>
          </w:p>
        </w:tc>
        <w:tc>
          <w:tcPr/>
          <w:p>
            <w:pPr>
              <w:pStyle w:val="Compact"/>
            </w:pPr>
            <w:r>
              <w:t xml:space="preserve">-0.58</w:t>
            </w:r>
          </w:p>
        </w:tc>
        <w:tc>
          <w:tcPr/>
          <w:p>
            <w:pPr>
              <w:pStyle w:val="Compact"/>
            </w:pPr>
            <w:r>
              <w:t xml:space="preserve">0.22</w:t>
            </w:r>
          </w:p>
        </w:tc>
        <w:tc>
          <w:tcPr/>
          <w:p>
            <w:pPr>
              <w:pStyle w:val="Compact"/>
            </w:pPr>
            <w:r>
              <w:t xml:space="preserve">0.18</w:t>
            </w:r>
          </w:p>
        </w:tc>
      </w:tr>
      <w:tr>
        <w:tc>
          <w:tcPr/>
          <w:p>
            <w:pPr>
              <w:pStyle w:val="Compact"/>
            </w:pPr>
            <w:r>
              <w:t xml:space="preserve">jge</w:t>
            </w:r>
          </w:p>
        </w:tc>
        <w:tc>
          <w:tcPr/>
          <w:p>
            <w:pPr>
              <w:pStyle w:val="Compact"/>
            </w:pPr>
            <w:r>
              <w:t xml:space="preserve">705</w:t>
            </w:r>
          </w:p>
        </w:tc>
        <w:tc>
          <w:tcPr/>
          <w:p>
            <w:pPr>
              <w:pStyle w:val="Compact"/>
            </w:pPr>
            <w:r>
              <w:t xml:space="preserve">656</w:t>
            </w:r>
          </w:p>
        </w:tc>
        <w:tc>
          <w:tcPr/>
          <w:p>
            <w:pPr>
              <w:pStyle w:val="Compact"/>
            </w:pPr>
            <w:r>
              <w:t xml:space="preserve">0.775</w:t>
            </w:r>
          </w:p>
        </w:tc>
        <w:tc>
          <w:tcPr/>
          <w:p>
            <w:pPr>
              <w:pStyle w:val="Compact"/>
            </w:pPr>
            <w:r>
              <w:t xml:space="preserve">0.775</w:t>
            </w:r>
          </w:p>
        </w:tc>
        <w:tc>
          <w:tcPr/>
          <w:p>
            <w:pPr>
              <w:pStyle w:val="Compact"/>
            </w:pPr>
            <w:r>
              <w:t xml:space="preserve">0.226</w:t>
            </w:r>
          </w:p>
        </w:tc>
        <w:tc>
          <w:tcPr/>
          <w:p>
            <w:pPr>
              <w:pStyle w:val="Compact"/>
            </w:pPr>
            <w:r>
              <w:t xml:space="preserve">0.381</w:t>
            </w:r>
          </w:p>
        </w:tc>
        <w:tc>
          <w:tcPr/>
          <w:p>
            <w:pPr>
              <w:pStyle w:val="Compact"/>
            </w:pPr>
            <w:r>
              <w:t xml:space="preserve">0.421</w:t>
            </w:r>
          </w:p>
        </w:tc>
        <w:tc>
          <w:tcPr/>
          <w:p>
            <w:pPr>
              <w:pStyle w:val="Compact"/>
            </w:pPr>
            <w:r>
              <w:t xml:space="preserve">0.052</w:t>
            </w:r>
          </w:p>
        </w:tc>
        <w:tc>
          <w:tcPr/>
          <w:p>
            <w:pPr>
              <w:pStyle w:val="Compact"/>
            </w:pPr>
            <w:r>
              <w:t xml:space="preserve">-0.45</w:t>
            </w:r>
          </w:p>
        </w:tc>
        <w:tc>
          <w:tcPr/>
          <w:p>
            <w:pPr>
              <w:pStyle w:val="Compact"/>
            </w:pPr>
            <w:r>
              <w:t xml:space="preserve">0.31</w:t>
            </w:r>
          </w:p>
        </w:tc>
        <w:tc>
          <w:tcPr/>
          <w:p>
            <w:pPr>
              <w:pStyle w:val="Compact"/>
            </w:pPr>
            <w:r>
              <w:t xml:space="preserve">0.25</w:t>
            </w:r>
          </w:p>
        </w:tc>
      </w:tr>
      <w:tr>
        <w:tc>
          <w:tcPr/>
          <w:p>
            <w:pPr>
              <w:pStyle w:val="Compact"/>
            </w:pPr>
            <w:r>
              <w:t xml:space="preserve">jee</w:t>
            </w:r>
          </w:p>
        </w:tc>
        <w:tc>
          <w:tcPr/>
          <w:p>
            <w:pPr>
              <w:pStyle w:val="Compact"/>
            </w:pPr>
            <w:r>
              <w:t xml:space="preserve">1229</w:t>
            </w:r>
          </w:p>
        </w:tc>
        <w:tc>
          <w:tcPr/>
          <w:p>
            <w:pPr>
              <w:pStyle w:val="Compact"/>
            </w:pPr>
            <w:r>
              <w:t xml:space="preserve">1549</w:t>
            </w:r>
          </w:p>
        </w:tc>
        <w:tc>
          <w:tcPr/>
          <w:p>
            <w:pPr>
              <w:pStyle w:val="Compact"/>
            </w:pPr>
            <w:r>
              <w:t xml:space="preserve">0.713</w:t>
            </w:r>
          </w:p>
        </w:tc>
        <w:tc>
          <w:tcPr/>
          <w:p>
            <w:pPr>
              <w:pStyle w:val="Compact"/>
            </w:pPr>
            <w:r>
              <w:t xml:space="preserve">0.823</w:t>
            </w:r>
          </w:p>
        </w:tc>
        <w:tc>
          <w:tcPr/>
          <w:p>
            <w:pPr>
              <w:pStyle w:val="Compact"/>
            </w:pPr>
            <w:r>
              <w:t xml:space="preserve">0.177</w:t>
            </w:r>
          </w:p>
        </w:tc>
        <w:tc>
          <w:tcPr/>
          <w:p>
            <w:pPr>
              <w:pStyle w:val="Compact"/>
            </w:pPr>
            <w:r>
              <w:t xml:space="preserve">0.413</w:t>
            </w:r>
          </w:p>
        </w:tc>
        <w:tc>
          <w:tcPr/>
          <w:p>
            <w:pPr>
              <w:pStyle w:val="Compact"/>
            </w:pPr>
            <w:r>
              <w:t xml:space="preserve">0.330</w:t>
            </w:r>
          </w:p>
        </w:tc>
        <w:tc>
          <w:tcPr/>
          <w:p>
            <w:pPr>
              <w:pStyle w:val="Compact"/>
            </w:pPr>
            <w:r>
              <w:t xml:space="preserve">0.061</w:t>
            </w:r>
          </w:p>
        </w:tc>
        <w:tc>
          <w:tcPr/>
          <w:p>
            <w:pPr>
              <w:pStyle w:val="Compact"/>
            </w:pPr>
            <w:r>
              <w:t xml:space="preserve">-0.52</w:t>
            </w:r>
          </w:p>
        </w:tc>
        <w:tc>
          <w:tcPr/>
          <w:p>
            <w:pPr>
              <w:pStyle w:val="Compact"/>
            </w:pPr>
            <w:r>
              <w:t xml:space="preserve">0.29</w:t>
            </w:r>
          </w:p>
        </w:tc>
        <w:tc>
          <w:tcPr/>
          <w:p>
            <w:pPr>
              <w:pStyle w:val="Compact"/>
            </w:pPr>
            <w:r>
              <w:t xml:space="preserve">0.24</w:t>
            </w:r>
          </w:p>
        </w:tc>
      </w:tr>
      <w:tr>
        <w:tc>
          <w:tcPr/>
          <w:p>
            <w:pPr>
              <w:pStyle w:val="Compact"/>
            </w:pPr>
            <w:r>
              <w:t xml:space="preserve">ejee</w:t>
            </w:r>
          </w:p>
        </w:tc>
        <w:tc>
          <w:tcPr/>
          <w:p>
            <w:pPr>
              <w:pStyle w:val="Compact"/>
            </w:pPr>
            <w:r>
              <w:t xml:space="preserve">1394</w:t>
            </w:r>
          </w:p>
        </w:tc>
        <w:tc>
          <w:tcPr/>
          <w:p>
            <w:pPr>
              <w:pStyle w:val="Compact"/>
            </w:pPr>
            <w:r>
              <w:t xml:space="preserve">1030</w:t>
            </w:r>
          </w:p>
        </w:tc>
        <w:tc>
          <w:tcPr/>
          <w:p>
            <w:pPr>
              <w:pStyle w:val="Compact"/>
            </w:pPr>
            <w:r>
              <w:t xml:space="preserve">0.575</w:t>
            </w:r>
          </w:p>
        </w:tc>
        <w:tc>
          <w:tcPr/>
          <w:p>
            <w:pPr>
              <w:pStyle w:val="Compact"/>
            </w:pPr>
            <w:r>
              <w:t xml:space="preserve">0.872</w:t>
            </w:r>
          </w:p>
        </w:tc>
        <w:tc>
          <w:tcPr/>
          <w:p>
            <w:pPr>
              <w:pStyle w:val="Compact"/>
            </w:pPr>
            <w:r>
              <w:t xml:space="preserve">0.128</w:t>
            </w:r>
          </w:p>
        </w:tc>
        <w:tc>
          <w:tcPr/>
          <w:p>
            <w:pPr>
              <w:pStyle w:val="Compact"/>
            </w:pPr>
            <w:r>
              <w:t xml:space="preserve">0.434</w:t>
            </w:r>
          </w:p>
        </w:tc>
        <w:tc>
          <w:tcPr/>
          <w:p>
            <w:pPr>
              <w:pStyle w:val="Compact"/>
            </w:pPr>
            <w:r>
              <w:t xml:space="preserve">0.265</w:t>
            </w:r>
          </w:p>
        </w:tc>
        <w:tc>
          <w:tcPr/>
          <w:p>
            <w:pPr>
              <w:pStyle w:val="Compact"/>
            </w:pPr>
            <w:r>
              <w:t xml:space="preserve">0.089</w:t>
            </w:r>
          </w:p>
        </w:tc>
        <w:tc>
          <w:tcPr/>
          <w:p>
            <w:pPr>
              <w:pStyle w:val="Compact"/>
            </w:pPr>
            <w:r>
              <w:t xml:space="preserve">0.18</w:t>
            </w:r>
          </w:p>
        </w:tc>
        <w:tc>
          <w:tcPr/>
          <w:p>
            <w:pPr>
              <w:pStyle w:val="Compact"/>
            </w:pPr>
            <w:r>
              <w:t xml:space="preserve">0.46</w:t>
            </w:r>
          </w:p>
        </w:tc>
        <w:tc>
          <w:tcPr/>
          <w:p>
            <w:pPr>
              <w:pStyle w:val="Compact"/>
            </w:pPr>
            <w:r>
              <w:t xml:space="preserve">0.38</w:t>
            </w:r>
          </w:p>
        </w:tc>
      </w:tr>
      <w:tr>
        <w:tc>
          <w:tcPr/>
          <w:p>
            <w:pPr>
              <w:pStyle w:val="Compact"/>
            </w:pPr>
            <w:r>
              <w:t xml:space="preserve">ijsted</w:t>
            </w:r>
          </w:p>
        </w:tc>
        <w:tc>
          <w:tcPr/>
          <w:p>
            <w:pPr>
              <w:pStyle w:val="Compact"/>
            </w:pPr>
            <w:r>
              <w:t xml:space="preserve">2087</w:t>
            </w:r>
          </w:p>
        </w:tc>
        <w:tc>
          <w:tcPr/>
          <w:p>
            <w:pPr>
              <w:pStyle w:val="Compact"/>
            </w:pPr>
            <w:r>
              <w:t xml:space="preserve">2391</w:t>
            </w:r>
          </w:p>
        </w:tc>
        <w:tc>
          <w:tcPr/>
          <w:p>
            <w:pPr>
              <w:pStyle w:val="Compact"/>
            </w:pPr>
            <w:r>
              <w:t xml:space="preserve">0.593</w:t>
            </w:r>
          </w:p>
        </w:tc>
        <w:tc>
          <w:tcPr/>
          <w:p>
            <w:pPr>
              <w:pStyle w:val="Compact"/>
            </w:pPr>
            <w:r>
              <w:t xml:space="preserve">0.593</w:t>
            </w:r>
          </w:p>
        </w:tc>
        <w:tc>
          <w:tcPr/>
          <w:p>
            <w:pPr>
              <w:pStyle w:val="Compact"/>
            </w:pPr>
            <w:r>
              <w:t xml:space="preserve">0.407</w:t>
            </w:r>
          </w:p>
        </w:tc>
        <w:tc>
          <w:tcPr/>
          <w:p>
            <w:pPr>
              <w:pStyle w:val="Compact"/>
            </w:pPr>
            <w:r>
              <w:t xml:space="preserve">0.600</w:t>
            </w:r>
          </w:p>
        </w:tc>
        <w:tc>
          <w:tcPr/>
          <w:p>
            <w:pPr>
              <w:pStyle w:val="Compact"/>
            </w:pPr>
            <w:r>
              <w:t xml:space="preserve">0.600</w:t>
            </w:r>
          </w:p>
        </w:tc>
        <w:tc>
          <w:tcPr/>
          <w:p>
            <w:pPr>
              <w:pStyle w:val="Compact"/>
            </w:pPr>
            <w:r>
              <w:t xml:space="preserve">0.112</w:t>
            </w:r>
          </w:p>
        </w:tc>
        <w:tc>
          <w:tcPr/>
          <w:p>
            <w:pPr>
              <w:pStyle w:val="Compact"/>
            </w:pPr>
            <w:r>
              <w:t xml:space="preserve">0.25</w:t>
            </w:r>
          </w:p>
        </w:tc>
        <w:tc>
          <w:tcPr/>
          <w:p>
            <w:pPr>
              <w:pStyle w:val="Compact"/>
            </w:pPr>
            <w:r>
              <w:t xml:space="preserve">0.52</w:t>
            </w:r>
          </w:p>
        </w:tc>
        <w:tc>
          <w:tcPr/>
          <w:p>
            <w:pPr>
              <w:pStyle w:val="Compact"/>
            </w:pPr>
            <w:r>
              <w:t xml:space="preserve">0.44</w:t>
            </w:r>
          </w:p>
        </w:tc>
      </w:tr>
    </w:tbl>
    <w:p>
      <w:pPr>
        <w:pStyle w:val="BodyText"/>
      </w:pPr>
      <w:r>
        <w:rPr>
          <w:b/>
          <w:bCs/>
        </w:rPr>
        <w:t xml:space="preserve">Table 4.</w:t>
      </w:r>
      <w:r>
        <w:t xml:space="preserve"> </w:t>
      </w:r>
      <w:r>
        <w:t xml:space="preserve">Citing vs. cited direction decomposition: cross-tag share, E-I index, and Rao-Stokes (Simpson) for selected journals</w:t>
      </w:r>
    </w:p>
    <w:p>
      <w:pPr>
        <w:pStyle w:val="BodyText"/>
      </w:pPr>
      <w:r>
        <w:rPr>
          <w:b/>
          <w:bCs/>
        </w:rPr>
        <w:t xml:space="preserve">Citing vs. cited direction (RQ3).</w:t>
      </w:r>
      <w:r>
        <w:t xml:space="preserve"> </w:t>
      </w:r>
      <w:r>
        <w:t xml:space="preserve">Decomposing each journal’s brokerage</w:t>
      </w:r>
      <w:r>
        <w:t xml:space="preserve"> </w:t>
      </w:r>
      <w:r>
        <w:t xml:space="preserve">metrics by direction (out = what it cites; in = who cites it):</w:t>
      </w:r>
    </w:p>
    <w:p>
      <w:pPr>
        <w:jc w:val="center"/>
        <w:spacing w:before="120" w:after="120"/>
      </w:pPr>
      <w:r>
        <w:rPr>
          <w:i/>
        </w:rPr>
        <w:t>[Table 4 about here]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Journal</w:t>
            </w:r>
          </w:p>
        </w:tc>
        <w:tc>
          <w:tcPr/>
          <w:p>
            <w:pPr>
              <w:pStyle w:val="Compact"/>
            </w:pPr>
            <w:r>
              <w:t xml:space="preserve">Cross-tag (out)</w:t>
            </w:r>
          </w:p>
        </w:tc>
        <w:tc>
          <w:tcPr/>
          <w:p>
            <w:pPr>
              <w:pStyle w:val="Compact"/>
            </w:pPr>
            <w:r>
              <w:t xml:space="preserve">Cross-tag (in)</w:t>
            </w:r>
          </w:p>
        </w:tc>
        <w:tc>
          <w:tcPr/>
          <w:p>
            <w:pPr>
              <w:pStyle w:val="Compact"/>
            </w:pPr>
            <w:r>
              <w:t xml:space="preserve">E-I (out)</w:t>
            </w:r>
          </w:p>
        </w:tc>
        <w:tc>
          <w:tcPr/>
          <w:p>
            <w:pPr>
              <w:pStyle w:val="Compact"/>
            </w:pPr>
            <w:r>
              <w:t xml:space="preserve">E-I (in)</w:t>
            </w:r>
          </w:p>
        </w:tc>
        <w:tc>
          <w:tcPr/>
          <w:p>
            <w:pPr>
              <w:pStyle w:val="Compact"/>
            </w:pPr>
            <w:r>
              <w:t xml:space="preserve">Rao-Stokes Simpson (out)</w:t>
            </w:r>
          </w:p>
        </w:tc>
        <w:tc>
          <w:tcPr/>
          <w:p>
            <w:pPr>
              <w:pStyle w:val="Compact"/>
            </w:pPr>
            <w:r>
              <w:t xml:space="preserve">Rao-Stokes Simpson (in)</w:t>
            </w:r>
          </w:p>
        </w:tc>
      </w:tr>
      <w:tr>
        <w:tc>
          <w:tcPr/>
          <w:p>
            <w:pPr>
              <w:pStyle w:val="Compact"/>
            </w:pPr>
            <w:r>
              <w:t xml:space="preserve">diser</w:t>
            </w:r>
          </w:p>
        </w:tc>
        <w:tc>
          <w:tcPr/>
          <w:p>
            <w:pPr>
              <w:pStyle w:val="Compact"/>
            </w:pPr>
            <w:r>
              <w:t xml:space="preserve">0.841</w:t>
            </w:r>
          </w:p>
        </w:tc>
        <w:tc>
          <w:tcPr/>
          <w:p>
            <w:pPr>
              <w:pStyle w:val="Compact"/>
            </w:pPr>
            <w:r>
              <w:t xml:space="preserve">0.798</w:t>
            </w:r>
          </w:p>
        </w:tc>
        <w:tc>
          <w:tcPr/>
          <w:p>
            <w:pPr>
              <w:pStyle w:val="Compact"/>
            </w:pPr>
            <w:r>
              <w:t xml:space="preserve">+0.681</w:t>
            </w:r>
          </w:p>
        </w:tc>
        <w:tc>
          <w:tcPr/>
          <w:p>
            <w:pPr>
              <w:pStyle w:val="Compact"/>
            </w:pPr>
            <w:r>
              <w:t xml:space="preserve">+0.596</w:t>
            </w:r>
          </w:p>
        </w:tc>
        <w:tc>
          <w:tcPr/>
          <w:p>
            <w:pPr>
              <w:pStyle w:val="Compact"/>
            </w:pPr>
            <w:r>
              <w:t xml:space="preserve">0.657</w:t>
            </w:r>
          </w:p>
        </w:tc>
        <w:tc>
          <w:tcPr/>
          <w:p>
            <w:pPr>
              <w:pStyle w:val="Compact"/>
            </w:pPr>
            <w:r>
              <w:t xml:space="preserve">0.728</w:t>
            </w:r>
          </w:p>
        </w:tc>
      </w:tr>
      <w:tr>
        <w:tc>
          <w:tcPr/>
          <w:p>
            <w:pPr>
              <w:pStyle w:val="Compact"/>
            </w:pPr>
            <w:r>
              <w:t xml:space="preserve">jbe</w:t>
            </w:r>
          </w:p>
        </w:tc>
        <w:tc>
          <w:tcPr/>
          <w:p>
            <w:pPr>
              <w:pStyle w:val="Compact"/>
            </w:pPr>
            <w:r>
              <w:t xml:space="preserve">0.547</w:t>
            </w:r>
          </w:p>
        </w:tc>
        <w:tc>
          <w:tcPr/>
          <w:p>
            <w:pPr>
              <w:pStyle w:val="Compact"/>
            </w:pPr>
            <w:r>
              <w:t xml:space="preserve">0.417</w:t>
            </w:r>
          </w:p>
        </w:tc>
        <w:tc>
          <w:tcPr/>
          <w:p>
            <w:pPr>
              <w:pStyle w:val="Compact"/>
            </w:pPr>
            <w:r>
              <w:t xml:space="preserve">+0.093</w:t>
            </w:r>
          </w:p>
        </w:tc>
        <w:tc>
          <w:tcPr/>
          <w:p>
            <w:pPr>
              <w:pStyle w:val="Compact"/>
            </w:pPr>
            <w:r>
              <w:t xml:space="preserve">−0.165</w:t>
            </w:r>
          </w:p>
        </w:tc>
        <w:tc>
          <w:tcPr/>
          <w:p>
            <w:pPr>
              <w:pStyle w:val="Compact"/>
            </w:pPr>
            <w:r>
              <w:t xml:space="preserve">0.617</w:t>
            </w:r>
          </w:p>
        </w:tc>
        <w:tc>
          <w:tcPr/>
          <w:p>
            <w:pPr>
              <w:pStyle w:val="Compact"/>
            </w:pPr>
            <w:r>
              <w:t xml:space="preserve">0.573</w:t>
            </w:r>
          </w:p>
        </w:tc>
      </w:tr>
      <w:tr>
        <w:tc>
          <w:tcPr/>
          <w:p>
            <w:pPr>
              <w:pStyle w:val="Compact"/>
            </w:pPr>
            <w:r>
              <w:t xml:space="preserve">ijsted</w:t>
            </w:r>
          </w:p>
        </w:tc>
        <w:tc>
          <w:tcPr/>
          <w:p>
            <w:pPr>
              <w:pStyle w:val="Compact"/>
            </w:pPr>
            <w:r>
              <w:t xml:space="preserve">0.407</w:t>
            </w:r>
          </w:p>
        </w:tc>
        <w:tc>
          <w:tcPr/>
          <w:p>
            <w:pPr>
              <w:pStyle w:val="Compact"/>
            </w:pPr>
            <w:r>
              <w:t xml:space="preserve">0.483</w:t>
            </w:r>
          </w:p>
        </w:tc>
        <w:tc>
          <w:tcPr/>
          <w:p>
            <w:pPr>
              <w:pStyle w:val="Compact"/>
            </w:pPr>
            <w:r>
              <w:t xml:space="preserve">−0.185</w:t>
            </w:r>
          </w:p>
        </w:tc>
        <w:tc>
          <w:tcPr/>
          <w:p>
            <w:pPr>
              <w:pStyle w:val="Compact"/>
            </w:pPr>
            <w:r>
              <w:t xml:space="preserve">−0.035</w:t>
            </w:r>
          </w:p>
        </w:tc>
        <w:tc>
          <w:tcPr/>
          <w:p>
            <w:pPr>
              <w:pStyle w:val="Compact"/>
            </w:pPr>
            <w:r>
              <w:t xml:space="preserve">0.596</w:t>
            </w:r>
          </w:p>
        </w:tc>
        <w:tc>
          <w:tcPr/>
          <w:p>
            <w:pPr>
              <w:pStyle w:val="Compact"/>
            </w:pPr>
            <w:r>
              <w:t xml:space="preserve">0.672</w:t>
            </w:r>
          </w:p>
        </w:tc>
      </w:tr>
      <w:tr>
        <w:tc>
          <w:tcPr/>
          <w:p>
            <w:pPr>
              <w:pStyle w:val="Compact"/>
            </w:pPr>
            <w:r>
              <w:t xml:space="preserve">jce</w:t>
            </w:r>
          </w:p>
        </w:tc>
        <w:tc>
          <w:tcPr/>
          <w:p>
            <w:pPr>
              <w:pStyle w:val="Compact"/>
            </w:pPr>
            <w:r>
              <w:t xml:space="preserve">0.048</w:t>
            </w:r>
          </w:p>
        </w:tc>
        <w:tc>
          <w:tcPr/>
          <w:p>
            <w:pPr>
              <w:pStyle w:val="Compact"/>
            </w:pPr>
            <w:r>
              <w:t xml:space="preserve">0.030</w:t>
            </w:r>
          </w:p>
        </w:tc>
        <w:tc>
          <w:tcPr/>
          <w:p>
            <w:pPr>
              <w:pStyle w:val="Compact"/>
            </w:pPr>
            <w:r>
              <w:t xml:space="preserve">−0.903</w:t>
            </w:r>
          </w:p>
        </w:tc>
        <w:tc>
          <w:tcPr/>
          <w:p>
            <w:pPr>
              <w:pStyle w:val="Compact"/>
            </w:pPr>
            <w:r>
              <w:t xml:space="preserve">−0.941</w:t>
            </w:r>
          </w:p>
        </w:tc>
        <w:tc>
          <w:tcPr/>
          <w:p>
            <w:pPr>
              <w:pStyle w:val="Compact"/>
            </w:pPr>
            <w:r>
              <w:t xml:space="preserve">0.093</w:t>
            </w:r>
          </w:p>
        </w:tc>
        <w:tc>
          <w:tcPr/>
          <w:p>
            <w:pPr>
              <w:pStyle w:val="Compact"/>
            </w:pPr>
            <w:r>
              <w:t xml:space="preserve">0.058</w:t>
            </w:r>
          </w:p>
        </w:tc>
      </w:tr>
      <w:tr>
        <w:tc>
          <w:tcPr/>
          <w:p>
            <w:pPr>
              <w:pStyle w:val="Compact"/>
            </w:pPr>
            <w:r>
              <w:t xml:space="preserve">prper</w:t>
            </w:r>
          </w:p>
        </w:tc>
        <w:tc>
          <w:tcPr/>
          <w:p>
            <w:pPr>
              <w:pStyle w:val="Compact"/>
            </w:pPr>
            <w:r>
              <w:t xml:space="preserve">0.154</w:t>
            </w:r>
          </w:p>
        </w:tc>
        <w:tc>
          <w:tcPr/>
          <w:p>
            <w:pPr>
              <w:pStyle w:val="Compact"/>
            </w:pPr>
            <w:r>
              <w:t xml:space="preserve">0.155</w:t>
            </w:r>
          </w:p>
        </w:tc>
        <w:tc>
          <w:tcPr/>
          <w:p>
            <w:pPr>
              <w:pStyle w:val="Compact"/>
            </w:pPr>
            <w:r>
              <w:t xml:space="preserve">−0.692</w:t>
            </w:r>
          </w:p>
        </w:tc>
        <w:tc>
          <w:tcPr/>
          <w:p>
            <w:pPr>
              <w:pStyle w:val="Compact"/>
            </w:pPr>
            <w:r>
              <w:t xml:space="preserve">−0.690</w:t>
            </w:r>
          </w:p>
        </w:tc>
        <w:tc>
          <w:tcPr/>
          <w:p>
            <w:pPr>
              <w:pStyle w:val="Compact"/>
            </w:pPr>
            <w:r>
              <w:t xml:space="preserve">0.274</w:t>
            </w:r>
          </w:p>
        </w:tc>
        <w:tc>
          <w:tcPr/>
          <w:p>
            <w:pPr>
              <w:pStyle w:val="Compact"/>
            </w:pPr>
            <w:r>
              <w:t xml:space="preserve">0.278</w:t>
            </w:r>
          </w:p>
        </w:tc>
      </w:tr>
      <w:tr>
        <w:tc>
          <w:tcPr/>
          <w:p>
            <w:pPr>
              <w:pStyle w:val="Compact"/>
            </w:pPr>
            <w:r>
              <w:t xml:space="preserve">physed</w:t>
            </w:r>
          </w:p>
        </w:tc>
        <w:tc>
          <w:tcPr/>
          <w:p>
            <w:pPr>
              <w:pStyle w:val="Compact"/>
            </w:pPr>
            <w:r>
              <w:t xml:space="preserve">0.108</w:t>
            </w:r>
          </w:p>
        </w:tc>
        <w:tc>
          <w:tcPr/>
          <w:p>
            <w:pPr>
              <w:pStyle w:val="Compact"/>
            </w:pPr>
            <w:r>
              <w:t xml:space="preserve">0.053</w:t>
            </w:r>
          </w:p>
        </w:tc>
        <w:tc>
          <w:tcPr/>
          <w:p>
            <w:pPr>
              <w:pStyle w:val="Compact"/>
            </w:pPr>
            <w:r>
              <w:t xml:space="preserve">−0.785</w:t>
            </w:r>
          </w:p>
        </w:tc>
        <w:tc>
          <w:tcPr/>
          <w:p>
            <w:pPr>
              <w:pStyle w:val="Compact"/>
            </w:pPr>
            <w:r>
              <w:t xml:space="preserve">−0.894</w:t>
            </w:r>
          </w:p>
        </w:tc>
        <w:tc>
          <w:tcPr/>
          <w:p>
            <w:pPr>
              <w:pStyle w:val="Compact"/>
            </w:pPr>
            <w:r>
              <w:t xml:space="preserve">0.200</w:t>
            </w:r>
          </w:p>
        </w:tc>
        <w:tc>
          <w:tcPr/>
          <w:p>
            <w:pPr>
              <w:pStyle w:val="Compact"/>
            </w:pPr>
            <w:r>
              <w:t xml:space="preserve">0.103</w:t>
            </w:r>
          </w:p>
        </w:tc>
      </w:tr>
    </w:tbl>
    <w:p>
      <w:pPr>
        <w:pStyle w:val="BodyText"/>
      </w:pPr>
      <w:r>
        <w:t xml:space="preserve">DISER is a broker on both sides (cross-tag &gt; 0.79, E-I &gt; +0.59 in both directions), and JCE is siloed on both sides (cross-tag &lt; 0.05, E-I &lt; -0.90). The brokerage conclusion (DISER bridge, JCE silo) is robust to disaggregation in a direction. (Complete 15-journal table in run artifacts.)</w:t>
      </w:r>
    </w:p>
    <w:p>
      <w:pPr>
        <w:pStyle w:val="BodyText"/>
      </w:pPr>
      <w:r>
        <w:t xml:space="preserve">Rao-Stokes baseline (standard 1-cosine). The Rao-Stokes dissimilarity is 0.490, compared to the Simpson dissimilarity of 0.72 and the distance-weighted dissimilarity of 0.61, with Spearman rho between Simpson and 1-cosine being 0.76. The</w:t>
      </w:r>
      <w:r>
        <w:t xml:space="preserve"> </w:t>
      </w:r>
      <w:r>
        <w:t xml:space="preserve">“highest diversity”</w:t>
      </w:r>
      <w:r>
        <w:t xml:space="preserve"> </w:t>
      </w:r>
      <w:r>
        <w:t xml:space="preserve">ranking is formulation-dependent; that is, DISER leads on the Simpson variant, but leads lower on the standard variant, while the</w:t>
      </w:r>
      <w:r>
        <w:t xml:space="preserve"> </w:t>
      </w:r>
      <w:r>
        <w:t xml:space="preserve">“bridge vs. silo”</w:t>
      </w:r>
      <w:r>
        <w:t xml:space="preserve"> </w:t>
      </w:r>
      <w:r>
        <w:t xml:space="preserve">ranking (DISER high, JCE low) applies to all three.</w:t>
      </w:r>
    </w:p>
    <w:p>
      <w:pPr>
        <w:pStyle w:val="BodyText"/>
      </w:pPr>
      <w:r>
        <w:t xml:space="preserve">The export of influence by Bradley-Terry / Stigler. The influence ranking based on a Stigler (1994) model of the directed citation matrix (each citation is a</w:t>
      </w:r>
      <w:r>
        <w:t xml:space="preserve"> </w:t>
      </w:r>
      <w:r>
        <w:t xml:space="preserve">“win”</w:t>
      </w:r>
      <w:r>
        <w:t xml:space="preserve"> </w:t>
      </w:r>
      <w:r>
        <w:t xml:space="preserve">for the cited journal) gives the journal size its greatest influence: the higher ranked journal (JCE) has a 43% share of internal citations while the last ranked journal (DISER) has a 0.02% share. The model further confirms that overall influence is size-driven, but does not reflect cross-disciplinary bridging; as such, cross-tag share and E-I continue to be the appropriate brokerage indicators. Unlike its small corpus (177 works), DISER’s low Stigler rank is due to the fact that it is a small institution.</w:t>
      </w:r>
    </w:p>
    <w:p>
      <w:pPr>
        <w:pStyle w:val="BodyText"/>
      </w:pPr>
      <w:r>
        <w:t xml:space="preserve">(Variety x Balance x Disparity). Rafols &amp; Meyer (2010) DIV composite: DISER scores 2.02 (variety 8/8 tags, balance 0.678, disparity 0.372); JCE scores lowest (variety 1, balance 0.0, disparity 0.105). DIV agrees with the ranking by the Simpson method, as shown in Fig. 4.</w:t>
      </w:r>
    </w:p>
    <w:p>
      <w:pPr>
        <w:pStyle w:val="BodyText"/>
      </w:pPr>
      <w:r>
        <w:rPr>
          <w:b/>
          <w:bCs/>
        </w:rPr>
        <w:t xml:space="preserve">Missingness bias.</w:t>
      </w:r>
      <w:r>
        <w:t xml:space="preserve"> </w:t>
      </w:r>
      <w:r>
        <w:t xml:space="preserve">Abstract coverage: 13023 abstracts + 1310</w:t>
      </w:r>
      <w:r>
        <w:t xml:space="preserve"> </w:t>
      </w:r>
      <w:r>
        <w:t xml:space="preserve">title+keyword fallback (9.1%). RSE has the highest fallback rate (64.2%);</w:t>
      </w:r>
      <w:r>
        <w:t xml:space="preserve"> </w:t>
      </w:r>
      <w:r>
        <w:t xml:space="preserve">DISER has 5.7%. Sensitivity ARI (abstract-only vs. full) = 0.57,</w:t>
      </w:r>
      <w:r>
        <w:t xml:space="preserve"> </w:t>
      </w:r>
      <w:r>
        <w:t xml:space="preserve">below the 0.60 concern threshold, so RSE topic structure should be</w:t>
      </w:r>
      <w:r>
        <w:t xml:space="preserve"> </w:t>
      </w:r>
      <w:r>
        <w:t xml:space="preserve">interpreted with caution. Cross-tag shares are invariant to coverage</w:t>
      </w:r>
      <w:r>
        <w:t xml:space="preserve"> </w:t>
      </w:r>
      <w:r>
        <w:t xml:space="preserve">adjustment (max change 0.02 for any journal).</w:t>
      </w:r>
    </w:p>
    <w:p>
      <w:pPr>
        <w:pStyle w:val="BodyText"/>
      </w:pPr>
      <w:r>
        <w:t xml:space="preserve">A</w:t>
      </w:r>
      <w:r>
        <w:t xml:space="preserve"> </w:t>
      </w:r>
      <w:r>
        <w:t xml:space="preserve">“bridge”</w:t>
      </w:r>
      <w:r>
        <w:t xml:space="preserve"> </w:t>
      </w:r>
      <w:r>
        <w:t xml:space="preserve">tag is also known as tag-grouping sensitivity. By construction, all citations in DISER are cross-tag because DISER is the only journal tagged</w:t>
      </w:r>
      <w:r>
        <w:t xml:space="preserve"> </w:t>
      </w:r>
      <w:r>
        <w:t xml:space="preserve">“bridge”</w:t>
      </w:r>
      <w:r>
        <w:t xml:space="preserve">. Recomputing DISER’s cross-tag share under alternative groupings: merged into</w:t>
      </w:r>
      <w:r>
        <w:t xml:space="preserve"> </w:t>
      </w:r>
      <w:r>
        <w:t xml:space="preserve">“interdisciplinary”</w:t>
      </w:r>
      <w:r>
        <w:t xml:space="preserve"> </w:t>
      </w:r>
      <w:r>
        <w:t xml:space="preserve">→ 0.723 (E-I +0.447); merged into</w:t>
      </w:r>
      <w:r>
        <w:t xml:space="preserve"> </w:t>
      </w:r>
      <w:r>
        <w:t xml:space="preserve">“biology”</w:t>
      </w:r>
      <w:r>
        <w:t xml:space="preserve"> </w:t>
      </w:r>
      <w:r>
        <w:t xml:space="preserve">→ 0.830 (E-I +0.659); merged into</w:t>
      </w:r>
      <w:r>
        <w:t xml:space="preserve"> </w:t>
      </w:r>
      <w:r>
        <w:t xml:space="preserve">“general”</w:t>
      </w:r>
      <w:r>
        <w:t xml:space="preserve"> </w:t>
      </w:r>
      <w:r>
        <w:t xml:space="preserve">→ 0.302 (E-I -0.396). DISER continues to be a broker in all other groupings but the</w:t>
      </w:r>
      <w:r>
        <w:t xml:space="preserve"> </w:t>
      </w:r>
      <w:r>
        <w:t xml:space="preserve">“general.”</w:t>
      </w:r>
      <w:r>
        <w:t xml:space="preserve"> </w:t>
      </w:r>
      <w:r>
        <w:t xml:space="preserve">The tag independent journal-distribution entropy (2.33/2.71 = 0.86) is not affected by the tag assignment and it is consistent with the high diversity of DISER. Any headline brokerage claim should mention entropy as well as cross tag share.</w:t>
      </w:r>
    </w:p>
    <w:p>
      <w:pPr>
        <w:pStyle w:val="BodyText"/>
      </w:pPr>
      <w:r>
        <w:t xml:space="preserve">Bradley-Terry quasi-variances. Bootstrap 95% CIs (200 resamples) for Stigler influence: DISER 1.2e-28 [7.4e-34, 3.8e-25] (extremely uncertain based on very small sample, 177 works, 431 incoming citations). JCE is the dominant element in the point estimate (near 0.5). The Stigler model is not suitable for small journals, cross-tag share and entropy are more stable measures.</w:t>
      </w:r>
    </w:p>
    <w:p>
      <w:pPr>
        <w:pStyle w:val="BodyText"/>
      </w:pPr>
      <w:r>
        <w:t xml:space="preserve">Dynamic community structure. Yearly Louvain modularity on tag-level networks: 0.580 (2019), 0.457 (2020), 0.526 (2021), 0.558 (2022), 0.535 (2023), 0.548 (2024), 0.584 (2025). Modularity is fairly high and stable (ranging between ~0.53 and ~0.58) in the presence of 5-6 communities, indicating that disciplinary clustering is likely to be present in a persistent manner. The 2020 dip (0.457) is happening during the pandemic. (Alluvial diagram: fig7_sankey.png.)</w:t>
      </w:r>
    </w:p>
    <w:p>
      <w:pPr>
        <w:pStyle w:val="BodyText"/>
      </w:pPr>
      <w:r>
        <w:t xml:space="preserve">DISER has betweenness centralities of zero or very low for all graph specifications, and do not contribute to the brokerage finding.</w:t>
      </w:r>
    </w:p>
    <w:p>
      <w:pPr>
        <w:pStyle w:val="BodyText"/>
      </w:pPr>
      <w:r>
        <w:rPr>
          <w:b/>
          <w:bCs/>
        </w:rPr>
        <w:t xml:space="preserve">Table 5.</w:t>
      </w:r>
      <w:r>
        <w:t xml:space="preserve"> </w:t>
      </w:r>
      <w:r>
        <w:t xml:space="preserve">Weighting of graph directions. Under four graph specifications, betweenness centrality and Rao-Stirling (Simpson) centrality.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Specification</w:t>
            </w:r>
          </w:p>
        </w:tc>
        <w:tc>
          <w:tcPr/>
          <w:p>
            <w:pPr>
              <w:pStyle w:val="Compact"/>
            </w:pPr>
            <w:r>
              <w:t xml:space="preserve">DISER betweenness</w:t>
            </w:r>
          </w:p>
        </w:tc>
        <w:tc>
          <w:tcPr/>
          <w:p>
            <w:pPr>
              <w:pStyle w:val="Compact"/>
            </w:pPr>
            <w:r>
              <w:t xml:space="preserve">DISER Rao-Stirling</w:t>
            </w:r>
          </w:p>
        </w:tc>
        <w:tc>
          <w:tcPr/>
          <w:p>
            <w:pPr>
              <w:pStyle w:val="Compact"/>
            </w:pPr>
            <w:r>
              <w:t xml:space="preserve">JCE betweenness</w:t>
            </w:r>
          </w:p>
        </w:tc>
        <w:tc>
          <w:tcPr/>
          <w:p>
            <w:pPr>
              <w:pStyle w:val="Compact"/>
            </w:pPr>
            <w:r>
              <w:t xml:space="preserve">JCE Rao-Stirling</w:t>
            </w:r>
          </w:p>
        </w:tc>
        <w:tc>
          <w:tcPr/>
          <w:p>
            <w:pPr>
              <w:pStyle w:val="Compact"/>
            </w:pPr>
            <w:r>
              <w:t xml:space="preserve">Rank correlation (vs. primary)</w:t>
            </w:r>
          </w:p>
        </w:tc>
      </w:tr>
      <w:tr>
        <w:tc>
          <w:tcPr/>
          <w:p>
            <w:pPr>
              <w:pStyle w:val="Compact"/>
            </w:pPr>
            <w:r>
              <w:t xml:space="preserve">Weighted directed (primary)</w:t>
            </w:r>
          </w:p>
        </w:tc>
        <w:tc>
          <w:tcPr/>
          <w:p>
            <w:pPr>
              <w:pStyle w:val="Compact"/>
            </w:pPr>
            <w:r>
              <w:t xml:space="preserve">0.000</w:t>
            </w:r>
          </w:p>
        </w:tc>
        <w:tc>
          <w:tcPr/>
          <w:p>
            <w:pPr>
              <w:pStyle w:val="Compact"/>
            </w:pPr>
            <w:r>
              <w:t xml:space="preserve">0.72</w:t>
            </w:r>
          </w:p>
        </w:tc>
        <w:tc>
          <w:tcPr/>
          <w:p>
            <w:pPr>
              <w:pStyle w:val="Compact"/>
            </w:pPr>
            <w:r>
              <w:t xml:space="preserve">0.143</w:t>
            </w:r>
          </w:p>
        </w:tc>
        <w:tc>
          <w:tcPr/>
          <w:p>
            <w:pPr>
              <w:pStyle w:val="Compact"/>
            </w:pPr>
            <w:r>
              <w:t xml:space="preserve">0.12</w:t>
            </w:r>
          </w:p>
        </w:tc>
        <w:tc>
          <w:tcPr/>
          <w:p>
            <w:pPr>
              <w:pStyle w:val="Compact"/>
            </w:pPr>
            <w:r>
              <w:t xml:space="preserve">1.00</w:t>
            </w:r>
          </w:p>
        </w:tc>
      </w:tr>
      <w:tr>
        <w:tc>
          <w:tcPr/>
          <w:p>
            <w:pPr>
              <w:pStyle w:val="Compact"/>
            </w:pPr>
            <w:r>
              <w:t xml:space="preserve">Unweighted directed</w:t>
            </w:r>
          </w:p>
        </w:tc>
        <w:tc>
          <w:tcPr/>
          <w:p>
            <w:pPr>
              <w:pStyle w:val="Compact"/>
            </w:pPr>
            <w:r>
              <w:t xml:space="preserve">0.002</w:t>
            </w:r>
          </w:p>
        </w:tc>
        <w:tc>
          <w:tcPr/>
          <w:p>
            <w:pPr>
              <w:pStyle w:val="Compact"/>
            </w:pPr>
            <w:r>
              <w:t xml:space="preserve">0.71</w:t>
            </w:r>
          </w:p>
        </w:tc>
        <w:tc>
          <w:tcPr/>
          <w:p>
            <w:pPr>
              <w:pStyle w:val="Compact"/>
            </w:pPr>
            <w:r>
              <w:t xml:space="preserve">0.002</w:t>
            </w:r>
          </w:p>
        </w:tc>
        <w:tc>
          <w:tcPr/>
          <w:p>
            <w:pPr>
              <w:pStyle w:val="Compact"/>
            </w:pPr>
            <w:r>
              <w:t xml:space="preserve">0.11</w:t>
            </w:r>
          </w:p>
        </w:tc>
        <w:tc>
          <w:tcPr/>
          <w:p>
            <w:pPr>
              <w:pStyle w:val="Compact"/>
            </w:pPr>
            <w:r>
              <w:t xml:space="preserve">0.32</w:t>
            </w:r>
          </w:p>
        </w:tc>
      </w:tr>
      <w:tr>
        <w:tc>
          <w:tcPr/>
          <w:p>
            <w:pPr>
              <w:pStyle w:val="Compact"/>
            </w:pPr>
            <w:r>
              <w:t xml:space="preserve">Weighted symmetrized</w:t>
            </w:r>
          </w:p>
        </w:tc>
        <w:tc>
          <w:tcPr/>
          <w:p>
            <w:pPr>
              <w:pStyle w:val="Compact"/>
            </w:pPr>
            <w:r>
              <w:t xml:space="preserve">0.000</w:t>
            </w:r>
          </w:p>
        </w:tc>
        <w:tc>
          <w:tcPr/>
          <w:p>
            <w:pPr>
              <w:pStyle w:val="Compact"/>
            </w:pPr>
            <w:r>
              <w:t xml:space="preserve">0.73</w:t>
            </w:r>
          </w:p>
        </w:tc>
        <w:tc>
          <w:tcPr/>
          <w:p>
            <w:pPr>
              <w:pStyle w:val="Compact"/>
            </w:pPr>
            <w:r>
              <w:t xml:space="preserve">0.143</w:t>
            </w:r>
          </w:p>
        </w:tc>
        <w:tc>
          <w:tcPr/>
          <w:p>
            <w:pPr>
              <w:pStyle w:val="Compact"/>
            </w:pPr>
            <w:r>
              <w:t xml:space="preserve">0.13</w:t>
            </w:r>
          </w:p>
        </w:tc>
        <w:tc>
          <w:tcPr/>
          <w:p>
            <w:pPr>
              <w:pStyle w:val="Compact"/>
            </w:pPr>
            <w:r>
              <w:t xml:space="preserve">0.99</w:t>
            </w:r>
          </w:p>
        </w:tc>
      </w:tr>
      <w:tr>
        <w:tc>
          <w:tcPr/>
          <w:p>
            <w:pPr>
              <w:pStyle w:val="Compact"/>
            </w:pPr>
            <w:r>
              <w:t xml:space="preserve">Unweighted undirected</w:t>
            </w:r>
          </w:p>
        </w:tc>
        <w:tc>
          <w:tcPr/>
          <w:p>
            <w:pPr>
              <w:pStyle w:val="Compact"/>
            </w:pPr>
            <w:r>
              <w:t xml:space="preserve">0.000</w:t>
            </w:r>
          </w:p>
        </w:tc>
        <w:tc>
          <w:tcPr/>
          <w:p>
            <w:pPr>
              <w:pStyle w:val="Compact"/>
            </w:pPr>
            <w:r>
              <w:t xml:space="preserve">0.70</w:t>
            </w:r>
          </w:p>
        </w:tc>
        <w:tc>
          <w:tcPr/>
          <w:p>
            <w:pPr>
              <w:pStyle w:val="Compact"/>
            </w:pPr>
            <w:r>
              <w:t xml:space="preserve">0.000</w:t>
            </w:r>
          </w:p>
        </w:tc>
        <w:tc>
          <w:tcPr/>
          <w:p>
            <w:pPr>
              <w:pStyle w:val="Compact"/>
            </w:pPr>
            <w:r>
              <w:t xml:space="preserve">0.10</w:t>
            </w:r>
          </w:p>
        </w:tc>
        <w:tc>
          <w:tcPr/>
          <w:p>
            <w:pPr>
              <w:pStyle w:val="Compact"/>
            </w:pPr>
            <w:r>
              <w:t xml:space="preserve">—</w:t>
            </w:r>
          </w:p>
        </w:tc>
      </w:tr>
    </w:tbl>
    <w:p>
      <w:pPr>
        <w:pStyle w:val="BodyText"/>
      </w:pPr>
      <w:r>
        <w:t xml:space="preserve">There are no consistent rankings across specifications (DISER is at or near zero in each specification, while JCE has higher ranks in the weighted specs). The conclusion of the brokerage of DISER is based on cross tag share, E-I index, Rao-Stirling diversity, and not betweenness.</w:t>
      </w:r>
    </w:p>
    <w:p>
      <w:pPr>
        <w:pStyle w:val="BodyText"/>
      </w:pPr>
      <w:r>
        <w:rPr>
          <w:b/>
          <w:bCs/>
        </w:rPr>
        <w:t xml:space="preserve">Table 6.</w:t>
      </w:r>
      <w:r>
        <w:t xml:space="preserve"> </w:t>
      </w:r>
      <w:r>
        <w:t xml:space="preserve">Alternative weighting schemes. Macro-average cross-tag share and DISER metrics under four weighting schemes.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Weighting scheme</w:t>
            </w:r>
          </w:p>
        </w:tc>
        <w:tc>
          <w:tcPr/>
          <w:p>
            <w:pPr>
              <w:pStyle w:val="Compact"/>
            </w:pPr>
            <w:r>
              <w:t xml:space="preserve">Macro cross-tag share</w:t>
            </w:r>
          </w:p>
        </w:tc>
        <w:tc>
          <w:tcPr/>
          <w:p>
            <w:pPr>
              <w:pStyle w:val="Compact"/>
            </w:pPr>
            <w:r>
              <w:t xml:space="preserve">DISER cross-tag share</w:t>
            </w:r>
          </w:p>
        </w:tc>
        <w:tc>
          <w:tcPr/>
          <w:p>
            <w:pPr>
              <w:pStyle w:val="Compact"/>
            </w:pPr>
            <w:r>
              <w:t xml:space="preserve">DISER betweenness</w:t>
            </w:r>
          </w:p>
        </w:tc>
        <w:tc>
          <w:tcPr/>
          <w:p>
            <w:pPr>
              <w:pStyle w:val="Compact"/>
            </w:pPr>
            <w:r>
              <w:t xml:space="preserve">DISER Rao-Stirling (Simpson)</w:t>
            </w:r>
          </w:p>
        </w:tc>
      </w:tr>
      <w:tr>
        <w:tc>
          <w:tcPr/>
          <w:p>
            <w:pPr>
              <w:pStyle w:val="Compact"/>
            </w:pPr>
            <w:r>
              <w:t xml:space="preserve">Micro (raw counts)</w:t>
            </w:r>
          </w:p>
        </w:tc>
        <w:tc>
          <w:tcPr/>
          <w:p>
            <w:pPr>
              <w:pStyle w:val="Compact"/>
            </w:pPr>
            <w:r>
              <w:t xml:space="preserve">0.136</w:t>
            </w:r>
          </w:p>
        </w:tc>
        <w:tc>
          <w:tcPr/>
          <w:p>
            <w:pPr>
              <w:pStyle w:val="Compact"/>
            </w:pPr>
            <w:r>
              <w:t xml:space="preserve">0.841</w:t>
            </w:r>
          </w:p>
        </w:tc>
        <w:tc>
          <w:tcPr/>
          <w:p>
            <w:pPr>
              <w:pStyle w:val="Compact"/>
            </w:pPr>
            <w:r>
              <w:t xml:space="preserve">0.000</w:t>
            </w:r>
          </w:p>
        </w:tc>
        <w:tc>
          <w:tcPr/>
          <w:p>
            <w:pPr>
              <w:pStyle w:val="Compact"/>
            </w:pPr>
            <w:r>
              <w:t xml:space="preserve">0.72</w:t>
            </w:r>
          </w:p>
        </w:tc>
      </w:tr>
      <w:tr>
        <w:tc>
          <w:tcPr/>
          <w:p>
            <w:pPr>
              <w:pStyle w:val="Compact"/>
            </w:pPr>
            <w:r>
              <w:t xml:space="preserve">Macro (equal journal weight)</w:t>
            </w:r>
          </w:p>
        </w:tc>
        <w:tc>
          <w:tcPr/>
          <w:p>
            <w:pPr>
              <w:pStyle w:val="Compact"/>
            </w:pPr>
            <w:r>
              <w:t xml:space="preserve">0.265</w:t>
            </w:r>
          </w:p>
        </w:tc>
        <w:tc>
          <w:tcPr/>
          <w:p>
            <w:pPr>
              <w:pStyle w:val="Compact"/>
            </w:pPr>
            <w:r>
              <w:t xml:space="preserve">0.841</w:t>
            </w:r>
          </w:p>
        </w:tc>
        <w:tc>
          <w:tcPr/>
          <w:p>
            <w:pPr>
              <w:pStyle w:val="Compact"/>
            </w:pPr>
            <w:r>
              <w:t xml:space="preserve">0.000</w:t>
            </w:r>
          </w:p>
        </w:tc>
        <w:tc>
          <w:tcPr/>
          <w:p>
            <w:pPr>
              <w:pStyle w:val="Compact"/>
            </w:pPr>
            <w:r>
              <w:t xml:space="preserve">0.72</w:t>
            </w:r>
          </w:p>
        </w:tc>
      </w:tr>
      <w:tr>
        <w:tc>
          <w:tcPr/>
          <w:p>
            <w:pPr>
              <w:pStyle w:val="Compact"/>
            </w:pPr>
            <w:r>
              <w:t xml:space="preserve">Sqrt (sqrt(n_j))</w:t>
            </w:r>
          </w:p>
        </w:tc>
        <w:tc>
          <w:tcPr/>
          <w:p>
            <w:pPr>
              <w:pStyle w:val="Compact"/>
            </w:pPr>
            <w:r>
              <w:t xml:space="preserve">0.219</w:t>
            </w:r>
          </w:p>
        </w:tc>
        <w:tc>
          <w:tcPr/>
          <w:p>
            <w:pPr>
              <w:pStyle w:val="Compact"/>
            </w:pPr>
            <w:r>
              <w:t xml:space="preserve">0.833</w:t>
            </w:r>
          </w:p>
        </w:tc>
        <w:tc>
          <w:tcPr/>
          <w:p>
            <w:pPr>
              <w:pStyle w:val="Compact"/>
            </w:pPr>
            <w:r>
              <w:t xml:space="preserve">0.002</w:t>
            </w:r>
          </w:p>
        </w:tc>
        <w:tc>
          <w:tcPr/>
          <w:p>
            <w:pPr>
              <w:pStyle w:val="Compact"/>
            </w:pPr>
            <w:r>
              <w:t xml:space="preserve">0.69</w:t>
            </w:r>
          </w:p>
        </w:tc>
      </w:tr>
      <w:tr>
        <w:tc>
          <w:tcPr/>
          <w:p>
            <w:pPr>
              <w:pStyle w:val="Compact"/>
            </w:pPr>
            <w:r>
              <w:t xml:space="preserve">Median-of-ratios</w:t>
            </w:r>
          </w:p>
        </w:tc>
        <w:tc>
          <w:tcPr/>
          <w:p>
            <w:pPr>
              <w:pStyle w:val="Compact"/>
            </w:pPr>
            <w:r>
              <w:t xml:space="preserve">0.231</w:t>
            </w:r>
          </w:p>
        </w:tc>
        <w:tc>
          <w:tcPr/>
          <w:p>
            <w:pPr>
              <w:pStyle w:val="Compact"/>
            </w:pPr>
            <w:r>
              <w:t xml:space="preserve">0.837</w:t>
            </w:r>
          </w:p>
        </w:tc>
        <w:tc>
          <w:tcPr/>
          <w:p>
            <w:pPr>
              <w:pStyle w:val="Compact"/>
            </w:pPr>
            <w:r>
              <w:t xml:space="preserve">0.000</w:t>
            </w:r>
          </w:p>
        </w:tc>
        <w:tc>
          <w:tcPr/>
          <w:p>
            <w:pPr>
              <w:pStyle w:val="Compact"/>
            </w:pPr>
            <w:r>
              <w:t xml:space="preserve">0.70</w:t>
            </w:r>
          </w:p>
        </w:tc>
      </w:tr>
    </w:tbl>
    <w:p>
      <w:pPr>
        <w:pStyle w:val="BodyText"/>
      </w:pPr>
      <w:r>
        <w:t xml:space="preserve">Bridge/silo ranking is stable across schemes (Kendall’s W &gt;= 0.87); JCE remains the most siloed and DISER the top broker by cross-tag share under all four. DISER’s betweenness is at or near zero under every scheme.</w:t>
      </w:r>
    </w:p>
    <w:p>
      <w:pPr>
        <w:pStyle w:val="BodyText"/>
      </w:pPr>
      <w:r>
        <w:rPr>
          <w:b/>
          <w:bCs/>
        </w:rPr>
        <w:t xml:space="preserve">Table 7.</w:t>
      </w:r>
      <w:r>
        <w:t xml:space="preserve"> </w:t>
      </w:r>
      <w:r>
        <w:t xml:space="preserve">Leave-one-journal-out robustness. DISER metrics with each</w:t>
      </w:r>
      <w:r>
        <w:t xml:space="preserve"> </w:t>
      </w:r>
      <w:r>
        <w:t xml:space="preserve">journal excluded in turn.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Excluded journal</w:t>
            </w:r>
          </w:p>
        </w:tc>
        <w:tc>
          <w:tcPr/>
          <w:p>
            <w:pPr>
              <w:pStyle w:val="Compact"/>
            </w:pPr>
            <w:r>
              <w:t xml:space="preserve">DISER cross-tag share</w:t>
            </w:r>
          </w:p>
        </w:tc>
        <w:tc>
          <w:tcPr/>
          <w:p>
            <w:pPr>
              <w:pStyle w:val="Compact"/>
            </w:pPr>
            <w:r>
              <w:t xml:space="preserve">DISER betweenness</w:t>
            </w:r>
          </w:p>
        </w:tc>
        <w:tc>
          <w:tcPr/>
          <w:p>
            <w:pPr>
              <w:pStyle w:val="Compact"/>
            </w:pPr>
            <w:r>
              <w:t xml:space="preserve">DISER Rao-Stokes (Simpson)</w:t>
            </w:r>
          </w:p>
        </w:tc>
        <w:tc>
          <w:tcPr/>
          <w:p>
            <w:pPr>
              <w:pStyle w:val="Compact"/>
            </w:pPr>
            <w:r>
              <w:t xml:space="preserve">DISER rank</w:t>
            </w:r>
          </w:p>
        </w:tc>
      </w:tr>
      <w:tr>
        <w:tc>
          <w:tcPr/>
          <w:p>
            <w:pPr>
              <w:pStyle w:val="Compact"/>
            </w:pPr>
            <w:r>
              <w:t xml:space="preserve">None (full corpus)</w:t>
            </w:r>
          </w:p>
        </w:tc>
        <w:tc>
          <w:tcPr/>
          <w:p>
            <w:pPr>
              <w:pStyle w:val="Compact"/>
            </w:pPr>
            <w:r>
              <w:t xml:space="preserve">0.841</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jce</w:t>
            </w:r>
          </w:p>
        </w:tc>
        <w:tc>
          <w:tcPr/>
          <w:p>
            <w:pPr>
              <w:pStyle w:val="Compact"/>
            </w:pPr>
            <w:r>
              <w:t xml:space="preserve">0.858</w:t>
            </w:r>
          </w:p>
        </w:tc>
        <w:tc>
          <w:tcPr/>
          <w:p>
            <w:pPr>
              <w:pStyle w:val="Compact"/>
            </w:pPr>
            <w:r>
              <w:t xml:space="preserve">0.000</w:t>
            </w:r>
          </w:p>
        </w:tc>
        <w:tc>
          <w:tcPr/>
          <w:p>
            <w:pPr>
              <w:pStyle w:val="Compact"/>
            </w:pPr>
            <w:r>
              <w:t xml:space="preserve">0.74</w:t>
            </w:r>
          </w:p>
        </w:tc>
        <w:tc>
          <w:tcPr/>
          <w:p>
            <w:pPr>
              <w:pStyle w:val="Compact"/>
            </w:pPr>
            <w:r>
              <w:t xml:space="preserve">1</w:t>
            </w:r>
          </w:p>
        </w:tc>
      </w:tr>
      <w:tr>
        <w:tc>
          <w:tcPr/>
          <w:p>
            <w:pPr>
              <w:pStyle w:val="Compact"/>
            </w:pPr>
            <w:r>
              <w:t xml:space="preserve">prper</w:t>
            </w:r>
          </w:p>
        </w:tc>
        <w:tc>
          <w:tcPr/>
          <w:p>
            <w:pPr>
              <w:pStyle w:val="Compact"/>
            </w:pPr>
            <w:r>
              <w:t xml:space="preserve">0.849</w:t>
            </w:r>
          </w:p>
        </w:tc>
        <w:tc>
          <w:tcPr/>
          <w:p>
            <w:pPr>
              <w:pStyle w:val="Compact"/>
            </w:pPr>
            <w:r>
              <w:t xml:space="preserve">0.000</w:t>
            </w:r>
          </w:p>
        </w:tc>
        <w:tc>
          <w:tcPr/>
          <w:p>
            <w:pPr>
              <w:pStyle w:val="Compact"/>
            </w:pPr>
            <w:r>
              <w:t xml:space="preserve">0.73</w:t>
            </w:r>
          </w:p>
        </w:tc>
        <w:tc>
          <w:tcPr/>
          <w:p>
            <w:pPr>
              <w:pStyle w:val="Compact"/>
            </w:pPr>
            <w:r>
              <w:t xml:space="preserve">1</w:t>
            </w:r>
          </w:p>
        </w:tc>
      </w:tr>
      <w:tr>
        <w:tc>
          <w:tcPr/>
          <w:p>
            <w:pPr>
              <w:pStyle w:val="Compact"/>
            </w:pPr>
            <w:r>
              <w:t xml:space="preserve">science_education</w:t>
            </w:r>
          </w:p>
        </w:tc>
        <w:tc>
          <w:tcPr/>
          <w:p>
            <w:pPr>
              <w:pStyle w:val="Compact"/>
            </w:pPr>
            <w:r>
              <w:t xml:space="preserve">0.837</w:t>
            </w:r>
          </w:p>
        </w:tc>
        <w:tc>
          <w:tcPr/>
          <w:p>
            <w:pPr>
              <w:pStyle w:val="Compact"/>
            </w:pPr>
            <w:r>
              <w:t xml:space="preserve">0.000</w:t>
            </w:r>
          </w:p>
        </w:tc>
        <w:tc>
          <w:tcPr/>
          <w:p>
            <w:pPr>
              <w:pStyle w:val="Compact"/>
            </w:pPr>
            <w:r>
              <w:t xml:space="preserve">0.71</w:t>
            </w:r>
          </w:p>
        </w:tc>
        <w:tc>
          <w:tcPr/>
          <w:p>
            <w:pPr>
              <w:pStyle w:val="Compact"/>
            </w:pPr>
            <w:r>
              <w:t xml:space="preserve">1</w:t>
            </w:r>
          </w:p>
        </w:tc>
      </w:tr>
      <w:tr>
        <w:tc>
          <w:tcPr/>
          <w:p>
            <w:pPr>
              <w:pStyle w:val="Compact"/>
            </w:pPr>
            <w:r>
              <w:t xml:space="preserve">ijse</w:t>
            </w:r>
          </w:p>
        </w:tc>
        <w:tc>
          <w:tcPr/>
          <w:p>
            <w:pPr>
              <w:pStyle w:val="Compact"/>
            </w:pPr>
            <w:r>
              <w:t xml:space="preserve">0.844</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rse</w:t>
            </w:r>
          </w:p>
        </w:tc>
        <w:tc>
          <w:tcPr/>
          <w:p>
            <w:pPr>
              <w:pStyle w:val="Compact"/>
            </w:pPr>
            <w:r>
              <w:t xml:space="preserve">0.839</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sse</w:t>
            </w:r>
          </w:p>
        </w:tc>
        <w:tc>
          <w:tcPr/>
          <w:p>
            <w:pPr>
              <w:pStyle w:val="Compact"/>
            </w:pPr>
            <w:r>
              <w:t xml:space="preserve">0.846</w:t>
            </w:r>
          </w:p>
        </w:tc>
        <w:tc>
          <w:tcPr/>
          <w:p>
            <w:pPr>
              <w:pStyle w:val="Compact"/>
            </w:pPr>
            <w:r>
              <w:t xml:space="preserve">0.000</w:t>
            </w:r>
          </w:p>
        </w:tc>
        <w:tc>
          <w:tcPr/>
          <w:p>
            <w:pPr>
              <w:pStyle w:val="Compact"/>
            </w:pPr>
            <w:r>
              <w:t xml:space="preserve">0.73</w:t>
            </w:r>
          </w:p>
        </w:tc>
        <w:tc>
          <w:tcPr/>
          <w:p>
            <w:pPr>
              <w:pStyle w:val="Compact"/>
            </w:pPr>
            <w:r>
              <w:t xml:space="preserve">1</w:t>
            </w:r>
          </w:p>
        </w:tc>
      </w:tr>
      <w:tr>
        <w:tc>
          <w:tcPr/>
          <w:p>
            <w:pPr>
              <w:pStyle w:val="Compact"/>
            </w:pPr>
            <w:r>
              <w:t xml:space="preserve">jbe</w:t>
            </w:r>
          </w:p>
        </w:tc>
        <w:tc>
          <w:tcPr/>
          <w:p>
            <w:pPr>
              <w:pStyle w:val="Compact"/>
            </w:pPr>
            <w:r>
              <w:t xml:space="preserve">0.833</w:t>
            </w:r>
          </w:p>
        </w:tc>
        <w:tc>
          <w:tcPr/>
          <w:p>
            <w:pPr>
              <w:pStyle w:val="Compact"/>
            </w:pPr>
            <w:r>
              <w:t xml:space="preserve">0.000</w:t>
            </w:r>
          </w:p>
        </w:tc>
        <w:tc>
          <w:tcPr/>
          <w:p>
            <w:pPr>
              <w:pStyle w:val="Compact"/>
            </w:pPr>
            <w:r>
              <w:t xml:space="preserve">0.70</w:t>
            </w:r>
          </w:p>
        </w:tc>
        <w:tc>
          <w:tcPr/>
          <w:p>
            <w:pPr>
              <w:pStyle w:val="Compact"/>
            </w:pPr>
            <w:r>
              <w:t xml:space="preserve">1</w:t>
            </w:r>
          </w:p>
        </w:tc>
      </w:tr>
      <w:tr>
        <w:tc>
          <w:tcPr/>
          <w:p>
            <w:pPr>
              <w:pStyle w:val="Compact"/>
            </w:pPr>
            <w:r>
              <w:t xml:space="preserve">cerp</w:t>
            </w:r>
          </w:p>
        </w:tc>
        <w:tc>
          <w:tcPr/>
          <w:p>
            <w:pPr>
              <w:pStyle w:val="Compact"/>
            </w:pPr>
            <w:r>
              <w:t xml:space="preserve">0.842</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physed</w:t>
            </w:r>
          </w:p>
        </w:tc>
        <w:tc>
          <w:tcPr/>
          <w:p>
            <w:pPr>
              <w:pStyle w:val="Compact"/>
            </w:pPr>
            <w:r>
              <w:t xml:space="preserve">0.848</w:t>
            </w:r>
          </w:p>
        </w:tc>
        <w:tc>
          <w:tcPr/>
          <w:p>
            <w:pPr>
              <w:pStyle w:val="Compact"/>
            </w:pPr>
            <w:r>
              <w:t xml:space="preserve">0.000</w:t>
            </w:r>
          </w:p>
        </w:tc>
        <w:tc>
          <w:tcPr/>
          <w:p>
            <w:pPr>
              <w:pStyle w:val="Compact"/>
            </w:pPr>
            <w:r>
              <w:t xml:space="preserve">0.73</w:t>
            </w:r>
          </w:p>
        </w:tc>
        <w:tc>
          <w:tcPr/>
          <w:p>
            <w:pPr>
              <w:pStyle w:val="Compact"/>
            </w:pPr>
            <w:r>
              <w:t xml:space="preserve">1</w:t>
            </w:r>
          </w:p>
        </w:tc>
      </w:tr>
      <w:tr>
        <w:tc>
          <w:tcPr/>
          <w:p>
            <w:pPr>
              <w:pStyle w:val="Compact"/>
            </w:pPr>
            <w:r>
              <w:t xml:space="preserve">jge</w:t>
            </w:r>
          </w:p>
        </w:tc>
        <w:tc>
          <w:tcPr/>
          <w:p>
            <w:pPr>
              <w:pStyle w:val="Compact"/>
            </w:pPr>
            <w:r>
              <w:t xml:space="preserve">0.843</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jee</w:t>
            </w:r>
          </w:p>
        </w:tc>
        <w:tc>
          <w:tcPr/>
          <w:p>
            <w:pPr>
              <w:pStyle w:val="Compact"/>
            </w:pPr>
            <w:r>
              <w:t xml:space="preserve">0.840</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ejee</w:t>
            </w:r>
          </w:p>
        </w:tc>
        <w:tc>
          <w:tcPr/>
          <w:p>
            <w:pPr>
              <w:pStyle w:val="Compact"/>
            </w:pPr>
            <w:r>
              <w:t xml:space="preserve">0.838</w:t>
            </w:r>
          </w:p>
        </w:tc>
        <w:tc>
          <w:tcPr/>
          <w:p>
            <w:pPr>
              <w:pStyle w:val="Compact"/>
            </w:pPr>
            <w:r>
              <w:t xml:space="preserve">0.000</w:t>
            </w:r>
          </w:p>
        </w:tc>
        <w:tc>
          <w:tcPr/>
          <w:p>
            <w:pPr>
              <w:pStyle w:val="Compact"/>
            </w:pPr>
            <w:r>
              <w:t xml:space="preserve">0.71</w:t>
            </w:r>
          </w:p>
        </w:tc>
        <w:tc>
          <w:tcPr/>
          <w:p>
            <w:pPr>
              <w:pStyle w:val="Compact"/>
            </w:pPr>
            <w:r>
              <w:t xml:space="preserve">1</w:t>
            </w:r>
          </w:p>
        </w:tc>
      </w:tr>
      <w:tr>
        <w:tc>
          <w:tcPr/>
          <w:p>
            <w:pPr>
              <w:pStyle w:val="Compact"/>
            </w:pPr>
            <w:r>
              <w:t xml:space="preserve">ijsted</w:t>
            </w:r>
          </w:p>
        </w:tc>
        <w:tc>
          <w:tcPr/>
          <w:p>
            <w:pPr>
              <w:pStyle w:val="Compact"/>
            </w:pPr>
            <w:r>
              <w:t xml:space="preserve">0.835</w:t>
            </w:r>
          </w:p>
        </w:tc>
        <w:tc>
          <w:tcPr/>
          <w:p>
            <w:pPr>
              <w:pStyle w:val="Compact"/>
            </w:pPr>
            <w:r>
              <w:t xml:space="preserve">0.000</w:t>
            </w:r>
          </w:p>
        </w:tc>
        <w:tc>
          <w:tcPr/>
          <w:p>
            <w:pPr>
              <w:pStyle w:val="Compact"/>
            </w:pPr>
            <w:r>
              <w:t xml:space="preserve">0.71</w:t>
            </w:r>
          </w:p>
        </w:tc>
        <w:tc>
          <w:tcPr/>
          <w:p>
            <w:pPr>
              <w:pStyle w:val="Compact"/>
            </w:pPr>
            <w:r>
              <w:t xml:space="preserve">1</w:t>
            </w:r>
          </w:p>
        </w:tc>
      </w:tr>
      <w:tr>
        <w:tc>
          <w:tcPr/>
          <w:p>
            <w:pPr>
              <w:pStyle w:val="Compact"/>
            </w:pPr>
            <w:r>
              <w:t xml:space="preserve">diser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DISER’s rank as top broker by cross-tag share is stable under all 15</w:t>
      </w:r>
      <w:r>
        <w:t xml:space="preserve"> </w:t>
      </w:r>
      <w:r>
        <w:t xml:space="preserve">leave-one-journal-out iterations (cross-tag share range 0.833-0.858).</w:t>
      </w:r>
      <w:r>
        <w:t xml:space="preserve"> </w:t>
      </w:r>
      <w:r>
        <w:t xml:space="preserve">DISER’s betweenness is at or near zero under every exclusion.</w:t>
      </w:r>
    </w:p>
    <w:p>
      <w:pPr>
        <w:pStyle w:val="BodyText"/>
      </w:pPr>
      <w:r>
        <w:t xml:space="preserve">DISER exhibits high cross-disciplinary citation share (0.841), EI index (0.68), and Rao-Stirling diversity (0.72), confirming its brokerage role. Chemistry and physics education journals (JCE, PRPER, PHYSED) are the most siloed (cross-tag shares 0.048–0.154, negative EI indices). Macro normalization doubles the estimated cross-disciplinary exchange relative to micro pooling (0.265 vs. 0.136). DISER’s betweenness centrality is at or near zero under every graph specification and does not drive the brokerage conclusion (see Fig. 1).</w:t>
      </w:r>
    </w:p>
    <w:p>
      <w:pPr>
        <w:pStyle w:val="CaptionedFigure"/>
      </w:pPr>
      <w:r>
        <w:drawing>
          <wp:inline>
            <wp:extent cx="5334000" cy="4392705"/>
            <wp:effectExtent b="0" l="0" r="0" t="0"/>
            <wp:docPr descr="Fig. 1" title="" id="31" name="Picture"/>
            <a:graphic>
              <a:graphicData uri="http://schemas.openxmlformats.org/drawingml/2006/picture">
                <pic:pic>
                  <pic:nvPicPr>
                    <pic:cNvPr descr="figures/fig1_network.png" id="32" name="Picture"/>
                    <pic:cNvPicPr>
                      <a:picLocks noChangeArrowheads="1" noChangeAspect="1"/>
                    </pic:cNvPicPr>
                  </pic:nvPicPr>
                  <pic:blipFill>
                    <a:blip r:embed="rId30"/>
                    <a:stretch>
                      <a:fillRect/>
                    </a:stretch>
                  </pic:blipFill>
                  <pic:spPr bwMode="auto">
                    <a:xfrm>
                      <a:off x="0" y="0"/>
                      <a:ext cx="5334000" cy="4392705"/>
                    </a:xfrm>
                    <a:prstGeom prst="rect">
                      <a:avLst/>
                    </a:prstGeom>
                    <a:noFill/>
                    <a:ln w="9525">
                      <a:noFill/>
                      <a:headEnd/>
                      <a:tailEnd/>
                    </a:ln>
                  </pic:spPr>
                </pic:pic>
              </a:graphicData>
            </a:graphic>
          </wp:inline>
        </w:drawing>
      </w:r>
    </w:p>
    <w:p>
      <w:pPr>
        <w:pStyle w:val="ImageCaption"/>
      </w:pPr>
      <w:r>
        <w:t xml:space="preserve">Fig. 1</w:t>
      </w:r>
    </w:p>
    <w:p>
      <w:pPr>
        <w:pStyle w:val="BodyText"/>
      </w:pPr>
      <w:r>
        <w:rPr>
          <w:b/>
          <w:bCs/>
        </w:rPr>
        <w:t xml:space="preserve">Fig. 1</w:t>
      </w:r>
      <w:r>
        <w:t xml:space="preserve"> </w:t>
      </w:r>
      <w:r>
        <w:t xml:space="preserve">Inter-journal citation network (top 60 edges by weight). Node size</w:t>
      </w:r>
      <w:r>
        <w:t xml:space="preserve"> </w:t>
      </w:r>
      <w:r>
        <w:t xml:space="preserve">proportional to in-degree; green = DISER, red = siloed venues (JCE, PRPER,</w:t>
      </w:r>
      <w:r>
        <w:t xml:space="preserve"> </w:t>
      </w:r>
      <w:r>
        <w:t xml:space="preserve">PHYSED), blue = others. Edge width proportional to citation count. DISER</w:t>
      </w:r>
      <w:r>
        <w:t xml:space="preserve"> </w:t>
      </w:r>
      <w:r>
        <w:t xml:space="preserve">occupies a central position despite near-zero betweenness, confirming</w:t>
      </w:r>
      <w:r>
        <w:t xml:space="preserve"> </w:t>
      </w:r>
      <w:r>
        <w:t xml:space="preserve">direct (not relay-like) brokerage</w:t>
      </w:r>
    </w:p>
    <w:p>
      <w:pPr>
        <w:pStyle w:val="BodyText"/>
      </w:pPr>
      <w:r>
        <w:rPr>
          <w:b/>
          <w:bCs/>
        </w:rPr>
        <w:t xml:space="preserve">Bootstrap 95% CIs</w:t>
      </w:r>
      <w:r>
        <w:t xml:space="preserve"> </w:t>
      </w:r>
      <w:r>
        <w:t xml:space="preserve">(2000 resamples): DISER cross-tag share 0.841</w:t>
      </w:r>
      <w:r>
        <w:t xml:space="preserve"> </w:t>
      </w:r>
      <w:r>
        <w:t xml:space="preserve">[0.809, 0.873]; JCE cross-tag share 0.048 [0.041, 0.055]; DISER Rao-Stokes</w:t>
      </w:r>
      <w:r>
        <w:t xml:space="preserve"> </w:t>
      </w:r>
      <w:r>
        <w:t xml:space="preserve">(Simpson) 0.72 [0.68, 0.76]; DISER Rao-Stokes (distance-weighted) 0.61</w:t>
      </w:r>
      <w:r>
        <w:t xml:space="preserve"> </w:t>
      </w:r>
      <w:r>
        <w:t xml:space="preserve">[0.57, 0.65]. Small-venue journals (DISER, SSE) show wider intervals</w:t>
      </w:r>
      <w:r>
        <w:t xml:space="preserve"> </w:t>
      </w:r>
      <w:r>
        <w:t xml:space="preserve">(0.03–0.05) reflecting lower edge counts.</w:t>
      </w:r>
      <w:r>
        <w:t xml:space="preserve"> </w:t>
      </w:r>
      <w:r>
        <w:rPr>
          <w:b/>
          <w:bCs/>
        </w:rPr>
        <w:t xml:space="preserve">Aggregate cross-tag share:</w:t>
      </w:r>
      <w:r>
        <w:t xml:space="preserve"> </w:t>
      </w:r>
      <w:r>
        <w:t xml:space="preserve">micro = 0.136; macro = 0.265. The macro-micro gap (0.129) reflects JCE’s</w:t>
      </w:r>
      <w:r>
        <w:t xml:space="preserve"> </w:t>
      </w:r>
      <w:r>
        <w:t xml:space="preserve">dominance: raw counts are heavily influenced by JCE’s internal</w:t>
      </w:r>
      <w:r>
        <w:t xml:space="preserve"> </w:t>
      </w:r>
      <w:r>
        <w:t xml:space="preserve">self-citation, while equal journal weighting reveals substantially more</w:t>
      </w:r>
      <w:r>
        <w:t xml:space="preserve"> </w:t>
      </w:r>
      <w:r>
        <w:t xml:space="preserve">cross-disciplinary exchange than raw counts suggest.</w:t>
      </w:r>
    </w:p>
    <w:p>
      <w:pPr>
        <w:pStyle w:val="BodyText"/>
      </w:pPr>
      <w:r>
        <w:rPr>
          <w:b/>
          <w:bCs/>
        </w:rPr>
        <w:t xml:space="preserve">RQ1: Silos and bridges.</w:t>
      </w:r>
      <w:r>
        <w:t xml:space="preserve"> </w:t>
      </w:r>
      <w:r>
        <w:t xml:space="preserve">The journals with the lowest cross-tag share are the physics and chemistry education journals: JCE (0.048; 95.2% same-tag), PRPER (0.154), and Physics Education (0.108). The most cross-disciplinary are DISER (0.841), JBE (0.547), and IJSTEMed (0.407). The cross-tag share of DISER is the largest in the corpus, with a value of 84.1%, which is over five times the macro average (0.265).</w:t>
      </w:r>
    </w:p>
    <w:p>
      <w:pPr>
        <w:pStyle w:val="BodyText"/>
      </w:pPr>
      <w:r>
        <w:rPr>
          <w:b/>
          <w:bCs/>
        </w:rPr>
        <w:t xml:space="preserve">RQ3: DISER’s brokerage function.</w:t>
      </w:r>
      <w:r>
        <w:t xml:space="preserve"> </w:t>
      </w:r>
      <w:r>
        <w:t xml:space="preserve">DISER has the lowest same-tag share (0.159) and the highest cross-tag share (0.841), indicating that it is not primarily citing or being cited within a single subfield. The metrics confirm that DISER functions as a broker in the citation network, consistent with its mission statement as a bridge between disciplinary and interdisciplinary approaches.</w:t>
      </w:r>
    </w:p>
    <w:bookmarkEnd w:id="33"/>
    <w:bookmarkStart w:id="37" w:name="discipline-level-exchange"/>
    <w:p>
      <w:pPr>
        <w:pStyle w:val="Heading3"/>
      </w:pPr>
      <w:r>
        <w:t xml:space="preserve">4.5 Discipline-level exchange</w:t>
      </w:r>
    </w:p>
    <w:p>
      <w:pPr>
        <w:pStyle w:val="FirstParagraph"/>
      </w:pPr>
      <w:r>
        <w:t xml:space="preserve">The pattern of aggregating journals to discipline tags (biology, chemistry, physics, geoscience, engineering, general, interdisciplinary, bridge) is similar at the journal level: the majority of the discipline tags are intra-disciplinary (same-tag shares &gt;= 0.83), with the highest cross-discipline citation for the bridge venue (DISER) and for biology education (JBE). The general science-education cluster (Science Education, JRST, IJSE, RSE, SSE) has moderate cross-tag shares (0.15-0.26) which means that these journals act as partial bridges between disciplinary subfields (see Fig. 2).</w:t>
      </w:r>
    </w:p>
    <w:p>
      <w:pPr>
        <w:pStyle w:val="BodyText"/>
      </w:pPr>
      <w:r>
        <w:t xml:space="preserve">Aggregating journals to discipline tags (biology, chemistry, physics,</w:t>
      </w:r>
      <w:r>
        <w:t xml:space="preserve"> </w:t>
      </w:r>
      <w:r>
        <w:t xml:space="preserve">geoscience, engineering, general, interdisciplinary, bridge),</w:t>
      </w:r>
      <w:r>
        <w:t xml:space="preserve"> </w:t>
      </w:r>
      <w:r>
        <w:t xml:space="preserve">cross-discipline edge shares follow the journal-level pattern: chemistry</w:t>
      </w:r>
      <w:r>
        <w:t xml:space="preserve"> </w:t>
      </w:r>
      <w:r>
        <w:t xml:space="preserve">and physics disciplines are largely intra-disciplinary (same-tag shares</w:t>
      </w:r>
      <w:r>
        <w:t xml:space="preserve"> </w:t>
      </w:r>
      <w:r>
        <w:t xml:space="preserve">≥ 0.83), while biology education (JBE) and the bridge venue (DISER) show</w:t>
      </w:r>
      <w:r>
        <w:t xml:space="preserve"> </w:t>
      </w:r>
      <w:r>
        <w:t xml:space="preserve">the most cross-discipline citation. The general science-education</w:t>
      </w:r>
      <w:r>
        <w:t xml:space="preserve"> </w:t>
      </w:r>
      <w:r>
        <w:t xml:space="preserve">cluster (Science Education, JRST, IJSE, RSE, SSE) shows moderate</w:t>
      </w:r>
      <w:r>
        <w:t xml:space="preserve"> </w:t>
      </w:r>
      <w:r>
        <w:t xml:space="preserve">cross-tag shares (0.15–0.26), indicating these journals serve as partial</w:t>
      </w:r>
      <w:r>
        <w:t xml:space="preserve"> </w:t>
      </w:r>
      <w:r>
        <w:t xml:space="preserve">bridges between disciplinary subfields (see Fig. 2).</w:t>
      </w:r>
    </w:p>
    <w:p>
      <w:pPr>
        <w:pStyle w:val="CaptionedFigure"/>
      </w:pPr>
      <w:r>
        <w:drawing>
          <wp:inline>
            <wp:extent cx="5334000" cy="3810000"/>
            <wp:effectExtent b="0" l="0" r="0" t="0"/>
            <wp:docPr descr="Fig. 2" title="" id="35" name="Picture"/>
            <a:graphic>
              <a:graphicData uri="http://schemas.openxmlformats.org/drawingml/2006/picture">
                <pic:pic>
                  <pic:nvPicPr>
                    <pic:cNvPr descr="figures/fig7_sankey.png" id="36" name="Picture"/>
                    <pic:cNvPicPr>
                      <a:picLocks noChangeArrowheads="1" noChangeAspect="1"/>
                    </pic:cNvPicPr>
                  </pic:nvPicPr>
                  <pic:blipFill>
                    <a:blip r:embed="rId3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 2</w:t>
      </w:r>
    </w:p>
    <w:p>
      <w:pPr>
        <w:pStyle w:val="BodyText"/>
      </w:pPr>
      <w:r>
        <w:rPr>
          <w:b/>
          <w:bCs/>
        </w:rPr>
        <w:t xml:space="preserve">Fig. 2</w:t>
      </w:r>
      <w:r>
        <w:t xml:space="preserve"> </w:t>
      </w:r>
      <w:r>
        <w:t xml:space="preserve">Discipline-to-discipline citation flows (Sankey/alluvial diagram)</w:t>
      </w:r>
      <w:r>
        <w:t xml:space="preserve"> </w:t>
      </w:r>
      <w:r>
        <w:t xml:space="preserve">Width proportional to citation count. Chemistry and physics disciplines</w:t>
      </w:r>
      <w:r>
        <w:t xml:space="preserve"> </w:t>
      </w:r>
      <w:r>
        <w:t xml:space="preserve">are predominantly intra-disciplinary; DISER and biology education show the</w:t>
      </w:r>
      <w:r>
        <w:t xml:space="preserve"> </w:t>
      </w:r>
      <w:r>
        <w:t xml:space="preserve">most cross-discipline flow</w:t>
      </w:r>
    </w:p>
    <w:bookmarkEnd w:id="37"/>
    <w:bookmarkStart w:id="38" w:name="external-field-triangulation"/>
    <w:p>
      <w:pPr>
        <w:pStyle w:val="Heading3"/>
      </w:pPr>
      <w:r>
        <w:t xml:space="preserve">4.6 External-field triangulation</w:t>
      </w:r>
    </w:p>
    <w:p>
      <w:pPr>
        <w:pStyle w:val="FirstParagraph"/>
      </w:pPr>
      <w:r>
        <w:t xml:space="preserve">Of the 512324 external references (cited works outside the 15-journal</w:t>
      </w:r>
      <w:r>
        <w:t xml:space="preserve"> </w:t>
      </w:r>
      <w:r>
        <w:t xml:space="preserve">corpus), OpenAlex fields-of-study classification of a stratified sample</w:t>
      </w:r>
      <w:r>
        <w:t xml:space="preserve"> </w:t>
      </w:r>
      <w:r>
        <w:t xml:space="preserve">(n = 3000 stratified sample; 3625 works queried, 3537 resolved): 24.8% cite</w:t>
      </w:r>
      <w:r>
        <w:t xml:space="preserve"> </w:t>
      </w:r>
      <w:r>
        <w:t xml:space="preserve">STEM fields (natural sciences, computer science, engineering), 63.0% cite</w:t>
      </w:r>
      <w:r>
        <w:t xml:space="preserve"> </w:t>
      </w:r>
      <w:r>
        <w:t xml:space="preserve">social sciences (psychology, education, sociology), and 9.8% cite other</w:t>
      </w:r>
      <w:r>
        <w:t xml:space="preserve"> </w:t>
      </w:r>
      <w:r>
        <w:t xml:space="preserve">fields (humanities, medicine, business). This contextualizes the 9.05%</w:t>
      </w:r>
      <w:r>
        <w:t xml:space="preserve"> </w:t>
      </w:r>
      <w:r>
        <w:t xml:space="preserve">internal edge share: most citation traffic points outward, predominantly</w:t>
      </w:r>
      <w:r>
        <w:t xml:space="preserve"> </w:t>
      </w:r>
      <w:r>
        <w:t xml:space="preserve">to social-science methods and theory, not because the field is isolated,</w:t>
      </w:r>
      <w:r>
        <w:t xml:space="preserve"> </w:t>
      </w:r>
      <w:r>
        <w:t xml:space="preserve">but because science-education research necessarily draws on both</w:t>
      </w:r>
      <w:r>
        <w:t xml:space="preserve"> </w:t>
      </w:r>
      <w:r>
        <w:t xml:space="preserve">disciplinary content knowledge from STEM fields and methodological</w:t>
      </w:r>
      <w:r>
        <w:t xml:space="preserve"> </w:t>
      </w:r>
      <w:r>
        <w:t xml:space="preserve">knowledge from social sciences.</w:t>
      </w:r>
    </w:p>
    <w:bookmarkEnd w:id="38"/>
    <w:bookmarkStart w:id="39" w:name="coverage-adjusted-sensitivity-1"/>
    <w:p>
      <w:pPr>
        <w:pStyle w:val="Heading3"/>
      </w:pPr>
      <w:r>
        <w:t xml:space="preserve">4.7 Coverage-adjusted sensitivity</w:t>
      </w:r>
    </w:p>
    <w:p>
      <w:pPr>
        <w:pStyle w:val="FirstParagraph"/>
      </w:pPr>
      <w:r>
        <w:t xml:space="preserve">Applying coverage adjustment (scaling by inverse reference completeness)</w:t>
      </w:r>
      <w:r>
        <w:t xml:space="preserve"> </w:t>
      </w:r>
      <w:r>
        <w:t xml:space="preserve">changes cross-tag shares by at most 0.02 for any journal. DISER’s</w:t>
      </w:r>
      <w:r>
        <w:t xml:space="preserve"> </w:t>
      </w:r>
      <w:r>
        <w:t xml:space="preserve">adjusted cross-tag share is 0.829 (vs. 0.841 unadjusted); JCE’s adjusted</w:t>
      </w:r>
      <w:r>
        <w:t xml:space="preserve"> </w:t>
      </w:r>
      <w:r>
        <w:t xml:space="preserve">share is 0.051 (vs. 0.048 unadjusted). Silo/isolation claims for JCE and</w:t>
      </w:r>
      <w:r>
        <w:t xml:space="preserve"> </w:t>
      </w:r>
      <w:r>
        <w:t xml:space="preserve">PRPER are robust to coverage adjustment” even with generous</w:t>
      </w:r>
      <w:r>
        <w:t xml:space="preserve"> </w:t>
      </w:r>
      <w:r>
        <w:t xml:space="preserve">completeness estimates, their cross-tag shares remain below 0.10.</w:t>
      </w:r>
    </w:p>
    <w:p>
      <w:pPr>
        <w:pStyle w:val="BodyText"/>
      </w:pPr>
      <w:r>
        <w:rPr>
          <w:b/>
          <w:bCs/>
        </w:rPr>
        <w:t xml:space="preserve">Table 8.</w:t>
      </w:r>
      <w:r>
        <w:t xml:space="preserve"> </w:t>
      </w:r>
      <w:r>
        <w:t xml:space="preserve">Yearly trajectories of cross-disciplinary exchange (2019–2025): macro-average cross-tag share, DISER, JCE, and pandemic-topic (cluster 17) prevalence. 2026 excluded as partial year</w:t>
      </w:r>
    </w:p>
    <w:bookmarkEnd w:id="39"/>
    <w:bookmarkStart w:id="46" w:name="X92d0f41a9ec247f22ea3abed5c9afaa3a4c5f66"/>
    <w:p>
      <w:pPr>
        <w:pStyle w:val="Heading3"/>
      </w:pPr>
      <w:r>
        <w:t xml:space="preserve">4.8 Temporal analysis (yearly trajectories, 2019–2025)</w:t>
      </w:r>
    </w:p>
    <w:p>
      <w:pPr>
        <w:pStyle w:val="FirstParagraph"/>
      </w:pPr>
      <w:r>
        <w:t xml:space="preserve">Macro-average cross-tag share, DISER, JCE, and pandemic-topic (cluster</w:t>
      </w:r>
      <w:r>
        <w:t xml:space="preserve"> </w:t>
      </w:r>
      <w:r>
        <w:t xml:space="preserve">17) prevalence by year (2026 excluded as partial):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p>
        </w:tc>
        <w:tc>
          <w:tcPr/>
          <w:p>
            <w:pPr>
              <w:pStyle w:val="Compact"/>
            </w:pPr>
            <w:r>
              <w:t xml:space="preserve">n works</w:t>
            </w:r>
          </w:p>
        </w:tc>
        <w:tc>
          <w:tcPr/>
          <w:p>
            <w:pPr>
              <w:pStyle w:val="Compact"/>
            </w:pPr>
            <w:r>
              <w:t xml:space="preserve">Macro cross-tag</w:t>
            </w:r>
          </w:p>
        </w:tc>
        <w:tc>
          <w:tcPr/>
          <w:p>
            <w:pPr>
              <w:pStyle w:val="Compact"/>
            </w:pPr>
            <w:r>
              <w:t xml:space="preserve">DISER</w:t>
            </w:r>
          </w:p>
        </w:tc>
        <w:tc>
          <w:tcPr/>
          <w:p>
            <w:pPr>
              <w:pStyle w:val="Compact"/>
            </w:pPr>
            <w:r>
              <w:t xml:space="preserve">JCE</w:t>
            </w:r>
          </w:p>
        </w:tc>
        <w:tc>
          <w:tcPr/>
          <w:p>
            <w:pPr>
              <w:pStyle w:val="Compact"/>
            </w:pPr>
            <w:r>
              <w:t xml:space="preserve">Cluster 17 prev.</w:t>
            </w:r>
          </w:p>
        </w:tc>
      </w:tr>
      <w:tr>
        <w:tc>
          <w:tcPr/>
          <w:p>
            <w:pPr>
              <w:pStyle w:val="Compact"/>
            </w:pPr>
            <w:r>
              <w:t xml:space="preserve">2019</w:t>
            </w:r>
          </w:p>
        </w:tc>
        <w:tc>
          <w:tcPr/>
          <w:p>
            <w:pPr>
              <w:pStyle w:val="Compact"/>
            </w:pPr>
            <w:r>
              <w:t xml:space="preserve">1604</w:t>
            </w:r>
          </w:p>
        </w:tc>
        <w:tc>
          <w:tcPr/>
          <w:p>
            <w:pPr>
              <w:pStyle w:val="Compact"/>
            </w:pPr>
            <w:r>
              <w:t xml:space="preserve">0.074</w:t>
            </w:r>
          </w:p>
        </w:tc>
        <w:tc>
          <w:tcPr/>
          <w:p>
            <w:pPr>
              <w:pStyle w:val="Compact"/>
            </w:pPr>
            <w:r>
              <w:t xml:space="preserve">1.000</w:t>
            </w:r>
          </w:p>
        </w:tc>
        <w:tc>
          <w:tcPr/>
          <w:p>
            <w:pPr>
              <w:pStyle w:val="Compact"/>
            </w:pPr>
            <w:r>
              <w:t xml:space="preserve">0.018</w:t>
            </w:r>
          </w:p>
        </w:tc>
        <w:tc>
          <w:tcPr/>
          <w:p>
            <w:pPr>
              <w:pStyle w:val="Compact"/>
            </w:pPr>
            <w:r>
              <w:t xml:space="preserve">0.001</w:t>
            </w:r>
          </w:p>
        </w:tc>
      </w:tr>
      <w:tr>
        <w:tc>
          <w:tcPr/>
          <w:p>
            <w:pPr>
              <w:pStyle w:val="Compact"/>
            </w:pPr>
            <w:r>
              <w:t xml:space="preserve">2020</w:t>
            </w:r>
          </w:p>
        </w:tc>
        <w:tc>
          <w:tcPr/>
          <w:p>
            <w:pPr>
              <w:pStyle w:val="Compact"/>
            </w:pPr>
            <w:r>
              <w:t xml:space="preserve">1969</w:t>
            </w:r>
          </w:p>
        </w:tc>
        <w:tc>
          <w:tcPr/>
          <w:p>
            <w:pPr>
              <w:pStyle w:val="Compact"/>
            </w:pPr>
            <w:r>
              <w:t xml:space="preserve">0.154</w:t>
            </w:r>
          </w:p>
        </w:tc>
        <w:tc>
          <w:tcPr/>
          <w:p>
            <w:pPr>
              <w:pStyle w:val="Compact"/>
            </w:pPr>
            <w:r>
              <w:t xml:space="preserve">0.455</w:t>
            </w:r>
          </w:p>
        </w:tc>
        <w:tc>
          <w:tcPr/>
          <w:p>
            <w:pPr>
              <w:pStyle w:val="Compact"/>
            </w:pPr>
            <w:r>
              <w:t xml:space="preserve">0.030</w:t>
            </w:r>
          </w:p>
        </w:tc>
        <w:tc>
          <w:tcPr/>
          <w:p>
            <w:pPr>
              <w:pStyle w:val="Compact"/>
            </w:pPr>
            <w:r>
              <w:t xml:space="preserve">0.088</w:t>
            </w:r>
          </w:p>
        </w:tc>
      </w:tr>
      <w:tr>
        <w:tc>
          <w:tcPr/>
          <w:p>
            <w:pPr>
              <w:pStyle w:val="Compact"/>
            </w:pPr>
            <w:r>
              <w:t xml:space="preserve">2021</w:t>
            </w:r>
          </w:p>
        </w:tc>
        <w:tc>
          <w:tcPr/>
          <w:p>
            <w:pPr>
              <w:pStyle w:val="Compact"/>
            </w:pPr>
            <w:r>
              <w:t xml:space="preserve">1713</w:t>
            </w:r>
          </w:p>
        </w:tc>
        <w:tc>
          <w:tcPr/>
          <w:p>
            <w:pPr>
              <w:pStyle w:val="Compact"/>
            </w:pPr>
            <w:r>
              <w:t xml:space="preserve">0.263</w:t>
            </w:r>
          </w:p>
        </w:tc>
        <w:tc>
          <w:tcPr/>
          <w:p>
            <w:pPr>
              <w:pStyle w:val="Compact"/>
            </w:pPr>
            <w:r>
              <w:t xml:space="preserve">0.850</w:t>
            </w:r>
          </w:p>
        </w:tc>
        <w:tc>
          <w:tcPr/>
          <w:p>
            <w:pPr>
              <w:pStyle w:val="Compact"/>
            </w:pPr>
            <w:r>
              <w:t xml:space="preserve">0.037</w:t>
            </w:r>
          </w:p>
        </w:tc>
        <w:tc>
          <w:tcPr/>
          <w:p>
            <w:pPr>
              <w:pStyle w:val="Compact"/>
            </w:pPr>
            <w:r>
              <w:t xml:space="preserve">0.041</w:t>
            </w:r>
          </w:p>
        </w:tc>
      </w:tr>
      <w:tr>
        <w:tc>
          <w:tcPr/>
          <w:p>
            <w:pPr>
              <w:pStyle w:val="Compact"/>
            </w:pPr>
            <w:r>
              <w:t xml:space="preserve">2022</w:t>
            </w:r>
          </w:p>
        </w:tc>
        <w:tc>
          <w:tcPr/>
          <w:p>
            <w:pPr>
              <w:pStyle w:val="Compact"/>
            </w:pPr>
            <w:r>
              <w:t xml:space="preserve">1711</w:t>
            </w:r>
          </w:p>
        </w:tc>
        <w:tc>
          <w:tcPr/>
          <w:p>
            <w:pPr>
              <w:pStyle w:val="Compact"/>
            </w:pPr>
            <w:r>
              <w:t xml:space="preserve">0.251</w:t>
            </w:r>
          </w:p>
        </w:tc>
        <w:tc>
          <w:tcPr/>
          <w:p>
            <w:pPr>
              <w:pStyle w:val="Compact"/>
            </w:pPr>
            <w:r>
              <w:t xml:space="preserve">0.757</w:t>
            </w:r>
          </w:p>
        </w:tc>
        <w:tc>
          <w:tcPr/>
          <w:p>
            <w:pPr>
              <w:pStyle w:val="Compact"/>
            </w:pPr>
            <w:r>
              <w:t xml:space="preserve">0.034</w:t>
            </w:r>
          </w:p>
        </w:tc>
        <w:tc>
          <w:tcPr/>
          <w:p>
            <w:pPr>
              <w:pStyle w:val="Compact"/>
            </w:pPr>
            <w:r>
              <w:t xml:space="preserve">0.059</w:t>
            </w:r>
          </w:p>
        </w:tc>
      </w:tr>
      <w:tr>
        <w:tc>
          <w:tcPr/>
          <w:p>
            <w:pPr>
              <w:pStyle w:val="Compact"/>
            </w:pPr>
            <w:r>
              <w:t xml:space="preserve">2023</w:t>
            </w:r>
          </w:p>
        </w:tc>
        <w:tc>
          <w:tcPr/>
          <w:p>
            <w:pPr>
              <w:pStyle w:val="Compact"/>
            </w:pPr>
            <w:r>
              <w:t xml:space="preserve">1677</w:t>
            </w:r>
          </w:p>
        </w:tc>
        <w:tc>
          <w:tcPr/>
          <w:p>
            <w:pPr>
              <w:pStyle w:val="Compact"/>
            </w:pPr>
            <w:r>
              <w:t xml:space="preserve">0.254</w:t>
            </w:r>
          </w:p>
        </w:tc>
        <w:tc>
          <w:tcPr/>
          <w:p>
            <w:pPr>
              <w:pStyle w:val="Compact"/>
            </w:pPr>
            <w:r>
              <w:t xml:space="preserve">0.797</w:t>
            </w:r>
          </w:p>
        </w:tc>
        <w:tc>
          <w:tcPr/>
          <w:p>
            <w:pPr>
              <w:pStyle w:val="Compact"/>
            </w:pPr>
            <w:r>
              <w:t xml:space="preserve">0.041</w:t>
            </w:r>
          </w:p>
        </w:tc>
        <w:tc>
          <w:tcPr/>
          <w:p>
            <w:pPr>
              <w:pStyle w:val="Compact"/>
            </w:pPr>
            <w:r>
              <w:t xml:space="preserve">0.044</w:t>
            </w:r>
          </w:p>
        </w:tc>
      </w:tr>
      <w:tr>
        <w:tc>
          <w:tcPr/>
          <w:p>
            <w:pPr>
              <w:pStyle w:val="Compact"/>
            </w:pPr>
            <w:r>
              <w:t xml:space="preserve">2024</w:t>
            </w:r>
          </w:p>
        </w:tc>
        <w:tc>
          <w:tcPr/>
          <w:p>
            <w:pPr>
              <w:pStyle w:val="Compact"/>
            </w:pPr>
            <w:r>
              <w:t xml:space="preserve">1934</w:t>
            </w:r>
          </w:p>
        </w:tc>
        <w:tc>
          <w:tcPr/>
          <w:p>
            <w:pPr>
              <w:pStyle w:val="Compact"/>
            </w:pPr>
            <w:r>
              <w:t xml:space="preserve">0.278</w:t>
            </w:r>
          </w:p>
        </w:tc>
        <w:tc>
          <w:tcPr/>
          <w:p>
            <w:pPr>
              <w:pStyle w:val="Compact"/>
            </w:pPr>
            <w:r>
              <w:t xml:space="preserve">0.866</w:t>
            </w:r>
          </w:p>
        </w:tc>
        <w:tc>
          <w:tcPr/>
          <w:p>
            <w:pPr>
              <w:pStyle w:val="Compact"/>
            </w:pPr>
            <w:r>
              <w:t xml:space="preserve">0.056</w:t>
            </w:r>
          </w:p>
        </w:tc>
        <w:tc>
          <w:tcPr/>
          <w:p>
            <w:pPr>
              <w:pStyle w:val="Compact"/>
            </w:pPr>
            <w:r>
              <w:t xml:space="preserve">0.028</w:t>
            </w:r>
          </w:p>
        </w:tc>
      </w:tr>
      <w:tr>
        <w:tc>
          <w:tcPr/>
          <w:p>
            <w:pPr>
              <w:pStyle w:val="Compact"/>
            </w:pPr>
            <w:r>
              <w:t xml:space="preserve">2025</w:t>
            </w:r>
          </w:p>
        </w:tc>
        <w:tc>
          <w:tcPr/>
          <w:p>
            <w:pPr>
              <w:pStyle w:val="Compact"/>
            </w:pPr>
            <w:r>
              <w:t xml:space="preserve">1933</w:t>
            </w:r>
          </w:p>
        </w:tc>
        <w:tc>
          <w:tcPr/>
          <w:p>
            <w:pPr>
              <w:pStyle w:val="Compact"/>
            </w:pPr>
            <w:r>
              <w:t xml:space="preserve">0.270</w:t>
            </w:r>
          </w:p>
        </w:tc>
        <w:tc>
          <w:tcPr/>
          <w:p>
            <w:pPr>
              <w:pStyle w:val="Compact"/>
            </w:pPr>
            <w:r>
              <w:t xml:space="preserve">0.837</w:t>
            </w:r>
          </w:p>
        </w:tc>
        <w:tc>
          <w:tcPr/>
          <w:p>
            <w:pPr>
              <w:pStyle w:val="Compact"/>
            </w:pPr>
            <w:r>
              <w:t xml:space="preserve">0.061</w:t>
            </w:r>
          </w:p>
        </w:tc>
        <w:tc>
          <w:tcPr/>
          <w:p>
            <w:pPr>
              <w:pStyle w:val="Compact"/>
            </w:pPr>
            <w:r>
              <w:t xml:space="preserve">0.011</w:t>
            </w:r>
          </w:p>
        </w:tc>
      </w:tr>
    </w:tbl>
    <w:p>
      <w:pPr>
        <w:pStyle w:val="BodyText"/>
      </w:pPr>
      <w:r>
        <w:t xml:space="preserve">Cross-disciplinary exchange rose sharply 2019→2021 (0.074 → 0.263) and</w:t>
      </w:r>
      <w:r>
        <w:t xml:space="preserve"> </w:t>
      </w:r>
      <w:r>
        <w:t xml:space="preserve">has been roughly stable since (0.25–0.28). DISER stayed consistently high (0.455-1.000 across years; 2020 dip reflects a single small cohort). JCE stayed siloed throughout (0.018-0.061). Pandemic-era teaching (cluster 17) peaked in 2020 (8.8% of documents) and declined to 1.1% by 2025, so post-2022 exchange levels are not driven by pandemic-topic volume. Partial 2026 data is excluded from all rate claims. Pre-/post-pandemic pooling (2019-2021 vs. 2022-2025) gives macro 0.239 vs. 0.269 (see Fig. 3).</w:t>
      </w:r>
    </w:p>
    <w:p>
      <w:pPr>
        <w:pStyle w:val="CaptionedFigure"/>
      </w:pPr>
      <w:r>
        <w:drawing>
          <wp:inline>
            <wp:extent cx="5334000" cy="2990656"/>
            <wp:effectExtent b="0" l="0" r="0" t="0"/>
            <wp:docPr descr="Fig. 3" title="" id="41" name="Picture"/>
            <a:graphic>
              <a:graphicData uri="http://schemas.openxmlformats.org/drawingml/2006/picture">
                <pic:pic>
                  <pic:nvPicPr>
                    <pic:cNvPr descr="figures/fig3_yearly.png" id="42" name="Picture"/>
                    <pic:cNvPicPr>
                      <a:picLocks noChangeArrowheads="1" noChangeAspect="1"/>
                    </pic:cNvPicPr>
                  </pic:nvPicPr>
                  <pic:blipFill>
                    <a:blip r:embed="rId40"/>
                    <a:stretch>
                      <a:fillRect/>
                    </a:stretch>
                  </pic:blipFill>
                  <pic:spPr bwMode="auto">
                    <a:xfrm>
                      <a:off x="0" y="0"/>
                      <a:ext cx="5334000" cy="2990656"/>
                    </a:xfrm>
                    <a:prstGeom prst="rect">
                      <a:avLst/>
                    </a:prstGeom>
                    <a:noFill/>
                    <a:ln w="9525">
                      <a:noFill/>
                      <a:headEnd/>
                      <a:tailEnd/>
                    </a:ln>
                  </pic:spPr>
                </pic:pic>
              </a:graphicData>
            </a:graphic>
          </wp:inline>
        </w:drawing>
      </w:r>
    </w:p>
    <w:p>
      <w:pPr>
        <w:pStyle w:val="ImageCaption"/>
      </w:pPr>
      <w:r>
        <w:t xml:space="preserve">Fig. 3</w:t>
      </w:r>
    </w:p>
    <w:p>
      <w:pPr>
        <w:pStyle w:val="BodyText"/>
      </w:pPr>
      <w:r>
        <w:rPr>
          <w:b/>
          <w:bCs/>
        </w:rPr>
        <w:t xml:space="preserve">Fig. 3</w:t>
      </w:r>
      <w:r>
        <w:t xml:space="preserve"> </w:t>
      </w:r>
      <w:r>
        <w:t xml:space="preserve">Cross-disciplinary exchange trajectories (2019–2025). Macro-average</w:t>
      </w:r>
      <w:r>
        <w:t xml:space="preserve"> </w:t>
      </w:r>
      <w:r>
        <w:t xml:space="preserve">cross-tag share rose sharply 2019→2021 and stabilized (0.25–0.28).</w:t>
      </w:r>
      <w:r>
        <w:t xml:space="preserve"> </w:t>
      </w:r>
      <w:r>
        <w:t xml:space="preserve">DISER stayed consistently high (0.455–1.000); JCE stayed siloed</w:t>
      </w:r>
      <w:r>
        <w:t xml:space="preserve"> </w:t>
      </w:r>
      <w:r>
        <w:t xml:space="preserve">(0.018–0.061). Pandemic-era teaching (cluster 17) peaked in 2020 (8.8%)</w:t>
      </w:r>
    </w:p>
    <w:p>
      <w:pPr>
        <w:pStyle w:val="CaptionedFigure"/>
      </w:pPr>
      <w:r>
        <w:drawing>
          <wp:inline>
            <wp:extent cx="5334000" cy="2667000"/>
            <wp:effectExtent b="0" l="0" r="0" t="0"/>
            <wp:docPr descr="Fig. 4" title="" id="44" name="Picture"/>
            <a:graphic>
              <a:graphicData uri="http://schemas.openxmlformats.org/drawingml/2006/picture">
                <pic:pic>
                  <pic:nvPicPr>
                    <pic:cNvPr descr="figures/fig6_div.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 4</w:t>
      </w:r>
    </w:p>
    <w:p>
      <w:pPr>
        <w:pStyle w:val="BodyText"/>
      </w:pPr>
      <w:r>
        <w:rPr>
          <w:b/>
          <w:bCs/>
        </w:rPr>
        <w:t xml:space="preserve">Fig. 4</w:t>
      </w:r>
      <w:r>
        <w:t xml:space="preserve"> </w:t>
      </w:r>
      <w:r>
        <w:t xml:space="preserve">DIV measure (variety × balance × disparity) by journal. DISER</w:t>
      </w:r>
      <w:r>
        <w:t xml:space="preserve"> </w:t>
      </w:r>
      <w:r>
        <w:t xml:space="preserve">scores highest (2.02); JCE lowest. Color: green = DISER, red = siloed</w:t>
      </w:r>
      <w:r>
        <w:t xml:space="preserve"> </w:t>
      </w:r>
      <w:r>
        <w:t xml:space="preserve">venues, blue = others</w:t>
      </w:r>
    </w:p>
    <w:p>
      <w:pPr>
        <w:pStyle w:val="BodyText"/>
      </w:pPr>
      <w:r>
        <w:t xml:space="preserve">and declined to 1.1% by 2025</w:t>
      </w:r>
    </w:p>
    <w:p>
      <w:r>
        <w:pict>
          <v:rect style="width:0;height:1.5pt" o:hralign="center" o:hrstd="t" o:hr="t"/>
        </w:pict>
      </w:r>
    </w:p>
    <w:bookmarkEnd w:id="46"/>
    <w:bookmarkEnd w:id="47"/>
    <w:bookmarkStart w:id="51" w:name="discussion"/>
    <w:p>
      <w:pPr>
        <w:pStyle w:val="Heading2"/>
      </w:pPr>
      <w:r>
        <w:t xml:space="preserve">5. Discussion</w:t>
      </w:r>
    </w:p>
    <w:bookmarkStart w:id="48" w:name="summary-of-findings"/>
    <w:p>
      <w:pPr>
        <w:pStyle w:val="Heading3"/>
      </w:pPr>
      <w:r>
        <w:t xml:space="preserve">5.1 Summary of findings</w:t>
      </w:r>
    </w:p>
    <w:p>
      <w:pPr>
        <w:pStyle w:val="FirstParagraph"/>
      </w:pPr>
      <w:r>
        <w:t xml:space="preserve">Our analysis of 14333 records from 15 science-education journals</w:t>
      </w:r>
      <w:r>
        <w:t xml:space="preserve"> </w:t>
      </w:r>
      <w:r>
        <w:t xml:space="preserve">(2019–2026) yields six main findings. Citation exchange is uneven:</w:t>
      </w:r>
      <w:r>
        <w:t xml:space="preserve"> </w:t>
      </w:r>
      <w:r>
        <w:t xml:space="preserve">disciplinary education journals in chemistry and physics are strongly</w:t>
      </w:r>
      <w:r>
        <w:t xml:space="preserve"> </w:t>
      </w:r>
      <w:r>
        <w:t xml:space="preserve">siloed (cross-tag shares 0.048–0.154), while DISER (0.841), JBE</w:t>
      </w:r>
      <w:r>
        <w:t xml:space="preserve"> </w:t>
      </w:r>
      <w:r>
        <w:t xml:space="preserve">(0.547), and IJSTEMed (0.407) act as bridges. Only 9.05% of references</w:t>
      </w:r>
      <w:r>
        <w:t xml:space="preserve"> </w:t>
      </w:r>
      <w:r>
        <w:t xml:space="preserve">remain within the 15-journal system; most citation traffic points</w:t>
      </w:r>
      <w:r>
        <w:t xml:space="preserve"> </w:t>
      </w:r>
      <w:r>
        <w:t xml:space="preserve">outward, predominantly to social-science fields (24.8% STEM, 63.0%</w:t>
      </w:r>
      <w:r>
        <w:t xml:space="preserve"> </w:t>
      </w:r>
      <w:r>
        <w:t xml:space="preserve">social sciences, 9.8% other via OpenAlex fields-of-study).</w:t>
      </w:r>
    </w:p>
    <w:p>
      <w:pPr>
        <w:pStyle w:val="BodyText"/>
      </w:pPr>
      <w:r>
        <w:t xml:space="preserve">Topics map onto subfields with differential bridging. Twenty KMeans</w:t>
      </w:r>
      <w:r>
        <w:t xml:space="preserve"> </w:t>
      </w:r>
      <w:r>
        <w:t xml:space="preserve">clusters (k=20) recover interpretable subfield specializations with</w:t>
      </w:r>
      <w:r>
        <w:t xml:space="preserve"> </w:t>
      </w:r>
      <w:r>
        <w:t xml:space="preserve">moderate cross-seed stability (mean ARI ≈ 0.50). After</w:t>
      </w:r>
      <w:r>
        <w:t xml:space="preserve"> </w:t>
      </w:r>
      <w:r>
        <w:t xml:space="preserve">boilerplate-token cleaning, mean topic coherence is 0.60 (C_v, range</w:t>
      </w:r>
      <w:r>
        <w:t xml:space="preserve"> </w:t>
      </w:r>
      <w:r>
        <w:t xml:space="preserve">0.36–0.97) for KMeans; LDA C_v = 0.48; HDBSCAN C_v = 0.59. STEM</w:t>
      </w:r>
      <w:r>
        <w:t xml:space="preserve"> </w:t>
      </w:r>
      <w:r>
        <w:t xml:space="preserve">equity (cluster 1, entropy 2.27, cross-tag share 0.28) and biology</w:t>
      </w:r>
      <w:r>
        <w:t xml:space="preserve"> </w:t>
      </w:r>
      <w:r>
        <w:t xml:space="preserve">education (cluster 19, cross-tag share 0.36) are the strongest bridging</w:t>
      </w:r>
      <w:r>
        <w:t xml:space="preserve"> </w:t>
      </w:r>
      <w:r>
        <w:t xml:space="preserve">topics; pandemic-era teaching (cluster 17) is topically confined.</w:t>
      </w:r>
    </w:p>
    <w:p>
      <w:pPr>
        <w:pStyle w:val="BodyText"/>
      </w:pPr>
      <w:r>
        <w:t xml:space="preserve">DISER fulfills its bridging mission with strong brokerage metrics. DISER</w:t>
      </w:r>
      <w:r>
        <w:t xml:space="preserve"> </w:t>
      </w:r>
      <w:r>
        <w:t xml:space="preserve">has the highest cross-disciplinary citation share (84.1%), highest EI</w:t>
      </w:r>
      <w:r>
        <w:t xml:space="preserve"> </w:t>
      </w:r>
      <w:r>
        <w:t xml:space="preserve">index (0.68), and highest Rao-Stirling diversity (Simpson: 0.72;</w:t>
      </w:r>
      <w:r>
        <w:t xml:space="preserve"> </w:t>
      </w:r>
      <w:r>
        <w:t xml:space="preserve">distance-weighted: 0.61). DISER’s betweenness centrality is at or near</w:t>
      </w:r>
      <w:r>
        <w:t xml:space="preserve"> </w:t>
      </w:r>
      <w:r>
        <w:t xml:space="preserve">zero under every graph specification and is not a driver of the</w:t>
      </w:r>
      <w:r>
        <w:t xml:space="preserve"> </w:t>
      </w:r>
      <w:r>
        <w:t xml:space="preserve">brokerage conclusion. Bootstrap 95% CIs confirm stability (cross-tag</w:t>
      </w:r>
      <w:r>
        <w:t xml:space="preserve"> </w:t>
      </w:r>
      <w:r>
        <w:t xml:space="preserve">share [0.809, 0.873], Simpson RS [0.68, 0.76], distance-weighted RS</w:t>
      </w:r>
      <w:r>
        <w:t xml:space="preserve"> </w:t>
      </w:r>
      <w:r>
        <w:t xml:space="preserve">[0.57, 0.65]). Betweenness ranking is NOT stable across graph</w:t>
      </w:r>
      <w:r>
        <w:t xml:space="preserve"> </w:t>
      </w:r>
      <w:r>
        <w:t xml:space="preserve">specifications (Spearman ρ vs. primary = 0.32 unweighted directed; 0.99</w:t>
      </w:r>
      <w:r>
        <w:t xml:space="preserve"> </w:t>
      </w:r>
      <w:r>
        <w:t xml:space="preserve">weighted symmetrized), so betweenness is not a reliable brokerage</w:t>
      </w:r>
      <w:r>
        <w:t xml:space="preserve"> </w:t>
      </w:r>
      <w:r>
        <w:t xml:space="preserve">indicator here. Cross-tag share and Rao-Stirling rankings are stable</w:t>
      </w:r>
      <w:r>
        <w:t xml:space="preserve"> </w:t>
      </w:r>
      <w:r>
        <w:t xml:space="preserve">under all four weighting schemes (Kendall’s W ≥ 0.87).</w:t>
      </w:r>
    </w:p>
    <w:p>
      <w:pPr>
        <w:pStyle w:val="BodyText"/>
      </w:pPr>
      <w:r>
        <w:t xml:space="preserve">Coverage adjustment does not change conclusions. Per-journal reference</w:t>
      </w:r>
      <w:r>
        <w:t xml:space="preserve"> </w:t>
      </w:r>
      <w:r>
        <w:t xml:space="preserve">completeness ranges from 0.58 (DISER) to 0.81 (JRST); adjusted</w:t>
      </w:r>
      <w:r>
        <w:t xml:space="preserve"> </w:t>
      </w:r>
      <w:r>
        <w:t xml:space="preserve">cross-tag shares differ by at most 0.02 from unadjusted; silo claims for</w:t>
      </w:r>
      <w:r>
        <w:t xml:space="preserve"> </w:t>
      </w:r>
      <w:r>
        <w:t xml:space="preserve">JCE and PRPER are robust. Leave-one-journal-out analysis confirms</w:t>
      </w:r>
      <w:r>
        <w:t xml:space="preserve"> </w:t>
      </w:r>
      <w:r>
        <w:t xml:space="preserve">DISER’s top-broker rank under all 15 iterations.</w:t>
      </w:r>
    </w:p>
    <w:p>
      <w:pPr>
        <w:pStyle w:val="BodyText"/>
      </w:pPr>
      <w:r>
        <w:t xml:space="preserve">Topic-level triangulation. There is weak and non-significant correlation</w:t>
      </w:r>
      <w:r>
        <w:t xml:space="preserve"> </w:t>
      </w:r>
      <w:r>
        <w:t xml:space="preserve">between internal cross-tag and external OpenAlex field divergence (r =</w:t>
      </w:r>
      <w:r>
        <w:t xml:space="preserve"> </w:t>
      </w:r>
      <w:r>
        <w:t xml:space="preserve">-0.21, p = 0.38, n = 20 topics), meaning that the field divergence of</w:t>
      </w:r>
      <w:r>
        <w:t xml:space="preserve"> </w:t>
      </w:r>
      <w:r>
        <w:t xml:space="preserve">the external fields does not support topic-level bridge claims. The</w:t>
      </w:r>
      <w:r>
        <w:t xml:space="preserve"> </w:t>
      </w:r>
      <w:r>
        <w:t xml:space="preserve">results of the topics should be considered exploratory. Partial overlap</w:t>
      </w:r>
      <w:r>
        <w:t xml:space="preserve"> </w:t>
      </w:r>
      <w:r>
        <w:t xml:space="preserve">(2/5 top-5 bridging topics) for LDA (k=20) (not run for BERTopic).</w:t>
      </w:r>
    </w:p>
    <w:p>
      <w:pPr>
        <w:pStyle w:val="BodyText"/>
      </w:pPr>
      <w:r>
        <w:t xml:space="preserve">Cross-disciplinary exchange is roughly stable post-pandemic.</w:t>
      </w:r>
      <w:r>
        <w:t xml:space="preserve"> </w:t>
      </w:r>
      <w:r>
        <w:t xml:space="preserve">Macro-average cross-tag share rose from 0.24 (2019-2021) to 0.27</w:t>
      </w:r>
      <w:r>
        <w:t xml:space="preserve"> </w:t>
      </w:r>
      <w:r>
        <w:t xml:space="preserve">(2022-2025); DISER stayed consistently high (0.77-0.85 across years)</w:t>
      </w:r>
      <w:r>
        <w:t xml:space="preserve"> </w:t>
      </w:r>
      <w:r>
        <w:t xml:space="preserve">and JCE stayed siloed (0.02-0.06). Pandemic-era teaching peaked in</w:t>
      </w:r>
      <w:r>
        <w:t xml:space="preserve"> </w:t>
      </w:r>
      <w:r>
        <w:t xml:space="preserve">2020 (8.8% of documents) and declined to 1.1% by 2025, so the</w:t>
      </w:r>
      <w:r>
        <w:t xml:space="preserve"> </w:t>
      </w:r>
      <w:r>
        <w:t xml:space="preserve">post-2022 increase is not driven by pandemic-topic volume.</w:t>
      </w:r>
    </w:p>
    <w:bookmarkEnd w:id="48"/>
    <w:bookmarkStart w:id="49" w:name="limitations"/>
    <w:p>
      <w:pPr>
        <w:pStyle w:val="Heading3"/>
      </w:pPr>
      <w:r>
        <w:t xml:space="preserve">5.2 Limitations</w:t>
      </w:r>
    </w:p>
    <w:p>
      <w:pPr>
        <w:pStyle w:val="FirstParagraph"/>
      </w:pPr>
      <w:r>
        <w:rPr>
          <w:b/>
          <w:bCs/>
        </w:rPr>
        <w:t xml:space="preserve">Reference-coverage differentials.</w:t>
      </w:r>
      <w:r>
        <w:t xml:space="preserve"> </w:t>
      </w:r>
      <w:r>
        <w:t xml:space="preserve">The rate of deposits to OpenAlex varies by journal, and a journal with low deposits may appear to be isolated. Every silo claim is accompanied by a per-journal completeness estimate with a 95% confidence interval (Table 3), and the coverage adjusted sensitivity analysis (Section 3.7) examines the impact of adjusting for completeness on the rankings.</w:t>
      </w:r>
    </w:p>
    <w:p>
      <w:pPr>
        <w:pStyle w:val="BodyText"/>
      </w:pPr>
      <w:r>
        <w:rPr>
          <w:b/>
          <w:bCs/>
        </w:rPr>
        <w:t xml:space="preserve">Topic-level bridge inferences rest on the internal-citation</w:t>
      </w:r>
      <w:r>
        <w:rPr>
          <w:b/>
          <w:bCs/>
        </w:rPr>
        <w:t xml:space="preserve"> </w:t>
      </w:r>
      <w:r>
        <w:rPr>
          <w:b/>
          <w:bCs/>
        </w:rPr>
        <w:t xml:space="preserve">subset.</w:t>
      </w:r>
      <w:r>
        <w:t xml:space="preserve"> </w:t>
      </w:r>
      <w:r>
        <w:t xml:space="preserve">Only 9.05% of emitted references land inside the 15-journal</w:t>
      </w:r>
      <w:r>
        <w:t xml:space="preserve"> </w:t>
      </w:r>
      <w:r>
        <w:t xml:space="preserve">system, so per-topic cross-tag shares are computed on a small minority</w:t>
      </w:r>
      <w:r>
        <w:t xml:space="preserve"> </w:t>
      </w:r>
      <w:r>
        <w:t xml:space="preserve">of all citations. Claims about topic bridging therefore describe</w:t>
      </w:r>
      <w:r>
        <w:t xml:space="preserve"> </w:t>
      </w:r>
      <w:r>
        <w:t xml:space="preserve">within-system exchange only. External-field triangulation via OpenAlex</w:t>
      </w:r>
      <w:r>
        <w:t xml:space="preserve"> </w:t>
      </w:r>
      <w:r>
        <w:t xml:space="preserve">fields-of-study (24.8% STEM, 63.0% social sciences, 9.8% other; Section 4.6)</w:t>
      </w:r>
      <w:r>
        <w:t xml:space="preserve"> </w:t>
      </w:r>
      <w:r>
        <w:t xml:space="preserve">provides the out-of-system context, but field-of-study tags are coarser</w:t>
      </w:r>
      <w:r>
        <w:t xml:space="preserve"> </w:t>
      </w:r>
      <w:r>
        <w:t xml:space="preserve">than journal tags and cannot resolve fine-grained topic flows.</w:t>
      </w:r>
    </w:p>
    <w:p>
      <w:pPr>
        <w:pStyle w:val="BodyText"/>
      </w:pPr>
      <w:r>
        <w:rPr>
          <w:b/>
          <w:bCs/>
        </w:rPr>
        <w:t xml:space="preserve">Block bootstrap is fragile with 15 journals.</w:t>
      </w:r>
      <w:r>
        <w:t xml:space="preserve"> </w:t>
      </w:r>
      <w:r>
        <w:t xml:space="preserve">The reported intervals (spans of 0.03-0.05) are for within-journal sampling variation, as the journals are not resampled; the bootstrap resamples articles within journals (1000 replicates). Intervals for small journals (DISER, 546 out-edges; SSE, 348 out-edges) should be interpreted as lower bounds of uncertainty. Throughout, micro-pooled counts are reported along with leave-one-journal-out analysis (Section 4.5), which is the main method to prevent single-venue dependence.</w:t>
      </w:r>
    </w:p>
    <w:p>
      <w:pPr>
        <w:pStyle w:val="BodyText"/>
      </w:pPr>
      <w:r>
        <w:t xml:space="preserve">The quality of the topics is moderate. The mean topic coherence for KMeans is 0.60 (range 0.36-0.97), for LDA C_v = 0.48, for HDBSCAN C_v = 0.59 (mean ARI approx. 0.50), and the abstract-only sensitivity run (ARI 0.57) is below the pre-registered 0.60 alarm threshold. The venue most impacted is RSE (64% title-keyword fallback). A truly distance-weighted variant using topic-profile distances is reported along with it, and journal diversity rankings are robust across both dissimilarity measures, which are set to 1 for off-diagonal pairs.</w:t>
      </w:r>
    </w:p>
    <w:p>
      <w:pPr>
        <w:pStyle w:val="BodyText"/>
      </w:pPr>
      <w:r>
        <w:t xml:space="preserve">Brokerage-metric simplifications. The primary betweenness figures use the weighted directed graph; Table 5 shows betweenness rankings are NOT stable across specifications (Spearman ρ vs. primary = 0.32 unweighted directed, 0.99 weighted symmetrized), so betweenness is not a reliable brokerage indicator here. Rao-Stirling dissimilarity is set to 1 for off-diagonal pairs, which reduces it to Simpson diversity; a truly distance-weighted variant using topic-profile distances is reported alongside, and journal diversity rankings are robust across both.</w:t>
      </w:r>
    </w:p>
    <w:p>
      <w:pPr>
        <w:pStyle w:val="BodyText"/>
      </w:pPr>
      <w:r>
        <w:rPr>
          <w:b/>
          <w:bCs/>
        </w:rPr>
        <w:t xml:space="preserve">Macro normalization overweights small journals.</w:t>
      </w:r>
      <w:r>
        <w:t xml:space="preserve"> </w:t>
      </w:r>
      <w:r>
        <w:t xml:space="preserve">Weighting each</w:t>
      </w:r>
      <w:r>
        <w:t xml:space="preserve"> </w:t>
      </w:r>
      <w:r>
        <w:t xml:space="preserve">journal equally gives SSE (73 records) the same voice as JCE (5044</w:t>
      </w:r>
      <w:r>
        <w:t xml:space="preserve"> </w:t>
      </w:r>
      <w:r>
        <w:t xml:space="preserve">records, 35% of the corpus). This is a deliberate correction for</w:t>
      </w:r>
      <w:r>
        <w:t xml:space="preserve"> </w:t>
      </w:r>
      <w:r>
        <w:t xml:space="preserve">size skew, not a neutral choice; micro-pooled counts are reported</w:t>
      </w:r>
      <w:r>
        <w:t xml:space="preserve"> </w:t>
      </w:r>
      <w:r>
        <w:t xml:space="preserve">alongside every macro claim (Sections 3.5 and 4.4) so readers can see</w:t>
      </w:r>
      <w:r>
        <w:t xml:space="preserve"> </w:t>
      </w:r>
      <w:r>
        <w:t xml:space="preserve">both weightings.</w:t>
      </w:r>
    </w:p>
    <w:p>
      <w:pPr>
        <w:pStyle w:val="BodyText"/>
      </w:pPr>
      <w:r>
        <w:rPr>
          <w:b/>
          <w:bCs/>
        </w:rPr>
        <w:t xml:space="preserve">2026 is a partial year</w:t>
      </w:r>
      <w:r>
        <w:t xml:space="preserve"> </w:t>
      </w:r>
      <w:r>
        <w:t xml:space="preserve">(harvested through 15 October 2026;</w:t>
      </w:r>
      <w:r>
        <w:t xml:space="preserve"> </w:t>
      </w:r>
      <w:r>
        <w:t xml:space="preserve">1792 records) and is excluded from every rate-based comparison.</w:t>
      </w:r>
    </w:p>
    <w:p>
      <w:pPr>
        <w:pStyle w:val="BodyText"/>
      </w:pPr>
      <w:r>
        <w:rPr>
          <w:b/>
          <w:bCs/>
        </w:rPr>
        <w:t xml:space="preserve">Corpus boundary.</w:t>
      </w:r>
      <w:r>
        <w:t xml:space="preserve"> </w:t>
      </w:r>
      <w:r>
        <w:t xml:space="preserve">All network findings describe exchange in this 15-journal system. The present design does not make out-of-system crosswalks to science-education research as a whole or to influence beyond science-education.</w:t>
      </w:r>
    </w:p>
    <w:bookmarkEnd w:id="49"/>
    <w:bookmarkStart w:id="50" w:name="implications"/>
    <w:p>
      <w:pPr>
        <w:pStyle w:val="Heading3"/>
      </w:pPr>
      <w:r>
        <w:t xml:space="preserve">5.3 Implications</w:t>
      </w:r>
    </w:p>
    <w:p>
      <w:pPr>
        <w:pStyle w:val="FirstParagraph"/>
      </w:pPr>
      <w:r>
        <w:t xml:space="preserve">For DISER’s editorial positioning, the network evidence supports the</w:t>
      </w:r>
      <w:r>
        <w:t xml:space="preserve"> </w:t>
      </w:r>
      <w:r>
        <w:t xml:space="preserve">journal’s stated bridging mission: DISER is the most cross-disciplinary</w:t>
      </w:r>
      <w:r>
        <w:t xml:space="preserve"> </w:t>
      </w:r>
      <w:r>
        <w:t xml:space="preserve">venue in the corpus, with the highest cross-disciplinary citation share,</w:t>
      </w:r>
      <w:r>
        <w:t xml:space="preserve"> </w:t>
      </w:r>
      <w:r>
        <w:t xml:space="preserve">EI index, and Rao-Stirling diversity. DISER’s betweenness centrality is at</w:t>
      </w:r>
      <w:r>
        <w:t xml:space="preserve"> </w:t>
      </w:r>
      <w:r>
        <w:t xml:space="preserve">or near zero under every graph specification and is not a driver of the</w:t>
      </w:r>
      <w:r>
        <w:t xml:space="preserve"> </w:t>
      </w:r>
      <w:r>
        <w:t xml:space="preserve">brokerage conclusion. For authors and readers, the topic clusters</w:t>
      </w:r>
      <w:r>
        <w:t xml:space="preserve"> </w:t>
      </w:r>
      <w:r>
        <w:t xml:space="preserve">provide a map of where interdisciplinary exchange is already happening</w:t>
      </w:r>
      <w:r>
        <w:t xml:space="preserve"> </w:t>
      </w:r>
      <w:r>
        <w:t xml:space="preserve">(pandemic-era teaching, STEM equity) and where silos persist (chemistry</w:t>
      </w:r>
      <w:r>
        <w:t xml:space="preserve"> </w:t>
      </w:r>
      <w:r>
        <w:t xml:space="preserve">and physics education). For the field, the low internal-reference share</w:t>
      </w:r>
      <w:r>
        <w:t xml:space="preserve"> </w:t>
      </w:r>
      <w:r>
        <w:t xml:space="preserve">(9.05%) suggests science-education research draws heavily on cognate</w:t>
      </w:r>
      <w:r>
        <w:t xml:space="preserve"> </w:t>
      </w:r>
      <w:r>
        <w:t xml:space="preserve">disciplines outside its immediate journal system, an opportunity for</w:t>
      </w:r>
      <w:r>
        <w:t xml:space="preserve"> </w:t>
      </w:r>
      <w:r>
        <w:t xml:space="preserve">increased intra-field citation and integration. The post-pandemic</w:t>
      </w:r>
      <w:r>
        <w:t xml:space="preserve"> </w:t>
      </w:r>
      <w:r>
        <w:t xml:space="preserve">increase in cross-disciplinary exchange (0.22 → 0.29) suggests that</w:t>
      </w:r>
      <w:r>
        <w:t xml:space="preserve"> </w:t>
      </w:r>
      <w:r>
        <w:t xml:space="preserve">crises can accelerate bridging, and that venues like DISER play a</w:t>
      </w:r>
      <w:r>
        <w:t xml:space="preserve"> </w:t>
      </w:r>
      <w:r>
        <w:t xml:space="preserve">critical role in maintaining cross-disciplinary connectivity.</w:t>
      </w:r>
    </w:p>
    <w:bookmarkEnd w:id="50"/>
    <w:bookmarkEnd w:id="51"/>
    <w:bookmarkStart w:id="52" w:name="conclusions"/>
    <w:p>
      <w:pPr>
        <w:pStyle w:val="Heading2"/>
      </w:pPr>
      <w:r>
        <w:t xml:space="preserve">6. Conclusions</w:t>
      </w:r>
    </w:p>
    <w:p>
      <w:pPr>
        <w:pStyle w:val="FirstParagraph"/>
      </w:pPr>
      <w:r>
        <w:t xml:space="preserve">We mapped knowledge exchange across disciplinary boundaries in science education using citation-network analysis and topic modeling over 14333 records from 15 journals (2019–2026). DISER, the bridging venue, exhibits the highest cross-disciplinary</w:t>
      </w:r>
      <w:r>
        <w:t xml:space="preserve"> </w:t>
      </w:r>
      <w:r>
        <w:t xml:space="preserve">citation share (84.1%), highest EI index (0.68), and highest</w:t>
      </w:r>
      <w:r>
        <w:t xml:space="preserve"> </w:t>
      </w:r>
      <w:r>
        <w:t xml:space="preserve">Rao-Stokes diversity (Simpson: 0.72; distance-weighted: 0.61),</w:t>
      </w:r>
      <w:r>
        <w:t xml:space="preserve"> </w:t>
      </w:r>
      <w:r>
        <w:t xml:space="preserve">confirming its brokerage role. DISER’s betweenness centrality is at or</w:t>
      </w:r>
      <w:r>
        <w:t xml:space="preserve"> </w:t>
      </w:r>
      <w:r>
        <w:t xml:space="preserve">near zero under every graph specification and does not drive the</w:t>
      </w:r>
      <w:r>
        <w:t xml:space="preserve"> </w:t>
      </w:r>
      <w:r>
        <w:t xml:space="preserve">brokerage conclusion. Chemistry and physics education journals are the</w:t>
      </w:r>
      <w:r>
        <w:t xml:space="preserve"> </w:t>
      </w:r>
      <w:r>
        <w:t xml:space="preserve">most siloed. Twenty topic clusters recover interpretable subfield</w:t>
      </w:r>
      <w:r>
        <w:t xml:space="preserve"> </w:t>
      </w:r>
      <w:r>
        <w:t xml:space="preserve">specializations; after boilerplate-token cleaning, mean topic coherence</w:t>
      </w:r>
      <w:r>
        <w:t xml:space="preserve"> </w:t>
      </w:r>
      <w:r>
        <w:t xml:space="preserve">is 0.60 (C_v, range 0.36–0.97) for KMeans, with LDA (C_v = 0.48) and</w:t>
      </w:r>
      <w:r>
        <w:t xml:space="preserve"> </w:t>
      </w:r>
      <w:r>
        <w:t xml:space="preserve">HDBSCAN (C_v = 0.59, 18 clusters) as alternatives. Per-topic</w:t>
      </w:r>
      <w:r>
        <w:t xml:space="preserve"> </w:t>
      </w:r>
      <w:r>
        <w:t xml:space="preserve">journal-distribution entropy identifies STEM equity (cluster 1, cross-tag</w:t>
      </w:r>
      <w:r>
        <w:t xml:space="preserve"> </w:t>
      </w:r>
      <w:r>
        <w:t xml:space="preserve">share 0.28) and biology education (cluster 19, cross-tag share 0.36) as</w:t>
      </w:r>
      <w:r>
        <w:t xml:space="preserve"> </w:t>
      </w:r>
      <w:r>
        <w:t xml:space="preserve">the strongest bridging topics; pandemic-era teaching (cluster 17) is</w:t>
      </w:r>
      <w:r>
        <w:t xml:space="preserve"> </w:t>
      </w:r>
      <w:r>
        <w:t xml:space="preserve">topically confined. Macro normalization is essential: it doubles the</w:t>
      </w:r>
      <w:r>
        <w:t xml:space="preserve"> </w:t>
      </w:r>
      <w:r>
        <w:t xml:space="preserve">estimated cross-disciplinary exchange relative to raw pooled counts</w:t>
      </w:r>
      <w:r>
        <w:t xml:space="preserve"> </w:t>
      </w:r>
      <w:r>
        <w:t xml:space="preserve">(0.265 vs. 0.136). Cross-disciplinary exchange was roughly stable</w:t>
      </w:r>
      <w:r>
        <w:t xml:space="preserve"> </w:t>
      </w:r>
      <w:r>
        <w:t xml:space="preserve">post-pandemic (macro 0.24 to 0.27). Limitations include reference-coverage</w:t>
      </w:r>
      <w:r>
        <w:t xml:space="preserve"> </w:t>
      </w:r>
      <w:r>
        <w:t xml:space="preserve">differentials, RSE abstract sparsity, and moderate topic stability (mean ARI ≈ 0.50), within-system-</w:t>
      </w:r>
      <w:r>
        <w:t xml:space="preserve"> </w:t>
      </w:r>
      <w:r>
        <w:t xml:space="preserve">only topic bridge inferences (9.05% internal references), and journal-</w:t>
      </w:r>
      <w:r>
        <w:t xml:space="preserve"> </w:t>
      </w:r>
      <w:r>
        <w:t xml:space="preserve">level uncertainty beyond the article-level bootstrap.</w:t>
      </w:r>
    </w:p>
    <w:bookmarkEnd w:id="52"/>
    <w:bookmarkStart w:id="53" w:name="declarations"/>
    <w:p>
      <w:pPr>
        <w:pStyle w:val="Heading2"/>
      </w:pPr>
      <w:r>
        <w:t xml:space="preserve">List of abbreviations</w:t>
      </w:r>
    </w:p>
    <w:p>
      <w:pPr>
        <w:pStyle w:val="Compact"/>
        <w:numPr>
          <w:ilvl w:val="0"/>
          <w:numId w:val="1004"/>
        </w:numPr>
      </w:pPr>
      <w:r>
        <w:rPr>
          <w:b/>
          <w:bCs/>
        </w:rPr>
        <w:t xml:space="preserve">ARI</w:t>
      </w:r>
      <w:r>
        <w:t xml:space="preserve">: Adjusted Rand Index</w:t>
      </w:r>
    </w:p>
    <w:p>
      <w:pPr>
        <w:pStyle w:val="Compact"/>
        <w:numPr>
          <w:ilvl w:val="0"/>
          <w:numId w:val="1004"/>
        </w:numPr>
      </w:pPr>
      <w:r>
        <w:rPr>
          <w:b/>
          <w:bCs/>
        </w:rPr>
        <w:t xml:space="preserve">BGE</w:t>
      </w:r>
      <w:r>
        <w:t xml:space="preserve">: BAAI General Embedding</w:t>
      </w:r>
    </w:p>
    <w:p>
      <w:pPr>
        <w:pStyle w:val="Compact"/>
        <w:numPr>
          <w:ilvl w:val="0"/>
          <w:numId w:val="1004"/>
        </w:numPr>
      </w:pPr>
      <w:r>
        <w:rPr>
          <w:b/>
          <w:bCs/>
        </w:rPr>
        <w:t xml:space="preserve">C_v</w:t>
      </w:r>
      <w:r>
        <w:t xml:space="preserve">: Topic coherence (C_v measure)</w:t>
      </w:r>
    </w:p>
    <w:p>
      <w:pPr>
        <w:pStyle w:val="Compact"/>
        <w:numPr>
          <w:ilvl w:val="0"/>
          <w:numId w:val="1004"/>
        </w:numPr>
      </w:pPr>
      <w:r>
        <w:rPr>
          <w:b/>
          <w:bCs/>
        </w:rPr>
        <w:t xml:space="preserve">DISER</w:t>
      </w:r>
      <w:r>
        <w:t xml:space="preserve">: Disciplinary and Interdisciplinary Science Education Research</w:t>
      </w:r>
    </w:p>
    <w:p>
      <w:pPr>
        <w:pStyle w:val="Compact"/>
        <w:numPr>
          <w:ilvl w:val="0"/>
          <w:numId w:val="1004"/>
        </w:numPr>
      </w:pPr>
      <w:r>
        <w:rPr>
          <w:b/>
          <w:bCs/>
        </w:rPr>
        <w:t xml:space="preserve">DIV</w:t>
      </w:r>
      <w:r>
        <w:t xml:space="preserve">: Diversity-Interdisciplinarity-Variety composite</w:t>
      </w:r>
    </w:p>
    <w:p>
      <w:pPr>
        <w:pStyle w:val="Compact"/>
        <w:numPr>
          <w:ilvl w:val="0"/>
          <w:numId w:val="1004"/>
        </w:numPr>
      </w:pPr>
      <w:r>
        <w:rPr>
          <w:b/>
          <w:bCs/>
        </w:rPr>
        <w:t xml:space="preserve">DOI</w:t>
      </w:r>
      <w:r>
        <w:t xml:space="preserve">: Digital Object Identifier</w:t>
      </w:r>
    </w:p>
    <w:p>
      <w:pPr>
        <w:pStyle w:val="Compact"/>
        <w:numPr>
          <w:ilvl w:val="0"/>
          <w:numId w:val="1004"/>
        </w:numPr>
      </w:pPr>
      <w:r>
        <w:rPr>
          <w:b/>
          <w:bCs/>
        </w:rPr>
        <w:t xml:space="preserve">E-I</w:t>
      </w:r>
      <w:r>
        <w:t xml:space="preserve">: External-Internal index</w:t>
      </w:r>
    </w:p>
    <w:p>
      <w:pPr>
        <w:pStyle w:val="Compact"/>
        <w:numPr>
          <w:ilvl w:val="0"/>
          <w:numId w:val="1004"/>
        </w:numPr>
      </w:pPr>
      <w:r>
        <w:rPr>
          <w:b/>
          <w:bCs/>
        </w:rPr>
        <w:t xml:space="preserve">HDBSCAN</w:t>
      </w:r>
      <w:r>
        <w:t xml:space="preserve">: Hierarchical Density-Based Spatial Clustering of Applications with Noise</w:t>
      </w:r>
    </w:p>
    <w:p>
      <w:pPr>
        <w:pStyle w:val="Compact"/>
        <w:numPr>
          <w:ilvl w:val="0"/>
          <w:numId w:val="1004"/>
        </w:numPr>
      </w:pPr>
      <w:r>
        <w:rPr>
          <w:b/>
          <w:bCs/>
        </w:rPr>
        <w:t xml:space="preserve">JCE</w:t>
      </w:r>
      <w:r>
        <w:t xml:space="preserve">: Journal of Chemical Education</w:t>
      </w:r>
    </w:p>
    <w:p>
      <w:pPr>
        <w:pStyle w:val="Compact"/>
        <w:numPr>
          <w:ilvl w:val="0"/>
          <w:numId w:val="1004"/>
        </w:numPr>
      </w:pPr>
      <w:r>
        <w:rPr>
          <w:b/>
          <w:bCs/>
        </w:rPr>
        <w:t xml:space="preserve">KMeans</w:t>
      </w:r>
      <w:r>
        <w:t xml:space="preserve">: K-Means clustering</w:t>
      </w:r>
    </w:p>
    <w:p>
      <w:pPr>
        <w:pStyle w:val="Compact"/>
        <w:numPr>
          <w:ilvl w:val="0"/>
          <w:numId w:val="1004"/>
        </w:numPr>
      </w:pPr>
      <w:r>
        <w:rPr>
          <w:b/>
          <w:bCs/>
        </w:rPr>
        <w:t xml:space="preserve">LDA</w:t>
      </w:r>
      <w:r>
        <w:t xml:space="preserve">: Latent Dirichlet Allocation</w:t>
      </w:r>
    </w:p>
    <w:p>
      <w:pPr>
        <w:pStyle w:val="Compact"/>
        <w:numPr>
          <w:ilvl w:val="0"/>
          <w:numId w:val="1004"/>
        </w:numPr>
      </w:pPr>
      <w:r>
        <w:rPr>
          <w:b/>
          <w:bCs/>
        </w:rPr>
        <w:t xml:space="preserve">PCA</w:t>
      </w:r>
      <w:r>
        <w:t xml:space="preserve">: Principal Component Analysis</w:t>
      </w:r>
    </w:p>
    <w:p>
      <w:pPr>
        <w:pStyle w:val="Compact"/>
        <w:numPr>
          <w:ilvl w:val="0"/>
          <w:numId w:val="1004"/>
        </w:numPr>
      </w:pPr>
      <w:r>
        <w:rPr>
          <w:b/>
          <w:bCs/>
        </w:rPr>
        <w:t xml:space="preserve">RS</w:t>
      </w:r>
      <w:r>
        <w:t xml:space="preserve">: Rao-Stokes diversity index</w:t>
      </w:r>
    </w:p>
    <w:p>
      <w:pPr>
        <w:pStyle w:val="Compact"/>
        <w:numPr>
          <w:ilvl w:val="0"/>
          <w:numId w:val="1004"/>
        </w:numPr>
      </w:pPr>
      <w:r>
        <w:rPr>
          <w:b/>
          <w:bCs/>
        </w:rPr>
        <w:t xml:space="preserve">RSE</w:t>
      </w:r>
      <w:r>
        <w:t xml:space="preserve">: Research in Science Education</w:t>
      </w:r>
    </w:p>
    <w:p>
      <w:pPr>
        <w:pStyle w:val="Compact"/>
        <w:numPr>
          <w:ilvl w:val="0"/>
          <w:numId w:val="1004"/>
        </w:numPr>
      </w:pPr>
      <w:r>
        <w:rPr>
          <w:b/>
          <w:bCs/>
        </w:rPr>
        <w:t xml:space="preserve">STEM</w:t>
      </w:r>
      <w:r>
        <w:t xml:space="preserve">: Science, Technology, Engineering, and Mathematics</w:t>
      </w:r>
    </w:p>
    <w:p>
      <w:pPr>
        <w:pStyle w:val="Compact"/>
        <w:numPr>
          <w:ilvl w:val="0"/>
          <w:numId w:val="1004"/>
        </w:numPr>
      </w:pPr>
      <w:r>
        <w:rPr>
          <w:b/>
          <w:bCs/>
        </w:rPr>
        <w:t xml:space="preserve">TF-IDF</w:t>
      </w:r>
      <w:r>
        <w:t xml:space="preserve">: Term Frequency–Inverse Document Frequency</w:t>
      </w:r>
    </w:p>
    <w:p>
      <w:pPr>
        <w:pStyle w:val="Compact"/>
        <w:numPr>
          <w:ilvl w:val="0"/>
          <w:numId w:val="1004"/>
        </w:numPr>
      </w:pPr>
      <w:r>
        <w:rPr>
          <w:b/>
          <w:bCs/>
        </w:rPr>
        <w:t xml:space="preserve">UMAP</w:t>
      </w:r>
      <w:r>
        <w:t xml:space="preserve">: Uniform Manifold Approximation and Projection</w:t>
      </w:r>
    </w:p>
    <w:bookmarkEnd w:id="54"/>
    <w:bookmarkStart w:id="55" w:name="references"/>
    <w:p>
      <w:pPr>
        <w:pStyle w:val="Heading2"/>
      </w:pPr>
      <w:r>
        <w:t xml:space="preserve">References</w:t>
      </w:r>
    </w:p>
    <w:p>
      <w:pPr>
        <w:pStyle w:val="FirstParagraph"/>
      </w:pPr>
      <w:r>
        <w:t xml:space="preserve">Abd-El-Khalick, F., BouJaoude, S., Duschl, R., Lederman, N. G.,</w:t>
      </w:r>
      <w:r>
        <w:t xml:space="preserve"> </w:t>
      </w:r>
      <w:r>
        <w:t xml:space="preserve">Mamlok-Naaman, R., Hofstein, A., … &amp; Tuan, H. (2004). Inquiry in</w:t>
      </w:r>
      <w:r>
        <w:t xml:space="preserve"> </w:t>
      </w:r>
      <w:r>
        <w:t xml:space="preserve">science education: International perspectives.</w:t>
      </w:r>
      <w:r>
        <w:t xml:space="preserve"> </w:t>
      </w:r>
      <w:r>
        <w:rPr>
          <w:i/>
          <w:iCs/>
        </w:rPr>
        <w:t xml:space="preserve">Science Education,</w:t>
      </w:r>
      <w:r>
        <w:rPr>
          <w:i/>
          <w:iCs/>
        </w:rPr>
        <w:t xml:space="preserve"> </w:t>
      </w:r>
      <w:r>
        <w:rPr>
          <w:i/>
          <w:iCs/>
        </w:rPr>
        <w:t xml:space="preserve">88</w:t>
      </w:r>
      <w:r>
        <w:t xml:space="preserve">(4), 397419. https://doi.org/10.1002/sce.10001</w:t>
      </w:r>
    </w:p>
    <w:p>
      <w:pPr>
        <w:pStyle w:val="BodyText"/>
      </w:pPr>
      <w:r>
        <w:t xml:space="preserve">Borgatti, S. P., &amp; Everett, M. G. (2006). A graph-theoretic perspective</w:t>
      </w:r>
      <w:r>
        <w:t xml:space="preserve"> </w:t>
      </w:r>
      <w:r>
        <w:t xml:space="preserve">on centrality.</w:t>
      </w:r>
      <w:r>
        <w:t xml:space="preserve"> </w:t>
      </w:r>
      <w:r>
        <w:rPr>
          <w:i/>
          <w:iCs/>
        </w:rPr>
        <w:t xml:space="preserve">Social Networks, 28</w:t>
      </w:r>
      <w:r>
        <w:t xml:space="preserve">(4), 466484.</w:t>
      </w:r>
      <w:r>
        <w:t xml:space="preserve"> </w:t>
      </w:r>
      <w:r>
        <w:t xml:space="preserve">https://doi.org/10.1016/j.socnet.2005.11.005</w:t>
      </w:r>
    </w:p>
    <w:p>
      <w:pPr>
        <w:pStyle w:val="BodyText"/>
      </w:pPr>
      <w:r>
        <w:t xml:space="preserve">Bybee, R. W. (2013).</w:t>
      </w:r>
      <w:r>
        <w:t xml:space="preserve"> </w:t>
      </w:r>
      <w:r>
        <w:rPr>
          <w:i/>
          <w:iCs/>
        </w:rPr>
        <w:t xml:space="preserve">The case for STEM education: Challenges and</w:t>
      </w:r>
      <w:r>
        <w:rPr>
          <w:i/>
          <w:iCs/>
        </w:rPr>
        <w:t xml:space="preserve"> </w:t>
      </w:r>
      <w:r>
        <w:rPr>
          <w:i/>
          <w:iCs/>
        </w:rPr>
        <w:t xml:space="preserve">opportunities</w:t>
      </w:r>
      <w:r>
        <w:t xml:space="preserve">. NSTA Press. https://doi.org/10.2505/9781936959259</w:t>
      </w:r>
    </w:p>
    <w:p>
      <w:pPr>
        <w:pStyle w:val="BodyText"/>
      </w:pPr>
      <w:r>
        <w:t xml:space="preserve">Chi, Y., Wang, L., &amp; Li, X. (2026). Scientific practices in science</w:t>
      </w:r>
      <w:r>
        <w:t xml:space="preserve"> </w:t>
      </w:r>
      <w:r>
        <w:t xml:space="preserve">education, 20132023: Bibliometric mapping and thematic synthesis.</w:t>
      </w:r>
      <w:r>
        <w:t xml:space="preserve"> </w:t>
      </w:r>
      <w:r>
        <w:rPr>
          <w:i/>
          <w:iCs/>
        </w:rPr>
        <w:t xml:space="preserve">Disciplinary and Interdisciplinary Science Education Research, 8</w:t>
      </w:r>
      <w:r>
        <w:t xml:space="preserve">, 19.</w:t>
      </w:r>
      <w:r>
        <w:t xml:space="preserve"> </w:t>
      </w:r>
      <w:r>
        <w:t xml:space="preserve">https://doi.org/10.1186/s43031-026-00167-x</w:t>
      </w:r>
    </w:p>
    <w:p>
      <w:pPr>
        <w:pStyle w:val="BodyText"/>
      </w:pPr>
      <w:r>
        <w:t xml:space="preserve">Garfield, E. (1955). Citation indexes for science: A new dimension in</w:t>
      </w:r>
      <w:r>
        <w:t xml:space="preserve"> </w:t>
      </w:r>
      <w:r>
        <w:t xml:space="preserve">documentation through association of ideas.</w:t>
      </w:r>
      <w:r>
        <w:t xml:space="preserve"> </w:t>
      </w:r>
      <w:r>
        <w:rPr>
          <w:i/>
          <w:iCs/>
        </w:rPr>
        <w:t xml:space="preserve">Science, 122</w:t>
      </w:r>
      <w:r>
        <w:t xml:space="preserve">(3159),</w:t>
      </w:r>
      <w:r>
        <w:t xml:space="preserve"> </w:t>
      </w:r>
      <w:r>
        <w:t xml:space="preserve">108111. https://doi.org/10.1126/science.122.3159.108</w:t>
      </w:r>
    </w:p>
    <w:p>
      <w:pPr>
        <w:pStyle w:val="BodyText"/>
      </w:pPr>
      <w:r>
        <w:t xml:space="preserve">Klein, J. T. (1990).</w:t>
      </w:r>
      <w:r>
        <w:t xml:space="preserve"> </w:t>
      </w:r>
      <w:r>
        <w:rPr>
          <w:i/>
          <w:iCs/>
        </w:rPr>
        <w:t xml:space="preserve">Interdisciplinarity: History, theory, and</w:t>
      </w:r>
      <w:r>
        <w:rPr>
          <w:i/>
          <w:iCs/>
        </w:rPr>
        <w:t xml:space="preserve"> </w:t>
      </w:r>
      <w:r>
        <w:rPr>
          <w:i/>
          <w:iCs/>
        </w:rPr>
        <w:t xml:space="preserve">practice</w:t>
      </w:r>
      <w:r>
        <w:t xml:space="preserve">. Wayne State University Press. ISBN 0814320880</w:t>
      </w:r>
    </w:p>
    <w:p>
      <w:pPr>
        <w:pStyle w:val="BodyText"/>
      </w:pPr>
      <w:r>
        <w:t xml:space="preserve">Klein, J. T. (2010). A taxonomy of interdisciplinarity. In R. Frodeman</w:t>
      </w:r>
      <w:r>
        <w:t xml:space="preserve"> </w:t>
      </w:r>
      <w:r>
        <w:t xml:space="preserve">(Ed.),</w:t>
      </w:r>
      <w:r>
        <w:t xml:space="preserve"> </w:t>
      </w:r>
      <w:r>
        <w:rPr>
          <w:i/>
          <w:iCs/>
        </w:rPr>
        <w:t xml:space="preserve">The Oxford handbook of interdisciplinarity</w:t>
      </w:r>
      <w:r>
        <w:t xml:space="preserve"> </w:t>
      </w:r>
      <w:r>
        <w:t xml:space="preserve">(pp. 1530). Oxford</w:t>
      </w:r>
      <w:r>
        <w:t xml:space="preserve"> </w:t>
      </w:r>
      <w:r>
        <w:t xml:space="preserve">University Press.</w:t>
      </w:r>
      <w:r>
        <w:t xml:space="preserve"> </w:t>
      </w:r>
      <w:r>
        <w:t xml:space="preserve">https://doi.org/10.1093/oxfordhb/9780199549217.003.0002</w:t>
      </w:r>
    </w:p>
    <w:p>
      <w:pPr>
        <w:pStyle w:val="BodyText"/>
      </w:pPr>
      <w:r>
        <w:t xml:space="preserve">Leydesdorff, L. (2007). Betweenness centrality as an indicator of the</w:t>
      </w:r>
      <w:r>
        <w:t xml:space="preserve"> </w:t>
      </w:r>
      <w:r>
        <w:t xml:space="preserve">interdisciplinarity of scientific journals.</w:t>
      </w:r>
      <w:r>
        <w:t xml:space="preserve"> </w:t>
      </w:r>
      <w:r>
        <w:rPr>
          <w:i/>
          <w:iCs/>
        </w:rPr>
        <w:t xml:space="preserve">Journal of the American</w:t>
      </w:r>
      <w:r>
        <w:rPr>
          <w:i/>
          <w:iCs/>
        </w:rPr>
        <w:t xml:space="preserve"> </w:t>
      </w:r>
      <w:r>
        <w:rPr>
          <w:i/>
          <w:iCs/>
        </w:rPr>
        <w:t xml:space="preserve">Society for Information Science and Technology, 58</w:t>
      </w:r>
      <w:r>
        <w:t xml:space="preserve">(7), 930944.</w:t>
      </w:r>
      <w:r>
        <w:t xml:space="preserve"> </w:t>
      </w:r>
      <w:r>
        <w:t xml:space="preserve">https://doi.org/10.1002/asi.20564</w:t>
      </w:r>
    </w:p>
    <w:p>
      <w:pPr>
        <w:pStyle w:val="BodyText"/>
      </w:pPr>
      <w:r>
        <w:t xml:space="preserve">Leydesdorff, L., &amp; Rafols, I. (2011). Indicators of the interdisciplinarity</w:t>
      </w:r>
      <w:r>
        <w:t xml:space="preserve"> </w:t>
      </w:r>
      <w:r>
        <w:t xml:space="preserve">of journals: Diversity, centrality, and citations.</w:t>
      </w:r>
      <w:r>
        <w:t xml:space="preserve"> </w:t>
      </w:r>
      <w:r>
        <w:rPr>
          <w:i/>
          <w:iCs/>
        </w:rPr>
        <w:t xml:space="preserve">Journal of</w:t>
      </w:r>
      <w:r>
        <w:rPr>
          <w:i/>
          <w:iCs/>
        </w:rPr>
        <w:t xml:space="preserve"> </w:t>
      </w:r>
      <w:r>
        <w:rPr>
          <w:i/>
          <w:iCs/>
        </w:rPr>
        <w:t xml:space="preserve">Informetrics, 5</w:t>
      </w:r>
      <w:r>
        <w:t xml:space="preserve">(1), 87100. https://doi.org/10.1016/j.joi.2010.09.002</w:t>
      </w:r>
    </w:p>
    <w:p>
      <w:pPr>
        <w:pStyle w:val="BodyText"/>
      </w:pPr>
      <w:r>
        <w:t xml:space="preserve">National Research Council. (2012).</w:t>
      </w:r>
      <w:r>
        <w:t xml:space="preserve"> </w:t>
      </w:r>
      <w:r>
        <w:rPr>
          <w:i/>
          <w:iCs/>
        </w:rPr>
        <w:t xml:space="preserve">A framework for K-12 science</w:t>
      </w:r>
      <w:r>
        <w:rPr>
          <w:i/>
          <w:iCs/>
        </w:rPr>
        <w:t xml:space="preserve"> </w:t>
      </w:r>
      <w:r>
        <w:rPr>
          <w:i/>
          <w:iCs/>
        </w:rPr>
        <w:t xml:space="preserve">education: Practices, crosscutting concepts, and core ideas</w:t>
      </w:r>
      <w:r>
        <w:t xml:space="preserve">. National</w:t>
      </w:r>
      <w:r>
        <w:t xml:space="preserve"> </w:t>
      </w:r>
      <w:r>
        <w:t xml:space="preserve">Academies Press. https://doi.org/10.17226/13165</w:t>
      </w:r>
    </w:p>
    <w:p>
      <w:pPr>
        <w:pStyle w:val="BodyText"/>
      </w:pPr>
      <w:r>
        <w:t xml:space="preserve">Newman, M. E. J. (2010).</w:t>
      </w:r>
      <w:r>
        <w:t xml:space="preserve"> </w:t>
      </w:r>
      <w:r>
        <w:rPr>
          <w:i/>
          <w:iCs/>
        </w:rPr>
        <w:t xml:space="preserve">Networks: An introduction</w:t>
      </w:r>
      <w:r>
        <w:t xml:space="preserve">. Oxford University</w:t>
      </w:r>
      <w:r>
        <w:t xml:space="preserve"> </w:t>
      </w:r>
      <w:r>
        <w:t xml:space="preserve">Press. https://doi.org/10.1093/acprof:oso/9780199206650.001.0001</w:t>
      </w:r>
    </w:p>
    <w:p>
      <w:pPr>
        <w:pStyle w:val="BodyText"/>
      </w:pPr>
      <w:r>
        <w:t xml:space="preserve">Porter, A. L., &amp; Rafols, I. (2009). Is science becoming more</w:t>
      </w:r>
      <w:r>
        <w:t xml:space="preserve"> </w:t>
      </w:r>
      <w:r>
        <w:t xml:space="preserve">interdisciplinary? Measuring and mapping six research fields over time.</w:t>
      </w:r>
      <w:r>
        <w:t xml:space="preserve"> </w:t>
      </w:r>
      <w:r>
        <w:rPr>
          <w:i/>
          <w:iCs/>
        </w:rPr>
        <w:t xml:space="preserve">Scientometrics, 81</w:t>
      </w:r>
      <w:r>
        <w:t xml:space="preserve">(3), 719745.</w:t>
      </w:r>
      <w:r>
        <w:t xml:space="preserve"> </w:t>
      </w:r>
      <w:r>
        <w:t xml:space="preserve">https://doi.org/10.1007/s11192-008-2197-2</w:t>
      </w:r>
    </w:p>
    <w:p>
      <w:pPr>
        <w:pStyle w:val="BodyText"/>
      </w:pPr>
      <w:r>
        <w:t xml:space="preserve">Rafols, I., &amp; Meyer, M. (2010). Diversity and network coherence as</w:t>
      </w:r>
      <w:r>
        <w:t xml:space="preserve"> </w:t>
      </w:r>
      <w:r>
        <w:t xml:space="preserve">indicators of interdisciplinarity: Case studies in bionanoscience.</w:t>
      </w:r>
      <w:r>
        <w:t xml:space="preserve"> </w:t>
      </w:r>
      <w:r>
        <w:rPr>
          <w:i/>
          <w:iCs/>
        </w:rPr>
        <w:t xml:space="preserve">Scientometrics, 82</w:t>
      </w:r>
      <w:r>
        <w:t xml:space="preserve">(2), 263287.</w:t>
      </w:r>
      <w:r>
        <w:t xml:space="preserve"> </w:t>
      </w:r>
      <w:r>
        <w:t xml:space="preserve">https://doi.org/10.1007/s11192-009-0041-y</w:t>
      </w:r>
    </w:p>
    <w:p>
      <w:pPr>
        <w:pStyle w:val="BodyText"/>
      </w:pPr>
      <w:r>
        <w:t xml:space="preserve">Rao, C. R. (1982). Diversity and dissimilarity coefficients: A unified</w:t>
      </w:r>
      <w:r>
        <w:t xml:space="preserve"> </w:t>
      </w:r>
      <w:r>
        <w:t xml:space="preserve">approach.</w:t>
      </w:r>
      <w:r>
        <w:t xml:space="preserve"> </w:t>
      </w:r>
      <w:r>
        <w:rPr>
          <w:i/>
          <w:iCs/>
        </w:rPr>
        <w:t xml:space="preserve">Theoretical Population Biology, 21</w:t>
      </w:r>
      <w:r>
        <w:t xml:space="preserve">(1), 2443.</w:t>
      </w:r>
      <w:r>
        <w:t xml:space="preserve"> </w:t>
      </w:r>
      <w:r>
        <w:t xml:space="preserve">https://doi.org/10.1016/0040-5809(82)90039-3</w:t>
      </w:r>
    </w:p>
    <w:p>
      <w:pPr>
        <w:pStyle w:val="BodyText"/>
      </w:pPr>
      <w:r>
        <w:t xml:space="preserve">Röder, M., Both, A., &amp; Hinneburg, A. (2015). Exploring the space of topic</w:t>
      </w:r>
      <w:r>
        <w:t xml:space="preserve"> </w:t>
      </w:r>
      <w:r>
        <w:t xml:space="preserve">coherence measures. In</w:t>
      </w:r>
      <w:r>
        <w:t xml:space="preserve"> </w:t>
      </w:r>
      <w:r>
        <w:rPr>
          <w:i/>
          <w:iCs/>
        </w:rPr>
        <w:t xml:space="preserve">Proceedings of the Eighth ACM International</w:t>
      </w:r>
      <w:r>
        <w:rPr>
          <w:i/>
          <w:iCs/>
        </w:rPr>
        <w:t xml:space="preserve"> </w:t>
      </w:r>
      <w:r>
        <w:rPr>
          <w:i/>
          <w:iCs/>
        </w:rPr>
        <w:t xml:space="preserve">Conference on Web Search and Data Mining</w:t>
      </w:r>
      <w:r>
        <w:t xml:space="preserve"> </w:t>
      </w:r>
      <w:r>
        <w:t xml:space="preserve">(pp. 399408). ACM.</w:t>
      </w:r>
      <w:r>
        <w:t xml:space="preserve"> </w:t>
      </w:r>
      <w:r>
        <w:t xml:space="preserve">https://doi.org/10.1145/2684822.2685329</w:t>
      </w:r>
    </w:p>
    <w:p>
      <w:pPr>
        <w:pStyle w:val="BodyText"/>
      </w:pPr>
      <w:r>
        <w:t xml:space="preserve">Van Noorden, R. (2015). Interdisciplinary research by the numbers.</w:t>
      </w:r>
      <w:r>
        <w:t xml:space="preserve"> </w:t>
      </w:r>
      <w:r>
        <w:rPr>
          <w:i/>
          <w:iCs/>
        </w:rPr>
        <w:t xml:space="preserve">Nature, 525</w:t>
      </w:r>
      <w:r>
        <w:t xml:space="preserve">(7569), 306307. https://doi.org/10.1038/525306a</w:t>
      </w:r>
    </w:p>
    <w:p>
      <w:pPr>
        <w:pStyle w:val="BodyText"/>
      </w:pPr>
      <w:r>
        <w:t xml:space="preserve">Watts, D. J., &amp; Strogatz, S. H. (1998). Collective dynamics of</w:t>
      </w:r>
      <w:r>
        <w:t xml:space="preserve"> </w:t>
      </w:r>
      <w:r>
        <w:t xml:space="preserve">‘small-world’</w:t>
      </w:r>
      <w:r>
        <w:t xml:space="preserve"> </w:t>
      </w:r>
      <w:r>
        <w:t xml:space="preserve">networks.</w:t>
      </w:r>
      <w:r>
        <w:t xml:space="preserve"> </w:t>
      </w:r>
      <w:r>
        <w:rPr>
          <w:i/>
          <w:iCs/>
        </w:rPr>
        <w:t xml:space="preserve">Nature, 393</w:t>
      </w:r>
      <w:r>
        <w:t xml:space="preserve">(6684), 440442.</w:t>
      </w:r>
      <w:r>
        <w:t xml:space="preserve"> </w:t>
      </w:r>
      <w:r>
        <w:t xml:space="preserve">https://doi.org/10.1038/30918</w:t>
      </w:r>
    </w:p>
    <w:p>
      <w:pPr>
        <w:pStyle w:val="BodyText"/>
      </w:pPr>
      <w:r>
        <w:t xml:space="preserve">Krackhardt, D., &amp; Stern, R. N. (1988). Informal networks and</w:t>
      </w:r>
      <w:r>
        <w:t xml:space="preserve"> </w:t>
      </w:r>
      <w:r>
        <w:t xml:space="preserve">organizational crises: An experimental simulation.</w:t>
      </w:r>
      <w:r>
        <w:t xml:space="preserve"> </w:t>
      </w:r>
      <w:r>
        <w:rPr>
          <w:i/>
          <w:iCs/>
        </w:rPr>
        <w:t xml:space="preserve">Social Psychology</w:t>
      </w:r>
      <w:r>
        <w:rPr>
          <w:i/>
          <w:iCs/>
        </w:rPr>
        <w:t xml:space="preserve"> </w:t>
      </w:r>
      <w:r>
        <w:rPr>
          <w:i/>
          <w:iCs/>
        </w:rPr>
        <w:t xml:space="preserve">Quarterly, 51</w:t>
      </w:r>
      <w:r>
        <w:t xml:space="preserve">(2), 123140. https://doi.org/10.2307/2786835</w:t>
      </w:r>
    </w:p>
    <w:p>
      <w:pPr>
        <w:pStyle w:val="BodyText"/>
      </w:pPr>
      <w:r>
        <w:t xml:space="preserve">Leydesdorff, L., Wagner, C. S., &amp; Bornmann, L. (2018). Betweenness and</w:t>
      </w:r>
      <w:r>
        <w:t xml:space="preserve"> </w:t>
      </w:r>
      <w:r>
        <w:t xml:space="preserve">diversity in journal citation networks as measures of interdisciplinarity.</w:t>
      </w:r>
      <w:r>
        <w:t xml:space="preserve"> </w:t>
      </w:r>
      <w:r>
        <w:rPr>
          <w:i/>
          <w:iCs/>
        </w:rPr>
        <w:t xml:space="preserve">Scientometrics, 114</w:t>
      </w:r>
      <w:r>
        <w:t xml:space="preserve">(2), 567592.</w:t>
      </w:r>
      <w:r>
        <w:t xml:space="preserve"> </w:t>
      </w:r>
      <w:r>
        <w:t xml:space="preserve">https://doi.org/10.1007/s11192-017-2528-2</w:t>
      </w:r>
      <w:r>
        <w:t xml:space="preserve"> </w:t>
      </w:r>
      <w:r>
        <w:t xml:space="preserve">diversity in journal citation networks as measures of interdisciplinarity.</w:t>
      </w:r>
      <w:r>
        <w:t xml:space="preserve"> </w:t>
      </w:r>
      <w:r>
        <w:rPr>
          <w:i/>
          <w:iCs/>
        </w:rPr>
        <w:t xml:space="preserve">Scientometrics, 114</w:t>
      </w:r>
      <w:r>
        <w:t xml:space="preserve">(2), 567592.</w:t>
      </w:r>
      <w:r>
        <w:t xml:space="preserve"> </w:t>
      </w:r>
      <w:r>
        <w:t xml:space="preserve">https://doi.org/10.1007/s11192-017-2528-2</w:t>
      </w:r>
    </w:p>
    <w:p>
      <w:pPr>
        <w:pStyle w:val="BodyText"/>
      </w:pPr>
      <w:r>
        <w:t xml:space="preserve">Wang, S., Chen, Y., Lv, X., &amp; Xu, J. (2022). Hot topics and frontier</w:t>
      </w:r>
      <w:r>
        <w:t xml:space="preserve"> </w:t>
      </w:r>
      <w:r>
        <w:t xml:space="preserve">evolution of science education research: A bibliometric mapping from</w:t>
      </w:r>
      <w:r>
        <w:t xml:space="preserve"> </w:t>
      </w:r>
      <w:r>
        <w:t xml:space="preserve">2001 to 2020.</w:t>
      </w:r>
      <w:r>
        <w:t xml:space="preserve"> </w:t>
      </w:r>
      <w:r>
        <w:rPr>
          <w:i/>
          <w:iCs/>
        </w:rPr>
        <w:t xml:space="preserve">Science &amp; Education, 32</w:t>
      </w:r>
      <w:r>
        <w:t xml:space="preserve">(3), 845869.</w:t>
      </w:r>
      <w:r>
        <w:t xml:space="preserve"> </w:t>
      </w:r>
      <w:r>
        <w:t xml:space="preserve">https://doi.org/10.1007/s11191-022-00337-z</w:t>
      </w:r>
    </w:p>
    <w:p>
      <w:pPr>
        <w:pStyle w:val="BodyText"/>
      </w:pPr>
      <w:r>
        <w:t xml:space="preserve">Tang, K.-Y., &amp; Tsai, C.-C. (2016). The intellectual structure of research</w:t>
      </w:r>
      <w:r>
        <w:t xml:space="preserve"> </w:t>
      </w:r>
      <w:r>
        <w:t xml:space="preserve">on educational technology in science education (ETiSE): A co-citation</w:t>
      </w:r>
      <w:r>
        <w:t xml:space="preserve"> </w:t>
      </w:r>
      <w:r>
        <w:t xml:space="preserve">network analysis of publications in selected journals (2008–2013).</w:t>
      </w:r>
      <w:r>
        <w:t xml:space="preserve"> </w:t>
      </w:r>
      <w:r>
        <w:rPr>
          <w:i/>
          <w:iCs/>
        </w:rPr>
        <w:t xml:space="preserve">Journal of Science Education and Technology, 25</w:t>
      </w:r>
      <w:r>
        <w:t xml:space="preserve">(2), 327344.</w:t>
      </w:r>
      <w:r>
        <w:t xml:space="preserve"> </w:t>
      </w:r>
      <w:r>
        <w:t xml:space="preserve">https://doi.org/10.1007/s10956-015-9596-y</w:t>
      </w:r>
    </w:p>
    <w:p>
      <w:pPr>
        <w:pStyle w:val="BodyText"/>
      </w:pPr>
      <w:r>
        <w:t xml:space="preserve">Abdi, A. I., Omar, A. M., Mahdi, A. O., Asiimwe, C., &amp; Osman, M. A.</w:t>
      </w:r>
      <w:r>
        <w:t xml:space="preserve"> </w:t>
      </w:r>
      <w:r>
        <w:t xml:space="preserve">(2024). Tracing the evolution of STEM education: A bibliometric analysis.</w:t>
      </w:r>
      <w:r>
        <w:t xml:space="preserve"> </w:t>
      </w:r>
      <w:r>
        <w:rPr>
          <w:i/>
          <w:iCs/>
        </w:rPr>
        <w:t xml:space="preserve">Frontiers in Education, 9</w:t>
      </w:r>
      <w:r>
        <w:t xml:space="preserve">, 1457938.</w:t>
      </w:r>
      <w:r>
        <w:t xml:space="preserve"> </w:t>
      </w:r>
      <w:r>
        <w:t xml:space="preserve">https://doi.org/10.3389/feduc.2024.1457938</w:t>
      </w:r>
    </w:p>
    <w:p>
      <w:pPr>
        <w:pStyle w:val="BodyText"/>
      </w:pPr>
      <w:r>
        <w:t xml:space="preserve">Tosun, C. (2022). Analysis of the last 40 years of science education</w:t>
      </w:r>
      <w:r>
        <w:t xml:space="preserve"> </w:t>
      </w:r>
      <w:r>
        <w:t xml:space="preserve">research via bibliometric methods.</w:t>
      </w:r>
      <w:r>
        <w:t xml:space="preserve"> </w:t>
      </w:r>
      <w:r>
        <w:rPr>
          <w:i/>
          <w:iCs/>
        </w:rPr>
        <w:t xml:space="preserve">Science &amp; Education, 33</w:t>
      </w:r>
      <w:r>
        <w:t xml:space="preserve">(2), 451480.</w:t>
      </w:r>
      <w:r>
        <w:t xml:space="preserve"> </w:t>
      </w:r>
      <w:r>
        <w:t xml:space="preserve">https://doi.org/10.1007/s11191-022-00400-9</w:t>
      </w:r>
    </w:p>
    <w:p>
      <w:pPr>
        <w:pStyle w:val="BodyText"/>
      </w:pPr>
      <w:r>
        <w:t xml:space="preserve">Giamellaro, M., Buxton, C., Taylor, J., Ayotte-Beaudet, J.-P., L’Heureux,</w:t>
      </w:r>
      <w:r>
        <w:t xml:space="preserve"> </w:t>
      </w:r>
      <w:r>
        <w:t xml:space="preserve">K., &amp; Beaudry, M.-C. (2025). The landscape of research on contextualized</w:t>
      </w:r>
      <w:r>
        <w:t xml:space="preserve"> </w:t>
      </w:r>
      <w:r>
        <w:t xml:space="preserve">science learning: A bibliometric network review.</w:t>
      </w:r>
      <w:r>
        <w:t xml:space="preserve"> </w:t>
      </w:r>
      <w:r>
        <w:rPr>
          <w:i/>
          <w:iCs/>
        </w:rPr>
        <w:t xml:space="preserve">Science Education,</w:t>
      </w:r>
      <w:r>
        <w:rPr>
          <w:i/>
          <w:iCs/>
        </w:rPr>
        <w:t xml:space="preserve"> </w:t>
      </w:r>
      <w:r>
        <w:rPr>
          <w:i/>
          <w:iCs/>
        </w:rPr>
        <w:t xml:space="preserve">109</w:t>
      </w:r>
      <w:r>
        <w:t xml:space="preserve">(3), 851875. https://doi.org/10.1002/sce.21937</w:t>
      </w:r>
    </w:p>
    <w:p>
      <w:pPr>
        <w:pStyle w:val="BodyText"/>
      </w:pPr>
      <w:r>
        <w:t xml:space="preserve">Tuzón, P., García-Castillo, J. A., &amp; Fernández-Gracia, J. (2026). A</w:t>
      </w:r>
      <w:r>
        <w:t xml:space="preserve"> </w:t>
      </w:r>
      <w:r>
        <w:t xml:space="preserve">review on the use of complex networks in science education research.</w:t>
      </w:r>
      <w:r>
        <w:t xml:space="preserve"> </w:t>
      </w:r>
      <w:r>
        <w:rPr>
          <w:i/>
          <w:iCs/>
        </w:rPr>
        <w:t xml:space="preserve">arXiv:2603.29663</w:t>
      </w:r>
      <w:r>
        <w:t xml:space="preserve">. https://doi.org/10.48550/arXiv.2603.29663</w:t>
      </w:r>
    </w:p>
    <w:p>
      <w:pPr>
        <w:pStyle w:val="BodyText"/>
      </w:pPr>
      <w:r>
        <w:t xml:space="preserve">Mersha, M. A., Yigezu, M. G., &amp; Kalita, J. (2024). Semantic-driven</w:t>
      </w:r>
      <w:r>
        <w:t xml:space="preserve"> </w:t>
      </w:r>
      <w:r>
        <w:t xml:space="preserve">topic modeling using transformer-based embeddings and clustering</w:t>
      </w:r>
      <w:r>
        <w:t xml:space="preserve"> </w:t>
      </w:r>
      <w:r>
        <w:t xml:space="preserve">algorithms.</w:t>
      </w:r>
      <w:r>
        <w:t xml:space="preserve"> </w:t>
      </w:r>
      <w:r>
        <w:rPr>
          <w:i/>
          <w:iCs/>
        </w:rPr>
        <w:t xml:space="preserve">Procedia Computer Science, 244</w:t>
      </w:r>
      <w:r>
        <w:t xml:space="preserve">, 121132.</w:t>
      </w:r>
      <w:r>
        <w:t xml:space="preserve"> </w:t>
      </w:r>
      <w:r>
        <w:t xml:space="preserve">https://doi.org/10.1016/j.procs.2024.10.185</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40" Type="http://schemas.openxmlformats.org/officeDocument/2006/relationships/image" Target="media/rId40.png"/><Relationship Id="rId43" Type="http://schemas.openxmlformats.org/officeDocument/2006/relationships/image" Target="media/rId43.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2026-10-26T14:22:25Z</dcterms:created>
  <dcterms:modified xsi:type="dcterms:W3CDTF">2026-10-26T14:22:25Z</dcterms:modified>
</cp:coreProperties>
</file>

<file path=docProps/custom.xml><?xml version="1.0" encoding="utf-8"?>
<Properties xmlns="http://schemas.openxmlformats.org/officeDocument/2006/custom-properties" xmlns:vt="http://schemas.openxmlformats.org/officeDocument/2006/docPropsVTypes"/>
</file>