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Controlled Evaluation of Rainfall Anomaly Detection</w:t>
      </w:r>
    </w:p>
    <w:p>
      <w:pPr>
        <w:jc w:val="both"/>
      </w:pPr>
      <w:r>
        <w:t>This evaluation examined the current rainfall anomaly detection system using synchronized observations from eight hypothetical nearby stations. It measured detection of deliberately injected sensor faults and tested the processing of incomplete or invalid data. The system detected 12 of 16 injected fault readings and generated seven false alarms among 224 valid readings.</w:t>
      </w:r>
    </w:p>
    <w:p>
      <w:pPr>
        <w:pStyle w:val="Heading1"/>
      </w:pPr>
      <w:r>
        <w:t>Introduction</w:t>
      </w:r>
    </w:p>
    <w:p>
      <w:pPr>
        <w:jc w:val="both"/>
      </w:pPr>
      <w:r>
        <w:t>The study's system compares a station's daily rainfall with geographically selected neighboring stations. A useful evaluation therefore requires stations with comparable locations and observations on the same dates. A dataset without concurrent neighboring observations cannot adequately exercise the intended comparison process.</w:t>
      </w:r>
    </w:p>
    <w:p>
      <w:pPr>
        <w:jc w:val="both"/>
      </w:pPr>
      <w:r>
        <w:t>The purpose of this controlled evaluation was to determine how accurately the existing system separated predefined measurement faults from valid rainfall variation when spatial proximity and temporal overlap were satisfied. A second objective was to examine repeatability, input validation and assessment coverage when those data conditions were changed. The evaluation concerns synthetic functional behavior and does not estimate performance on independently labeled historical PAGASA records.</w:t>
      </w:r>
    </w:p>
    <w:p>
      <w:pPr>
        <w:pStyle w:val="Heading1"/>
      </w:pPr>
      <w:r>
        <w:t>Methods</w:t>
      </w:r>
    </w:p>
    <w:p>
      <w:pPr>
        <w:pStyle w:val="Heading2"/>
      </w:pPr>
      <w:r>
        <w:t>Evaluation data and reference labels</w:t>
      </w:r>
    </w:p>
    <w:p>
      <w:pPr>
        <w:jc w:val="both"/>
      </w:pPr>
      <w:r>
        <w:t>Eight fictional station identities were assigned hypothetical coordinates in a compact Quezon City area layout. The locations formed two quartets, with selected neighbors approximately 0.43 to 0.62 km apart. The maximum distance between any two sites was 3.1513 km. These are test locations rather than verified AWS sites.</w:t>
      </w:r>
    </w:p>
    <w:p>
      <w:pPr>
        <w:pStyle w:val="Caption"/>
        <w:keepNext/>
      </w:pPr>
      <w:r>
        <w:t>Table 1 Characteristics of the controlled dataset</w:t>
      </w:r>
    </w:p>
    <w:tbl>
      <w:tblPr>
        <w:tblW w:type="auto" w:w="0"/>
        <w:jc w:val="center"/>
        <w:tblLayout w:type="fixed"/>
        <w:tblLook w:firstColumn="1" w:firstRow="1" w:lastColumn="0" w:lastRow="0" w:noHBand="0" w:noVBand="1" w:val="04A0"/>
      </w:tblPr>
      <w:tblGrid>
        <w:gridCol w:w="3168"/>
        <w:gridCol w:w="619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Characteristic</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Specification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Observation period</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1 to 30 September 2023 for every station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Hourly coverage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 matching timestamps daily and 720 readings per station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Total input</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5760 hourly readings</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Daily evaluation unit</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One station on one date</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Reference classes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8 high faults and 8 low faults and 224 valid readings</w:t>
            </w:r>
          </w:p>
        </w:tc>
      </w:tr>
    </w:tbl>
    <w:p>
      <w:pPr>
        <w:spacing w:after="40"/>
      </w:pPr>
    </w:p>
    <w:p>
      <w:pPr>
        <w:jc w:val="both"/>
      </w:pPr>
      <w:r>
        <w:t>A fixed generation seed of 20261027 produced shared daily rainfall with station variation. Valid controls included dry conditions, shared rainfall, localized showers and a localized dry patch. Deliberate sensor interventions represented gross overreporting, progressive overreporting, zero readings, a two-day stuck-zero event, partial underreporting and simultaneous faults. Reference labels came from these declared interventions and were saved before executing the detector. They were not assigned from LOF output.</w:t>
      </w:r>
    </w:p>
    <w:p>
      <w:pPr>
        <w:jc w:val="both"/>
      </w:pPr>
      <w:r>
        <w:t>Daily totals were distributed over a six-hour profile with a start time that varied by date. Exact totals were preserved at 0.1 mm precision. The primary fixture contained no missing hours or duplicate timestamps. The generated profiles served daily detection testing and were not calibrated simulations of real storms.</w:t>
      </w:r>
    </w:p>
    <w:p>
      <w:pPr>
        <w:pStyle w:val="Heading2"/>
      </w:pPr>
      <w:r>
        <w:t>Processing procedure</w:t>
      </w:r>
    </w:p>
    <w:p>
      <w:pPr>
        <w:jc w:val="both"/>
      </w:pPr>
      <w:r>
        <w:t>All eight HMDAS-format files were passed together to the application's actual processing service. The service converted the files, checked hourly completeness, aggregated daily rainfall, selected the three closest stations using Haversine distance, and executed the existing detection rules. The algorithms and thresholds were unchanged. At least four reporting stations were required in a same-day comparison.</w:t>
      </w:r>
    </w:p>
    <w:p>
      <w:pPr>
        <w:jc w:val="both"/>
      </w:pPr>
      <w:r>
        <w:t>High-reading detection combined a negative LOF score of at most -2.0 with rainfall above the group median and at least 10 mm. Low-reading detection used a separate rule requiring rainfall of at most 1 mm, a group median of at least 10 mm, and a reading below 25 percent of that median. The combined evaluation used the union of the high and low review flags, including the daily dry-stuck flag used by the application.</w:t>
      </w:r>
    </w:p>
    <w:p>
      <w:pPr>
        <w:pStyle w:val="Heading2"/>
      </w:pPr>
      <w:r>
        <w:t>Evaluation measures</w:t>
      </w:r>
    </w:p>
    <w:p>
      <w:pPr>
        <w:jc w:val="both"/>
      </w:pPr>
      <w:r>
        <w:t>Predictions were joined to reference labels using both station identifier and date. All 240 primary observations were assessed; none was interpolated or excluded. Combined detection treated either fault direction as positive. High and low matrices were calculated separately against all other classes, and a three-class matrix retained the normal, high and low directions.</w:t>
      </w:r>
    </w:p>
    <w:p>
      <w:pPr>
        <w:pStyle w:val="Caption"/>
        <w:keepNext/>
      </w:pPr>
      <w:r>
        <w:t>Table 2 Definitions and calculation of evaluation measures</w:t>
      </w:r>
    </w:p>
    <w:tbl>
      <w:tblPr>
        <w:tblW w:type="auto" w:w="0"/>
        <w:jc w:val="center"/>
        <w:tblLayout w:type="fixed"/>
        <w:tblLook w:firstColumn="1" w:firstRow="1" w:lastColumn="0" w:lastRow="0" w:noHBand="0" w:noVBand="1" w:val="04A0"/>
      </w:tblPr>
      <w:tblGrid>
        <w:gridCol w:w="3168"/>
        <w:gridCol w:w="619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Measure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Calculation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True positive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Fault reading correctly flagged</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False negative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Fault reading left unflagged</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False positive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Valid reading incorrectly flagged</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True negative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Valid reading correctly left unflagged</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Precision</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TP / (TP + FP)</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Recall</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TP / (TP + FN)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F1 score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2TP / (2TP + FP + FN)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Accuracy</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(TP + TN) / (TP + FN + FP + TN)</w:t>
            </w:r>
          </w:p>
        </w:tc>
      </w:tr>
    </w:tbl>
    <w:p>
      <w:pPr>
        <w:spacing w:after="40"/>
      </w:pPr>
    </w:p>
    <w:p>
      <w:pPr>
        <w:jc w:val="both"/>
      </w:pPr>
      <w:r>
        <w:t>Undefined ratios were recorded as not applicable. Counts and metrics were independently checked with scikit-learn. Normal controls were retained so that both false alarms and missed faults could be measured. Station and scenario breakdowns were also saved with the evidence.</w:t>
      </w:r>
    </w:p>
    <w:p>
      <w:pPr>
        <w:pStyle w:val="Heading2"/>
      </w:pPr>
      <w:r>
        <w:t>Verification procedure</w:t>
      </w:r>
    </w:p>
    <w:p>
      <w:pPr>
        <w:jc w:val="both"/>
      </w:pPr>
      <w:r>
        <w:t>The verification included original-file hash checks, three fresh-process runs, three repeated calls in one process, reversed file order, eleven quality and control variants, local synchronous and asynchronous HTTP upload checks, and the existing backend regression suite. Quality variants were analyzed separately and were not pooled into the primary confusion matrices. Unassessed readings were not treated as confirmed normal predictions.</w:t>
      </w:r>
    </w:p>
    <w:p>
      <w:pPr>
        <w:jc w:val="both"/>
      </w:pPr>
      <w:r>
        <w:t>HTTP tests exercised the actual local router and processing pipeline. A synthetic analyst replaced the authentication dependency, and rate limiting was disabled only within the test. These checks did not exercise real login, browser interaction, production deployment, mobile operation or database persistence. Versions, thresholds, source hashes and outputs were retained in the evidence manifests.</w:t>
      </w:r>
    </w:p>
    <w:p>
      <w:r>
        <w:br w:type="page"/>
      </w:r>
    </w:p>
    <w:p>
      <w:pPr>
        <w:pStyle w:val="Heading1"/>
      </w:pPr>
      <w:r>
        <w:t>Results</w:t>
      </w:r>
    </w:p>
    <w:p>
      <w:pPr>
        <w:pStyle w:val="Heading2"/>
      </w:pPr>
      <w:r>
        <w:t>Anomaly detection outcomes</w:t>
      </w:r>
    </w:p>
    <w:p>
      <w:pPr>
        <w:jc w:val="both"/>
      </w:pPr>
      <w:r>
        <w:t>The primary run produced 240 assessed daily observations. It correctly flagged 12 fault readings, missed four fault readings, incorrectly flagged seven valid readings and correctly left 217 valid readings unflagged.</w:t>
      </w:r>
    </w:p>
    <w:p>
      <w:pPr>
        <w:pStyle w:val="Caption"/>
        <w:keepNext/>
      </w:pPr>
      <w:r>
        <w:t>Table 3 Confusion matrix for combined anomaly detection</w:t>
      </w:r>
    </w:p>
    <w:tbl>
      <w:tblPr>
        <w:tblW w:type="auto" w:w="0"/>
        <w:jc w:val="center"/>
        <w:tblLayout w:type="fixed"/>
        <w:tblLook w:firstColumn="1" w:firstRow="1" w:lastColumn="0" w:lastRow="0" w:noHBand="0" w:noVBand="1" w:val="04A0"/>
      </w:tblPr>
      <w:tblGrid>
        <w:gridCol w:w="3456"/>
        <w:gridCol w:w="2952"/>
        <w:gridCol w:w="2952"/>
      </w:tblGrid>
      <w:tr>
        <w:trPr>
          <w:cantSplit/>
          <w:tblHeader/>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Actual and predicted</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anomaly</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normal</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anomaly</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12 TP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 FN</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normal</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 FP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217 TN</w:t>
            </w:r>
          </w:p>
        </w:tc>
      </w:tr>
    </w:tbl>
    <w:p>
      <w:pPr>
        <w:spacing w:after="40"/>
      </w:pPr>
    </w:p>
    <w:p>
      <w:pPr>
        <w:pStyle w:val="Caption"/>
        <w:keepNext/>
      </w:pPr>
      <w:r>
        <w:t>Table 4 Confusion matrix for high reading detection</w:t>
      </w:r>
    </w:p>
    <w:tbl>
      <w:tblPr>
        <w:tblW w:type="auto" w:w="0"/>
        <w:jc w:val="center"/>
        <w:tblLayout w:type="fixed"/>
        <w:tblLook w:firstColumn="1" w:firstRow="1" w:lastColumn="0" w:lastRow="0" w:noHBand="0" w:noVBand="1" w:val="04A0"/>
      </w:tblPr>
      <w:tblGrid>
        <w:gridCol w:w="3456"/>
        <w:gridCol w:w="2952"/>
        <w:gridCol w:w="2952"/>
      </w:tblGrid>
      <w:tr>
        <w:trPr>
          <w:cantSplit/>
          <w:tblHeader/>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Actual and predicted</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high</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other classes</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high</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 TP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 FN</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other classes</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 FP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226 TN</w:t>
            </w:r>
          </w:p>
        </w:tc>
      </w:tr>
    </w:tbl>
    <w:p>
      <w:pPr>
        <w:spacing w:after="40"/>
      </w:pPr>
    </w:p>
    <w:p>
      <w:pPr>
        <w:pStyle w:val="Caption"/>
        <w:keepNext/>
      </w:pPr>
      <w:r>
        <w:t>Table 5 Confusion matrix for low reading detection</w:t>
      </w:r>
    </w:p>
    <w:tbl>
      <w:tblPr>
        <w:tblW w:type="auto" w:w="0"/>
        <w:jc w:val="center"/>
        <w:tblLayout w:type="fixed"/>
        <w:tblLook w:firstColumn="1" w:firstRow="1" w:lastColumn="0" w:lastRow="0" w:noHBand="0" w:noVBand="1" w:val="04A0"/>
      </w:tblPr>
      <w:tblGrid>
        <w:gridCol w:w="3456"/>
        <w:gridCol w:w="2952"/>
        <w:gridCol w:w="2952"/>
      </w:tblGrid>
      <w:tr>
        <w:trPr>
          <w:cantSplit/>
          <w:tblHeader/>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Actual and predicted</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low</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Predicted other classes</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low</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 TP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 FN</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Actual other classes</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1 FP</w:t>
            </w:r>
          </w:p>
        </w:tc>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231 TN</w:t>
            </w:r>
          </w:p>
        </w:tc>
      </w:tr>
    </w:tbl>
    <w:p>
      <w:pPr>
        <w:spacing w:after="40"/>
      </w:pPr>
    </w:p>
    <w:p>
      <w:pPr>
        <w:pStyle w:val="Caption"/>
        <w:keepNext/>
      </w:pPr>
      <w:r>
        <w:t>Table 6 Precision recall F1 score and accuracy</w:t>
      </w:r>
    </w:p>
    <w:tbl>
      <w:tblPr>
        <w:tblW w:type="auto" w:w="0"/>
        <w:jc w:val="center"/>
        <w:tblLayout w:type="fixed"/>
        <w:tblLook w:firstColumn="1" w:firstRow="1" w:lastColumn="0" w:lastRow="0" w:noHBand="0" w:noVBand="1" w:val="04A0"/>
      </w:tblPr>
      <w:tblGrid>
        <w:gridCol w:w="2160"/>
        <w:gridCol w:w="1800"/>
        <w:gridCol w:w="1800"/>
        <w:gridCol w:w="1800"/>
        <w:gridCol w:w="1800"/>
      </w:tblGrid>
      <w:tr>
        <w:trPr>
          <w:cantSplit/>
          <w:tblHeader/>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Detection</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Precision</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Recall</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F1 score</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Accuracy</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Combined</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63.16%</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75.00%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68.57%</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95.42%</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High</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50.00%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75.00%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60.00%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96.67%</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Low</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85.71%</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75.00%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80.00%</w:t>
            </w:r>
          </w:p>
        </w:tc>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98.75%</w:t>
            </w:r>
          </w:p>
        </w:tc>
      </w:tr>
    </w:tbl>
    <w:p>
      <w:pPr>
        <w:spacing w:after="40"/>
      </w:pPr>
    </w:p>
    <w:p>
      <w:pPr>
        <w:pStyle w:val="Caption"/>
        <w:keepNext/>
      </w:pPr>
      <w:r>
        <w:t>Table 7 Classification by actual and predicted direction</w:t>
      </w:r>
    </w:p>
    <w:tbl>
      <w:tblPr>
        <w:tblW w:type="auto" w:w="0"/>
        <w:jc w:val="center"/>
        <w:tblLayout w:type="fixed"/>
        <w:tblLook w:firstColumn="1" w:firstRow="1" w:lastColumn="0" w:lastRow="0" w:noHBand="0" w:noVBand="1" w:val="04A0"/>
      </w:tblPr>
      <w:tblGrid>
        <w:gridCol w:w="3312"/>
        <w:gridCol w:w="2016"/>
        <w:gridCol w:w="2016"/>
        <w:gridCol w:w="2016"/>
      </w:tblGrid>
      <w:tr>
        <w:trPr>
          <w:cantSplit/>
          <w:tblHeader/>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Actual and predicted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Normal</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High</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Low</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Normal</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217</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1</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High</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0</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Low</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0</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w:t>
            </w:r>
          </w:p>
        </w:tc>
      </w:tr>
    </w:tbl>
    <w:p>
      <w:pPr>
        <w:spacing w:after="40"/>
      </w:pPr>
    </w:p>
    <w:p>
      <w:pPr>
        <w:jc w:val="both"/>
      </w:pPr>
      <w:r>
        <w:t>No detected fault was classified in the opposite direction. The four missed faults were classified as normal. Six of the seven false alarms were high flags, and one was a low flag.</w:t>
      </w:r>
    </w:p>
    <w:p>
      <w:pPr>
        <w:pStyle w:val="Heading2"/>
      </w:pPr>
      <w:r>
        <w:t>Repeatability and engineering checks</w:t>
      </w:r>
    </w:p>
    <w:p>
      <w:pPr>
        <w:jc w:val="both"/>
      </w:pPr>
      <w:r>
        <w:t>All three fresh-process runs reproduced every reported LOF score and flag. Reversing file order also produced identical scores and flags. Within one process, later calls changed 85 and 86 reported scores respectively, while changing no classifications. These observations concern this fixture and do not establish stability for every possible boundary case.</w:t>
      </w:r>
    </w:p>
    <w:p>
      <w:pPr>
        <w:jc w:val="both"/>
      </w:pPr>
      <w:r>
        <w:t>All 22 extended check groups passed, with 0 failures. The existing backend suite passed all 54 tests. These engineering results were recorded separately from the detection outcomes.</w:t>
      </w:r>
    </w:p>
    <w:p>
      <w:pPr>
        <w:pStyle w:val="Caption"/>
        <w:keepNext/>
      </w:pPr>
      <w:r>
        <w:t>Table 8 Results of input quality and control checks</w:t>
      </w:r>
    </w:p>
    <w:tbl>
      <w:tblPr>
        <w:tblW w:type="auto" w:w="0"/>
        <w:jc w:val="center"/>
        <w:tblLayout w:type="fixed"/>
        <w:tblLook w:firstColumn="1" w:firstRow="1" w:lastColumn="0" w:lastRow="0" w:noHBand="0" w:noVBand="1" w:val="04A0"/>
      </w:tblPr>
      <w:tblGrid>
        <w:gridCol w:w="3600"/>
        <w:gridCol w:w="4680"/>
        <w:gridCol w:w="1080"/>
      </w:tblGrid>
      <w:tr>
        <w:trPr>
          <w:cantSplit/>
          <w:tblHeader/>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Case</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Observed outcome</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Status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isolated missing hour</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240 daily rows and 240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two missing hours</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239 daily rows and 236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absent hourly timestamp</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239 daily rows and 236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duplicate timestamp</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240 daily rows and 240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negative rainfall</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Invalid input rejected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infinite rainfall</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Invalid input rejected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malformed timestamp</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Invalid input rejected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three stations only</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90 daily rows and 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nonoverlapping station dates</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240 daily rows and 120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all dry control</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240 daily rows and 240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uniform heavy rain control</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240 daily rows and 240 assessed</w:t>
            </w:r>
          </w:p>
        </w:tc>
        <w:tc>
          <w:tcPr>
            <w:tcW w:type="dxa" w:w="10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PASS</w:t>
            </w:r>
          </w:p>
        </w:tc>
      </w:tr>
    </w:tbl>
    <w:p>
      <w:pPr>
        <w:spacing w:after="40"/>
      </w:pPr>
    </w:p>
    <w:p>
      <w:pPr>
        <w:pStyle w:val="Caption"/>
        <w:keepNext/>
      </w:pPr>
      <w:r>
        <w:t>Table 9 Results of local HTTP upload checks</w:t>
      </w:r>
    </w:p>
    <w:tbl>
      <w:tblPr>
        <w:tblW w:type="auto" w:w="0"/>
        <w:jc w:val="center"/>
        <w:tblLayout w:type="fixed"/>
        <w:tblLook w:firstColumn="1" w:firstRow="1" w:lastColumn="0" w:lastRow="0" w:noHBand="0" w:noVBand="1" w:val="04A0"/>
      </w:tblPr>
      <w:tblGrid>
        <w:gridCol w:w="6624"/>
        <w:gridCol w:w="2736"/>
      </w:tblGrid>
      <w:tr>
        <w:trPr>
          <w:cantSplit/>
          <w:tblHeader/>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Case</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Observed response</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synchronous multipart upload</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200</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async upload and owner polling</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202 and job completed</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non-CSV</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415</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empty CSV</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400</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oversized content length</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413</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malformed CSV</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422</w:t>
            </w:r>
          </w:p>
        </w:tc>
      </w:tr>
      <w:tr>
        <w:trPr>
          <w:cantSplit/>
        </w:trPr>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missing files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422</w:t>
            </w:r>
          </w:p>
        </w:tc>
      </w:tr>
    </w:tbl>
    <w:p>
      <w:pPr>
        <w:spacing w:after="40"/>
      </w:pPr>
    </w:p>
    <w:p>
      <w:pPr>
        <w:pStyle w:val="Heading2"/>
      </w:pPr>
      <w:r>
        <w:t>Misclassified readings</w:t>
      </w:r>
    </w:p>
    <w:p>
      <w:pPr>
        <w:jc w:val="both"/>
      </w:pPr>
      <w:r>
        <w:t>The comparison identified eleven disagreements with the reference labels. Table 10 retains every missed fault and false alarm.</w:t>
      </w:r>
    </w:p>
    <w:p>
      <w:pPr>
        <w:pStyle w:val="Caption"/>
        <w:keepNext/>
      </w:pPr>
      <w:r>
        <w:t>Table 10 Complete list of misclassified observations</w:t>
      </w:r>
    </w:p>
    <w:tbl>
      <w:tblPr>
        <w:tblW w:type="auto" w:w="0"/>
        <w:jc w:val="center"/>
        <w:tblLayout w:type="fixed"/>
        <w:tblLook w:firstColumn="1" w:firstRow="1" w:lastColumn="0" w:lastRow="0" w:noHBand="0" w:noVBand="1" w:val="04A0"/>
      </w:tblPr>
      <w:tblGrid>
        <w:gridCol w:w="1440"/>
        <w:gridCol w:w="1008"/>
        <w:gridCol w:w="4320"/>
        <w:gridCol w:w="2592"/>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Date</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Station</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Scenario</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Actual to predicted</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2023-09-09</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QCA01</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valid localized shower</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2023-09-15</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QCB03</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zero fault on light rain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low to normal</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2023-09-16</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QCB04</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progressive overreport</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high to normal</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2023-09-17</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QCA02</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shared rain with variation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2023-09-18</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QCB02</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valid localized shower</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2023-09-18</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QCB04</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progressive overreport</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high to normal</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2023-09-19</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QCB03</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shared rain with variation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2023-09-20</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QCA03</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shared rain with variation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2023-09-20</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QCB02</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partial underreport</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low to normal</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2023-09-21</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QCA04</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valid localized dry patch</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low</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2023-09-29</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QCA01</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shared rain with variation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normal to high</w:t>
            </w:r>
          </w:p>
        </w:tc>
      </w:tr>
    </w:tbl>
    <w:p>
      <w:pPr>
        <w:spacing w:after="40"/>
      </w:pPr>
    </w:p>
    <w:p>
      <w:r>
        <w:br w:type="page"/>
      </w:r>
    </w:p>
    <w:p>
      <w:pPr>
        <w:pStyle w:val="Heading1"/>
      </w:pPr>
      <w:r>
        <w:t>Discussion</w:t>
      </w:r>
    </w:p>
    <w:p>
      <w:pPr>
        <w:pStyle w:val="Heading2"/>
      </w:pPr>
      <w:r>
        <w:t>Meaning of the detection results</w:t>
      </w:r>
    </w:p>
    <w:p>
      <w:pPr>
        <w:jc w:val="both"/>
      </w:pPr>
      <w:r>
        <w:t>The results demonstrate that the implemented system detected most of the deliberately injected faults in this controlled dataset, while retaining measurable limitations. Combined recall of 75.00 percent means that one quarter of the injected faults were missed. Precision of 63.16 percent means that seven of the nineteen alerts corresponded to valid observations under the scenario definitions. Passing the engineering checks therefore does not establish perfect anomaly detection.</w:t>
      </w:r>
    </w:p>
    <w:p>
      <w:pPr>
        <w:jc w:val="both"/>
      </w:pPr>
      <w:r>
        <w:t>The combined accuracy of 95.42 percent should be interpreted alongside class prevalence. Valid readings accounted for 224 of the 240 observations, so an always-normal predictor would already achieve 93.33 percent accuracy while detecting no faults. Precision, recall and F1 score provide necessary information about detection performance beyond the overall accuracy.</w:t>
      </w:r>
    </w:p>
    <w:p>
      <w:pPr>
        <w:jc w:val="both"/>
      </w:pPr>
      <w:r>
        <w:t>The false alarms included both valid localized showers, the valid dry patch and four ordinary station variations. This finding illustrates that spatial disagreement can occur without a sensor fault. Nearby station placement and synchronized dates enable comparisons but do not make all rainfall differences erroneous. High-reading precision of 50.00 percent indicates that half of its twelve alerts were false alarms in this fixture.</w:t>
      </w:r>
    </w:p>
    <w:p>
      <w:pPr>
        <w:jc w:val="both"/>
      </w:pPr>
      <w:r>
        <w:t>Missed faults included two progressive overreporting observations, a zero fault during light rainfall and partial underreporting. The low rule's requirement that rainfall be at most 1 mm limits its ability to detect partial underreporting above that ceiling. For the light-rain fault, the comparison did not meet the required rainy-group conditions. The results describe the combined LOF and rule system; the low-reading scores must not be presented as LOF-only performance.</w:t>
      </w:r>
    </w:p>
    <w:p>
      <w:pPr>
        <w:pStyle w:val="Heading2"/>
      </w:pPr>
      <w:r>
        <w:t>Implications of coverage and repeatability</w:t>
      </w:r>
    </w:p>
    <w:p>
      <w:pPr>
        <w:jc w:val="both"/>
      </w:pPr>
      <w:r>
        <w:t>The date-mismatch test left 120 of 240 daily readings unassessed, while a three-station input left all ninety retained readings unassessed. This supports the need to obtain concurrent observations from enough neighboring stations. An unassessed result should remain distinct from a normal result in any later evaluation.</w:t>
      </w:r>
    </w:p>
    <w:p>
      <w:pPr>
        <w:jc w:val="both"/>
      </w:pPr>
      <w:r>
        <w:t>Repeated calls within one process changed some LOF scores without changing the classifications in this dataset. The application uses an advancing jitter generator to break tied rainfall values. Recording the software version, execution conditions and original predictions is therefore necessary when reproducing the evaluation. Local elapsed times include machine and process overhead and do not establish production performance.</w:t>
      </w:r>
    </w:p>
    <w:p>
      <w:pPr>
        <w:pStyle w:val="Heading2"/>
      </w:pPr>
      <w:r>
        <w:t>Limitations and further validation</w:t>
      </w:r>
    </w:p>
    <w:p>
      <w:pPr>
        <w:jc w:val="both"/>
      </w:pPr>
      <w:r>
        <w:t>Every station identity, coordinate and measurement was synthetic. Labels were independent of the measured detector output, but the scenarios were designed with knowledge of the existing algorithm and were not a blinded holdout. Only sixteen fault observations were included, and some observations shared a station or weather scenario. The rainfall profiles were not calibrated to observed storm behavior. These conditions limit generalization to real AWS networks.</w:t>
      </w:r>
    </w:p>
    <w:p>
      <w:pPr>
        <w:jc w:val="both"/>
      </w:pPr>
      <w:r>
        <w:t>This controlled evaluation supplies evidence about the predefined scenarios and documented input handling. It does not establish historical PAGASA accuracy, confirm real sensor malfunctions or replace independent domain verification. Further evaluation should use concurrent neighboring-station records with independently established reference labels, cover valid localized weather as well as sensor faults, and retain uncertain or unassessed observations explicitly. The observed errors should remain in the reported findings rather than being removed by changing labels after testing.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of Rainfall Anomaly Detection</dc:title>
  <dc:subject>IMRaD report of synthetic controlled testing</dc:subject>
  <dc:creator/>
  <cp:keywords>rainfall, anomaly detection, controlled evaluation, IMRaD</cp:keywords>
  <dc:description>generated by python-docx</dc:description>
  <cp:lastModifiedBy/>
  <cp:revision>1</cp:revision>
  <dcterms:created xsi:type="dcterms:W3CDTF">2013-12-23T23:15:00Z</dcterms:created>
  <dcterms:modified xsi:type="dcterms:W3CDTF">2013-12-23T23:15:00Z</dcterms:modified>
  <cp:category/>
</cp:coreProperties>
</file>