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669" w:rsidRDefault="009D4669" w:rsidP="009D4669">
      <w:pPr>
        <w:spacing w:line="48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Fossil skulls reveal that blood flow rate to the brain increased faster </w:t>
      </w:r>
      <w:bookmarkStart w:id="0" w:name="_GoBack"/>
      <w:bookmarkEnd w:id="0"/>
      <w:r>
        <w:rPr>
          <w:b/>
          <w:sz w:val="32"/>
          <w:szCs w:val="32"/>
        </w:rPr>
        <w:t>than brain volume during human evolution</w:t>
      </w:r>
    </w:p>
    <w:p w:rsidR="00792AC1" w:rsidRPr="00B23B21" w:rsidRDefault="00792AC1" w:rsidP="00792AC1">
      <w:pPr>
        <w:spacing w:line="480" w:lineRule="auto"/>
        <w:rPr>
          <w:b/>
          <w:sz w:val="28"/>
          <w:szCs w:val="28"/>
        </w:rPr>
      </w:pPr>
      <w:r w:rsidRPr="00B23B21">
        <w:rPr>
          <w:b/>
          <w:sz w:val="28"/>
          <w:szCs w:val="28"/>
        </w:rPr>
        <w:t>Roger S. Seymour</w:t>
      </w:r>
      <w:proofErr w:type="gramStart"/>
      <w:r>
        <w:rPr>
          <w:b/>
          <w:sz w:val="28"/>
          <w:szCs w:val="28"/>
          <w:vertAlign w:val="superscript"/>
        </w:rPr>
        <w:t>,</w:t>
      </w:r>
      <w:r>
        <w:rPr>
          <w:b/>
          <w:sz w:val="28"/>
          <w:szCs w:val="28"/>
        </w:rPr>
        <w:t>,</w:t>
      </w:r>
      <w:proofErr w:type="gramEnd"/>
      <w:r>
        <w:rPr>
          <w:b/>
          <w:sz w:val="28"/>
          <w:szCs w:val="28"/>
        </w:rPr>
        <w:t xml:space="preserve"> Vanya Bosiocic</w:t>
      </w:r>
      <w:r>
        <w:rPr>
          <w:b/>
          <w:sz w:val="28"/>
          <w:szCs w:val="28"/>
          <w:vertAlign w:val="superscript"/>
        </w:rPr>
        <w:t xml:space="preserve"> </w:t>
      </w:r>
      <w:r>
        <w:rPr>
          <w:b/>
          <w:sz w:val="28"/>
          <w:szCs w:val="28"/>
        </w:rPr>
        <w:t xml:space="preserve"> and Edward P. Snelling</w:t>
      </w:r>
      <w:r>
        <w:rPr>
          <w:b/>
          <w:sz w:val="28"/>
          <w:szCs w:val="28"/>
          <w:vertAlign w:val="superscript"/>
        </w:rPr>
        <w:t xml:space="preserve"> </w:t>
      </w:r>
    </w:p>
    <w:p w:rsidR="00792AC1" w:rsidRDefault="00792AC1" w:rsidP="00792AC1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Supplementary Material</w:t>
      </w:r>
    </w:p>
    <w:p w:rsidR="00792AC1" w:rsidRPr="009F6363" w:rsidRDefault="00792AC1" w:rsidP="00792AC1">
      <w:pPr>
        <w:spacing w:line="360" w:lineRule="auto"/>
        <w:rPr>
          <w:b/>
          <w:sz w:val="24"/>
          <w:szCs w:val="24"/>
        </w:rPr>
      </w:pPr>
      <w:r w:rsidRPr="009F6363">
        <w:rPr>
          <w:b/>
          <w:sz w:val="24"/>
          <w:szCs w:val="24"/>
        </w:rPr>
        <w:t>Sources of data for individual specimens</w:t>
      </w:r>
    </w:p>
    <w:p w:rsidR="00792AC1" w:rsidRDefault="00792AC1" w:rsidP="00792AC1">
      <w:r>
        <w:rPr>
          <w:noProof/>
          <w:lang w:eastAsia="en-AU"/>
        </w:rPr>
        <w:drawing>
          <wp:inline distT="0" distB="0" distL="0" distR="0" wp14:anchorId="446486ED" wp14:editId="5F99196C">
            <wp:extent cx="5731510" cy="38252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AC1" w:rsidRDefault="00792AC1" w:rsidP="00792AC1">
      <w:r>
        <w:rPr>
          <w:noProof/>
          <w:lang w:eastAsia="en-AU"/>
        </w:rPr>
        <w:lastRenderedPageBreak/>
        <w:drawing>
          <wp:inline distT="0" distB="0" distL="0" distR="0" wp14:anchorId="0F713095" wp14:editId="046190A2">
            <wp:extent cx="5731510" cy="38506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AC1" w:rsidRDefault="00792AC1" w:rsidP="00792AC1">
      <w:r>
        <w:rPr>
          <w:noProof/>
          <w:lang w:eastAsia="en-AU"/>
        </w:rPr>
        <w:drawing>
          <wp:inline distT="0" distB="0" distL="0" distR="0" wp14:anchorId="2DF65BC9" wp14:editId="5F2C0C0E">
            <wp:extent cx="5731510" cy="1884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AC1" w:rsidRDefault="00792AC1" w:rsidP="00792AC1"/>
    <w:p w:rsidR="00792AC1" w:rsidRPr="0018387E" w:rsidRDefault="00792AC1" w:rsidP="00792AC1">
      <w:pPr>
        <w:spacing w:line="480" w:lineRule="auto"/>
        <w:rPr>
          <w:rFonts w:ascii="Arial" w:hAnsi="Arial" w:cs="Arial"/>
        </w:rPr>
      </w:pPr>
      <w:proofErr w:type="gramStart"/>
      <w:r w:rsidRPr="0018387E">
        <w:rPr>
          <w:rFonts w:ascii="Arial" w:hAnsi="Arial" w:cs="Arial"/>
          <w:vertAlign w:val="superscript"/>
        </w:rPr>
        <w:t>a</w:t>
      </w:r>
      <w:proofErr w:type="gramEnd"/>
      <w:r w:rsidRPr="0018387E">
        <w:rPr>
          <w:rFonts w:ascii="Arial" w:hAnsi="Arial" w:cs="Arial"/>
        </w:rPr>
        <w:t xml:space="preserve"> body mass of LH 18 derived from </w:t>
      </w:r>
      <w:proofErr w:type="spellStart"/>
      <w:r w:rsidRPr="0018387E">
        <w:rPr>
          <w:rFonts w:ascii="Arial" w:hAnsi="Arial" w:cs="Arial"/>
        </w:rPr>
        <w:t>Omo</w:t>
      </w:r>
      <w:proofErr w:type="spellEnd"/>
      <w:r w:rsidRPr="0018387E">
        <w:rPr>
          <w:rFonts w:ascii="Arial" w:hAnsi="Arial" w:cs="Arial"/>
        </w:rPr>
        <w:t xml:space="preserve"> 1 due to its physiological resemblance as noted by </w:t>
      </w:r>
      <w:r w:rsidRPr="0018387E">
        <w:rPr>
          <w:rFonts w:ascii="Arial" w:hAnsi="Arial" w:cs="Arial"/>
          <w:noProof/>
        </w:rPr>
        <w:t xml:space="preserve">Magori and Day </w:t>
      </w:r>
      <w:r w:rsidRPr="0018387E">
        <w:rPr>
          <w:rFonts w:ascii="Arial" w:hAnsi="Arial" w:cs="Arial"/>
          <w:noProof/>
          <w:vertAlign w:val="superscript"/>
        </w:rPr>
        <w:t>11</w:t>
      </w:r>
      <w:r w:rsidRPr="0018387E">
        <w:rPr>
          <w:rFonts w:ascii="Arial" w:hAnsi="Arial" w:cs="Arial"/>
          <w:noProof/>
        </w:rPr>
        <w:t>.</w:t>
      </w:r>
    </w:p>
    <w:p w:rsidR="00792AC1" w:rsidRPr="0018387E" w:rsidRDefault="00792AC1" w:rsidP="00792AC1">
      <w:pPr>
        <w:spacing w:line="480" w:lineRule="auto"/>
        <w:rPr>
          <w:rFonts w:ascii="Arial" w:eastAsia="Times New Roman" w:hAnsi="Arial" w:cs="Arial"/>
          <w:color w:val="000000"/>
        </w:rPr>
      </w:pPr>
      <w:proofErr w:type="gramStart"/>
      <w:r w:rsidRPr="0018387E">
        <w:rPr>
          <w:rFonts w:ascii="Arial" w:hAnsi="Arial" w:cs="Arial"/>
          <w:vertAlign w:val="superscript"/>
        </w:rPr>
        <w:t>b</w:t>
      </w:r>
      <w:proofErr w:type="gramEnd"/>
      <w:r w:rsidRPr="0018387E">
        <w:rPr>
          <w:rFonts w:ascii="Arial" w:hAnsi="Arial" w:cs="Arial"/>
        </w:rPr>
        <w:t xml:space="preserve"> </w:t>
      </w:r>
      <w:proofErr w:type="spellStart"/>
      <w:r w:rsidRPr="0018387E">
        <w:rPr>
          <w:rFonts w:ascii="Arial" w:hAnsi="Arial" w:cs="Arial"/>
        </w:rPr>
        <w:t>Ndutu</w:t>
      </w:r>
      <w:proofErr w:type="spellEnd"/>
      <w:r w:rsidRPr="0018387E">
        <w:rPr>
          <w:rFonts w:ascii="Arial" w:hAnsi="Arial" w:cs="Arial"/>
        </w:rPr>
        <w:t xml:space="preserve"> individual was based in Tanzania, and so allocated </w:t>
      </w:r>
      <w:r w:rsidRPr="0018387E">
        <w:rPr>
          <w:rFonts w:ascii="Arial" w:eastAsia="Times New Roman" w:hAnsi="Arial" w:cs="Arial"/>
          <w:color w:val="000000"/>
        </w:rPr>
        <w:t xml:space="preserve">body mass was estimated by averaging the known body masses of two African </w:t>
      </w:r>
      <w:r w:rsidRPr="0018387E">
        <w:rPr>
          <w:rFonts w:ascii="Arial" w:eastAsia="Times New Roman" w:hAnsi="Arial" w:cs="Arial"/>
          <w:i/>
          <w:color w:val="000000"/>
        </w:rPr>
        <w:t xml:space="preserve">H. </w:t>
      </w:r>
      <w:proofErr w:type="spellStart"/>
      <w:r w:rsidRPr="0018387E">
        <w:rPr>
          <w:rFonts w:ascii="Arial" w:eastAsia="Times New Roman" w:hAnsi="Arial" w:cs="Arial"/>
          <w:i/>
          <w:color w:val="000000"/>
        </w:rPr>
        <w:t>heidelbergensis</w:t>
      </w:r>
      <w:proofErr w:type="spellEnd"/>
      <w:r w:rsidRPr="0018387E">
        <w:rPr>
          <w:rFonts w:ascii="Arial" w:eastAsia="Times New Roman" w:hAnsi="Arial" w:cs="Arial"/>
          <w:color w:val="000000"/>
        </w:rPr>
        <w:t xml:space="preserve"> individuals (</w:t>
      </w:r>
      <w:proofErr w:type="spellStart"/>
      <w:r w:rsidRPr="0018387E">
        <w:rPr>
          <w:rFonts w:ascii="Arial" w:eastAsia="Times New Roman" w:hAnsi="Arial" w:cs="Arial"/>
          <w:color w:val="000000"/>
        </w:rPr>
        <w:t>Kebwe</w:t>
      </w:r>
      <w:proofErr w:type="spellEnd"/>
      <w:r w:rsidRPr="0018387E">
        <w:rPr>
          <w:rFonts w:ascii="Arial" w:eastAsia="Times New Roman" w:hAnsi="Arial" w:cs="Arial"/>
          <w:color w:val="000000"/>
        </w:rPr>
        <w:t xml:space="preserve"> and </w:t>
      </w:r>
      <w:proofErr w:type="spellStart"/>
      <w:r w:rsidRPr="0018387E">
        <w:rPr>
          <w:rFonts w:ascii="Arial" w:eastAsia="Times New Roman" w:hAnsi="Arial" w:cs="Arial"/>
          <w:color w:val="000000"/>
        </w:rPr>
        <w:t>Bodo</w:t>
      </w:r>
      <w:proofErr w:type="spellEnd"/>
      <w:r w:rsidRPr="0018387E">
        <w:rPr>
          <w:rFonts w:ascii="Arial" w:eastAsia="Times New Roman" w:hAnsi="Arial" w:cs="Arial"/>
          <w:color w:val="000000"/>
        </w:rPr>
        <w:t>).</w:t>
      </w:r>
    </w:p>
    <w:p w:rsidR="00792AC1" w:rsidRPr="0018387E" w:rsidRDefault="00792AC1" w:rsidP="00792AC1">
      <w:pPr>
        <w:spacing w:line="480" w:lineRule="auto"/>
        <w:rPr>
          <w:rFonts w:ascii="Arial" w:eastAsia="Times New Roman" w:hAnsi="Arial" w:cs="Arial"/>
          <w:color w:val="000000"/>
        </w:rPr>
      </w:pPr>
      <w:proofErr w:type="gramStart"/>
      <w:r w:rsidRPr="0018387E">
        <w:rPr>
          <w:rFonts w:ascii="Arial" w:eastAsia="Times New Roman" w:hAnsi="Arial" w:cs="Arial"/>
          <w:color w:val="000000"/>
          <w:vertAlign w:val="superscript"/>
        </w:rPr>
        <w:lastRenderedPageBreak/>
        <w:t>c</w:t>
      </w:r>
      <w:proofErr w:type="gramEnd"/>
      <w:r w:rsidRPr="0018387E">
        <w:rPr>
          <w:rFonts w:ascii="Arial" w:eastAsia="Times New Roman" w:hAnsi="Arial" w:cs="Arial"/>
          <w:color w:val="000000"/>
        </w:rPr>
        <w:t xml:space="preserve"> body mass of </w:t>
      </w:r>
      <w:r w:rsidRPr="0018387E">
        <w:rPr>
          <w:rFonts w:ascii="Arial" w:eastAsia="Times New Roman" w:hAnsi="Arial" w:cs="Arial"/>
          <w:i/>
          <w:color w:val="000000"/>
        </w:rPr>
        <w:t xml:space="preserve">H. erectus </w:t>
      </w:r>
      <w:proofErr w:type="spellStart"/>
      <w:r w:rsidRPr="0018387E">
        <w:rPr>
          <w:rFonts w:ascii="Arial" w:eastAsia="Times New Roman" w:hAnsi="Arial" w:cs="Arial"/>
          <w:i/>
          <w:color w:val="000000"/>
        </w:rPr>
        <w:t>soloensis</w:t>
      </w:r>
      <w:proofErr w:type="spellEnd"/>
      <w:r w:rsidRPr="0018387E">
        <w:rPr>
          <w:rFonts w:ascii="Arial" w:eastAsia="Times New Roman" w:hAnsi="Arial" w:cs="Arial"/>
          <w:color w:val="000000"/>
        </w:rPr>
        <w:t xml:space="preserve"> estimated from </w:t>
      </w:r>
      <w:proofErr w:type="spellStart"/>
      <w:r w:rsidRPr="0018387E">
        <w:rPr>
          <w:rFonts w:ascii="Arial" w:eastAsia="Times New Roman" w:hAnsi="Arial" w:cs="Arial"/>
          <w:color w:val="000000"/>
        </w:rPr>
        <w:t>Sangiran</w:t>
      </w:r>
      <w:proofErr w:type="spellEnd"/>
      <w:r w:rsidRPr="0018387E">
        <w:rPr>
          <w:rFonts w:ascii="Arial" w:eastAsia="Times New Roman" w:hAnsi="Arial" w:cs="Arial"/>
          <w:color w:val="000000"/>
        </w:rPr>
        <w:t xml:space="preserve"> 17 (due to lack of published data), which shares a common endocrinal volume, geographical habitation and age.  </w:t>
      </w:r>
    </w:p>
    <w:p w:rsidR="00792AC1" w:rsidRPr="0018387E" w:rsidRDefault="00792AC1" w:rsidP="00792AC1">
      <w:pPr>
        <w:spacing w:line="480" w:lineRule="auto"/>
        <w:rPr>
          <w:rFonts w:ascii="Arial" w:eastAsia="Times New Roman" w:hAnsi="Arial" w:cs="Arial"/>
          <w:color w:val="000000"/>
        </w:rPr>
      </w:pPr>
      <w:r w:rsidRPr="0018387E">
        <w:rPr>
          <w:rFonts w:ascii="Arial" w:eastAsia="Times New Roman" w:hAnsi="Arial" w:cs="Arial"/>
          <w:color w:val="000000"/>
          <w:vertAlign w:val="superscript"/>
        </w:rPr>
        <w:t>d</w:t>
      </w:r>
      <w:r w:rsidRPr="0018387E">
        <w:rPr>
          <w:rFonts w:ascii="Arial" w:eastAsia="Times New Roman" w:hAnsi="Arial" w:cs="Arial"/>
          <w:color w:val="000000"/>
        </w:rPr>
        <w:t xml:space="preserve"> body mass estimated from known body mass of KNM – WT 15000, which shared common age and geographical habitation, although it is noted that </w:t>
      </w:r>
      <w:r w:rsidRPr="0018387E">
        <w:rPr>
          <w:rFonts w:ascii="Arial" w:hAnsi="Arial" w:cs="Arial"/>
          <w:color w:val="000000"/>
        </w:rPr>
        <w:t xml:space="preserve">KNM ER 42700 </w:t>
      </w:r>
      <w:r w:rsidRPr="0018387E">
        <w:rPr>
          <w:rFonts w:ascii="Arial" w:hAnsi="Arial" w:cs="Arial"/>
        </w:rPr>
        <w:t>(</w:t>
      </w:r>
      <w:proofErr w:type="spellStart"/>
      <w:r w:rsidRPr="0018387E">
        <w:rPr>
          <w:rFonts w:ascii="Arial" w:hAnsi="Arial" w:cs="Arial"/>
        </w:rPr>
        <w:t>IIIeret</w:t>
      </w:r>
      <w:proofErr w:type="spellEnd"/>
      <w:r w:rsidRPr="0018387E">
        <w:rPr>
          <w:rFonts w:ascii="Arial" w:hAnsi="Arial" w:cs="Arial"/>
        </w:rPr>
        <w:t xml:space="preserve">) does have significantly smaller endocrinal volume in comparison to mean endocrinal volume for </w:t>
      </w:r>
      <w:r w:rsidRPr="0018387E">
        <w:rPr>
          <w:rFonts w:ascii="Arial" w:hAnsi="Arial" w:cs="Arial"/>
          <w:i/>
        </w:rPr>
        <w:t>H. erectus</w:t>
      </w:r>
      <w:r w:rsidRPr="0018387E">
        <w:rPr>
          <w:rFonts w:ascii="Arial" w:hAnsi="Arial" w:cs="Arial"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iCs/>
          <w:noProof/>
        </w:rPr>
      </w:pPr>
      <w:proofErr w:type="gramStart"/>
      <w:r w:rsidRPr="0018387E">
        <w:rPr>
          <w:rFonts w:ascii="Arial" w:hAnsi="Arial" w:cs="Arial"/>
          <w:vertAlign w:val="superscript"/>
        </w:rPr>
        <w:t>f</w:t>
      </w:r>
      <w:proofErr w:type="gramEnd"/>
      <w:r w:rsidRPr="0018387E">
        <w:rPr>
          <w:rFonts w:ascii="Arial" w:hAnsi="Arial" w:cs="Arial"/>
        </w:rPr>
        <w:t xml:space="preserve"> lower estimated endocrinal volume used owing to </w:t>
      </w:r>
      <w:proofErr w:type="spellStart"/>
      <w:r w:rsidRPr="0018387E">
        <w:rPr>
          <w:rFonts w:ascii="Arial" w:hAnsi="Arial" w:cs="Arial"/>
        </w:rPr>
        <w:t>subadult</w:t>
      </w:r>
      <w:proofErr w:type="spellEnd"/>
      <w:r w:rsidRPr="0018387E">
        <w:rPr>
          <w:rFonts w:ascii="Arial" w:hAnsi="Arial" w:cs="Arial"/>
        </w:rPr>
        <w:t xml:space="preserve"> developmental stage of </w:t>
      </w:r>
      <w:proofErr w:type="spellStart"/>
      <w:r w:rsidRPr="0018387E">
        <w:rPr>
          <w:rFonts w:ascii="Arial" w:hAnsi="Arial" w:cs="Arial"/>
        </w:rPr>
        <w:t>Dmanisi</w:t>
      </w:r>
      <w:proofErr w:type="spellEnd"/>
      <w:r w:rsidRPr="0018387E">
        <w:rPr>
          <w:rFonts w:ascii="Arial" w:hAnsi="Arial" w:cs="Arial"/>
        </w:rPr>
        <w:t xml:space="preserve"> D2700 as recommended by </w:t>
      </w:r>
      <w:hyperlink w:anchor="_ENREF_5" w:tooltip="Lordkipanidze, 2007 #379" w:history="1">
        <w:r w:rsidRPr="0018387E">
          <w:rPr>
            <w:rFonts w:ascii="Arial" w:hAnsi="Arial" w:cs="Arial"/>
            <w:iCs/>
            <w:noProof/>
          </w:rPr>
          <w:t>Lordkipanidze</w:t>
        </w:r>
        <w:r w:rsidRPr="0018387E">
          <w:rPr>
            <w:rFonts w:ascii="Arial" w:hAnsi="Arial" w:cs="Arial"/>
            <w:i/>
            <w:iCs/>
            <w:noProof/>
          </w:rPr>
          <w:t xml:space="preserve"> et al.</w:t>
        </w:r>
        <w:r w:rsidRPr="0018387E">
          <w:rPr>
            <w:rFonts w:ascii="Arial" w:hAnsi="Arial" w:cs="Arial"/>
            <w:iCs/>
            <w:noProof/>
          </w:rPr>
          <w:t xml:space="preserve"> (2007</w:t>
        </w:r>
      </w:hyperlink>
      <w:r w:rsidRPr="0018387E">
        <w:rPr>
          <w:rFonts w:ascii="Arial" w:hAnsi="Arial" w:cs="Arial"/>
          <w:iCs/>
          <w:noProof/>
        </w:rPr>
        <w:t>).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iCs/>
          <w:noProof/>
        </w:rPr>
      </w:pPr>
      <w:r w:rsidRPr="0018387E">
        <w:rPr>
          <w:rFonts w:ascii="Arial" w:hAnsi="Arial" w:cs="Arial"/>
          <w:iCs/>
          <w:noProof/>
          <w:vertAlign w:val="superscript"/>
        </w:rPr>
        <w:t>g</w:t>
      </w:r>
      <w:r w:rsidRPr="0018387E">
        <w:rPr>
          <w:rFonts w:ascii="Arial" w:hAnsi="Arial" w:cs="Arial"/>
          <w:iCs/>
          <w:noProof/>
        </w:rPr>
        <w:t xml:space="preserve"> speciation determined from Kuman and Clarke </w:t>
      </w:r>
      <w:r w:rsidRPr="0018387E">
        <w:rPr>
          <w:rFonts w:ascii="Arial" w:hAnsi="Arial" w:cs="Arial"/>
          <w:iCs/>
          <w:noProof/>
          <w:vertAlign w:val="superscript"/>
        </w:rPr>
        <w:t>12</w:t>
      </w:r>
      <w:r w:rsidRPr="0018387E">
        <w:rPr>
          <w:rFonts w:ascii="Arial" w:hAnsi="Arial" w:cs="Arial"/>
          <w:iCs/>
          <w:noProof/>
        </w:rPr>
        <w:t xml:space="preserve"> and Clarke </w:t>
      </w:r>
      <w:r w:rsidRPr="0018387E">
        <w:rPr>
          <w:rFonts w:ascii="Arial" w:hAnsi="Arial" w:cs="Arial"/>
          <w:iCs/>
          <w:noProof/>
          <w:vertAlign w:val="superscript"/>
        </w:rPr>
        <w:t>13</w:t>
      </w:r>
      <w:r w:rsidRPr="0018387E">
        <w:rPr>
          <w:rFonts w:ascii="Arial" w:hAnsi="Arial" w:cs="Arial"/>
          <w:iCs/>
          <w:noProof/>
        </w:rPr>
        <w:t>.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iCs/>
          <w:noProof/>
        </w:rPr>
      </w:pPr>
      <w:r w:rsidRPr="0018387E">
        <w:rPr>
          <w:rFonts w:ascii="Arial" w:hAnsi="Arial" w:cs="Arial"/>
          <w:iCs/>
          <w:noProof/>
          <w:vertAlign w:val="superscript"/>
        </w:rPr>
        <w:t>h</w:t>
      </w:r>
      <w:r w:rsidRPr="0018387E">
        <w:rPr>
          <w:rFonts w:ascii="Arial" w:hAnsi="Arial" w:cs="Arial"/>
          <w:iCs/>
          <w:noProof/>
        </w:rPr>
        <w:t xml:space="preserve"> temporal bone specimen speciated from Braga, et al. </w:t>
      </w:r>
      <w:r w:rsidRPr="0018387E">
        <w:rPr>
          <w:rFonts w:ascii="Arial" w:hAnsi="Arial" w:cs="Arial"/>
          <w:iCs/>
          <w:noProof/>
          <w:vertAlign w:val="superscript"/>
        </w:rPr>
        <w:t>14</w:t>
      </w:r>
      <w:r w:rsidRPr="0018387E">
        <w:rPr>
          <w:rFonts w:ascii="Arial" w:hAnsi="Arial" w:cs="Arial"/>
          <w:iCs/>
          <w:noProof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iCs/>
          <w:noProof/>
        </w:rPr>
      </w:pPr>
      <w:r w:rsidRPr="0018387E">
        <w:rPr>
          <w:rFonts w:ascii="Arial" w:hAnsi="Arial" w:cs="Arial"/>
          <w:iCs/>
          <w:noProof/>
          <w:vertAlign w:val="superscript"/>
        </w:rPr>
        <w:t>I</w:t>
      </w:r>
      <w:r w:rsidRPr="0018387E">
        <w:rPr>
          <w:rFonts w:ascii="Arial" w:hAnsi="Arial" w:cs="Arial"/>
          <w:iCs/>
          <w:noProof/>
        </w:rPr>
        <w:t xml:space="preserve"> body mass of </w:t>
      </w:r>
      <w:r w:rsidRPr="0018387E">
        <w:rPr>
          <w:rFonts w:ascii="Arial" w:hAnsi="Arial" w:cs="Arial"/>
          <w:i/>
          <w:iCs/>
          <w:noProof/>
        </w:rPr>
        <w:t>A. afarensis</w:t>
      </w:r>
      <w:r w:rsidRPr="0018387E">
        <w:rPr>
          <w:rFonts w:ascii="Arial" w:hAnsi="Arial" w:cs="Arial"/>
          <w:iCs/>
          <w:noProof/>
        </w:rPr>
        <w:t xml:space="preserve"> derived from body mass estimate of </w:t>
      </w:r>
      <w:r w:rsidRPr="0018387E">
        <w:rPr>
          <w:rFonts w:ascii="Arial" w:hAnsi="Arial" w:cs="Arial"/>
          <w:i/>
          <w:iCs/>
          <w:noProof/>
        </w:rPr>
        <w:t>A. africanus</w:t>
      </w:r>
      <w:r w:rsidRPr="0018387E">
        <w:rPr>
          <w:rFonts w:ascii="Arial" w:hAnsi="Arial" w:cs="Arial"/>
          <w:iCs/>
          <w:noProof/>
        </w:rPr>
        <w:t xml:space="preserve">, as Jungers </w:t>
      </w:r>
      <w:r w:rsidRPr="0018387E">
        <w:rPr>
          <w:rFonts w:ascii="Arial" w:hAnsi="Arial" w:cs="Arial"/>
          <w:iCs/>
          <w:noProof/>
          <w:vertAlign w:val="superscript"/>
        </w:rPr>
        <w:t>15</w:t>
      </w:r>
      <w:r w:rsidRPr="0018387E">
        <w:rPr>
          <w:rFonts w:ascii="Arial" w:hAnsi="Arial" w:cs="Arial"/>
          <w:iCs/>
          <w:noProof/>
        </w:rPr>
        <w:t xml:space="preserve"> states mininal differences in body size between </w:t>
      </w:r>
      <w:r w:rsidRPr="0018387E">
        <w:rPr>
          <w:rFonts w:ascii="Arial" w:hAnsi="Arial" w:cs="Arial"/>
          <w:i/>
          <w:iCs/>
          <w:noProof/>
        </w:rPr>
        <w:t>Australopithecus</w:t>
      </w:r>
      <w:r w:rsidRPr="0018387E">
        <w:rPr>
          <w:rFonts w:ascii="Arial" w:hAnsi="Arial" w:cs="Arial"/>
          <w:iCs/>
          <w:noProof/>
        </w:rPr>
        <w:t xml:space="preserve"> taxa.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b/>
          <w:iCs/>
          <w:noProof/>
        </w:rPr>
      </w:pPr>
      <w:r w:rsidRPr="0018387E">
        <w:rPr>
          <w:rFonts w:ascii="Arial" w:hAnsi="Arial" w:cs="Arial"/>
          <w:iCs/>
          <w:noProof/>
          <w:vertAlign w:val="superscript"/>
        </w:rPr>
        <w:t xml:space="preserve">A </w:t>
      </w:r>
      <w:r w:rsidRPr="0018387E">
        <w:rPr>
          <w:rFonts w:ascii="Arial" w:hAnsi="Arial" w:cs="Arial"/>
          <w:iCs/>
          <w:noProof/>
        </w:rPr>
        <w:t xml:space="preserve">specimen age determined from </w:t>
      </w:r>
      <w:hyperlink w:anchor="_ENREF_3" w:tooltip="Schoenemann, 2013 #372" w:history="1">
        <w:r w:rsidRPr="0018387E">
          <w:rPr>
            <w:rFonts w:ascii="Arial" w:hAnsi="Arial" w:cs="Arial"/>
            <w:noProof/>
          </w:rPr>
          <w:t xml:space="preserve">Schoenemann and Begun </w:t>
        </w:r>
        <w:r w:rsidRPr="0018387E">
          <w:rPr>
            <w:rFonts w:ascii="Arial" w:hAnsi="Arial" w:cs="Arial"/>
            <w:noProof/>
            <w:vertAlign w:val="superscript"/>
          </w:rPr>
          <w:t>3</w:t>
        </w:r>
        <w:r w:rsidRPr="0018387E">
          <w:rPr>
            <w:rFonts w:ascii="Arial" w:hAnsi="Arial" w:cs="Arial"/>
            <w:noProof/>
          </w:rPr>
          <w:t xml:space="preserve"> </w:t>
        </w:r>
      </w:hyperlink>
      <w:r w:rsidRPr="0018387E">
        <w:rPr>
          <w:rFonts w:ascii="Arial" w:hAnsi="Arial" w:cs="Arial"/>
          <w:noProof/>
        </w:rPr>
        <w:t>.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</w:rPr>
      </w:pPr>
      <w:r w:rsidRPr="0018387E">
        <w:rPr>
          <w:rFonts w:ascii="Arial" w:hAnsi="Arial" w:cs="Arial"/>
          <w:vertAlign w:val="superscript"/>
        </w:rPr>
        <w:t>B</w:t>
      </w:r>
      <w:r w:rsidRPr="0018387E">
        <w:rPr>
          <w:rFonts w:ascii="Arial" w:hAnsi="Arial" w:cs="Arial"/>
        </w:rPr>
        <w:t xml:space="preserve"> specimen collection from </w:t>
      </w:r>
      <w:proofErr w:type="spellStart"/>
      <w:r w:rsidRPr="0018387E">
        <w:rPr>
          <w:rFonts w:ascii="Arial" w:hAnsi="Arial" w:cs="Arial"/>
        </w:rPr>
        <w:t>Sterkfontein</w:t>
      </w:r>
      <w:proofErr w:type="spellEnd"/>
      <w:r w:rsidRPr="0018387E">
        <w:rPr>
          <w:rFonts w:ascii="Arial" w:hAnsi="Arial" w:cs="Arial"/>
        </w:rPr>
        <w:t xml:space="preserve"> Member 4 </w:t>
      </w:r>
      <w:r w:rsidRPr="0018387E">
        <w:rPr>
          <w:rFonts w:ascii="Arial" w:hAnsi="Arial" w:cs="Arial"/>
          <w:noProof/>
          <w:vertAlign w:val="superscript"/>
        </w:rPr>
        <w:t>16</w:t>
      </w:r>
      <w:r w:rsidRPr="0018387E">
        <w:rPr>
          <w:rFonts w:ascii="Arial" w:hAnsi="Arial" w:cs="Arial"/>
        </w:rPr>
        <w:t xml:space="preserve">, and age of specimens identified from </w:t>
      </w:r>
      <w:r w:rsidRPr="0018387E">
        <w:rPr>
          <w:rFonts w:ascii="Arial" w:hAnsi="Arial" w:cs="Arial"/>
          <w:noProof/>
        </w:rPr>
        <w:t xml:space="preserve">McKee, et al. </w:t>
      </w:r>
      <w:r w:rsidRPr="0018387E">
        <w:rPr>
          <w:rFonts w:ascii="Arial" w:hAnsi="Arial" w:cs="Arial"/>
          <w:noProof/>
          <w:vertAlign w:val="superscript"/>
        </w:rPr>
        <w:t>17</w:t>
      </w:r>
      <w:r w:rsidRPr="0018387E">
        <w:rPr>
          <w:rFonts w:ascii="Arial" w:hAnsi="Arial" w:cs="Arial"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</w:rPr>
      </w:pPr>
      <w:r w:rsidRPr="0018387E">
        <w:rPr>
          <w:rFonts w:ascii="Arial" w:hAnsi="Arial" w:cs="Arial"/>
          <w:vertAlign w:val="superscript"/>
        </w:rPr>
        <w:t xml:space="preserve">C </w:t>
      </w:r>
      <w:r w:rsidRPr="0018387E">
        <w:rPr>
          <w:rFonts w:ascii="Arial" w:hAnsi="Arial" w:cs="Arial"/>
        </w:rPr>
        <w:t xml:space="preserve">specimen age approximated from </w:t>
      </w:r>
      <w:r w:rsidRPr="0018387E">
        <w:rPr>
          <w:rFonts w:ascii="Arial" w:hAnsi="Arial" w:cs="Arial"/>
          <w:noProof/>
        </w:rPr>
        <w:t xml:space="preserve">Berger </w:t>
      </w:r>
      <w:r w:rsidRPr="0018387E">
        <w:rPr>
          <w:rFonts w:ascii="Arial" w:hAnsi="Arial" w:cs="Arial"/>
          <w:i/>
          <w:noProof/>
        </w:rPr>
        <w:t>et al</w:t>
      </w:r>
      <w:r w:rsidRPr="0018387E">
        <w:rPr>
          <w:rFonts w:ascii="Arial" w:hAnsi="Arial" w:cs="Arial"/>
          <w:noProof/>
        </w:rPr>
        <w:t xml:space="preserve"> </w:t>
      </w:r>
      <w:r w:rsidRPr="0018387E">
        <w:rPr>
          <w:rFonts w:ascii="Arial" w:hAnsi="Arial" w:cs="Arial"/>
          <w:noProof/>
          <w:vertAlign w:val="superscript"/>
        </w:rPr>
        <w:t>10</w:t>
      </w:r>
      <w:r w:rsidRPr="0018387E">
        <w:rPr>
          <w:rFonts w:ascii="Arial" w:hAnsi="Arial" w:cs="Arial"/>
          <w:noProof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</w:rPr>
      </w:pPr>
      <w:r w:rsidRPr="0018387E">
        <w:rPr>
          <w:rFonts w:ascii="Arial" w:hAnsi="Arial" w:cs="Arial"/>
          <w:noProof/>
          <w:vertAlign w:val="superscript"/>
        </w:rPr>
        <w:t>D “</w:t>
      </w:r>
      <w:r w:rsidRPr="0018387E">
        <w:rPr>
          <w:rFonts w:ascii="Arial" w:hAnsi="Arial" w:cs="Arial"/>
          <w:noProof/>
        </w:rPr>
        <w:t xml:space="preserve">Bushman – oids” specimens of Mumbwa strata IV aged according to Protsch </w:t>
      </w:r>
      <w:r w:rsidRPr="0018387E">
        <w:rPr>
          <w:rFonts w:ascii="Arial" w:hAnsi="Arial" w:cs="Arial"/>
          <w:noProof/>
          <w:vertAlign w:val="superscript"/>
        </w:rPr>
        <w:t>18</w:t>
      </w:r>
      <w:r w:rsidRPr="0018387E">
        <w:rPr>
          <w:rFonts w:ascii="Arial" w:hAnsi="Arial" w:cs="Arial"/>
          <w:noProof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  <w:color w:val="000000"/>
        </w:rPr>
      </w:pPr>
      <w:proofErr w:type="gramStart"/>
      <w:r w:rsidRPr="0018387E">
        <w:rPr>
          <w:rFonts w:ascii="Arial" w:hAnsi="Arial" w:cs="Arial"/>
          <w:noProof/>
          <w:vertAlign w:val="superscript"/>
        </w:rPr>
        <w:t>E</w:t>
      </w:r>
      <w:r w:rsidRPr="0018387E">
        <w:rPr>
          <w:rFonts w:ascii="Arial" w:hAnsi="Arial" w:cs="Arial"/>
          <w:noProof/>
        </w:rPr>
        <w:t xml:space="preserve"> specimen age according to </w:t>
      </w:r>
      <w:hyperlink w:anchor="_ENREF_12" w:tooltip="Mercier, 1993 #385" w:history="1">
        <w:r w:rsidRPr="0018387E">
          <w:rPr>
            <w:rFonts w:ascii="Arial" w:hAnsi="Arial" w:cs="Arial"/>
            <w:noProof/>
            <w:color w:val="000000"/>
          </w:rPr>
          <w:t>Mercier</w:t>
        </w:r>
        <w:r w:rsidRPr="0018387E">
          <w:rPr>
            <w:rFonts w:ascii="Arial" w:hAnsi="Arial" w:cs="Arial"/>
            <w:i/>
            <w:noProof/>
            <w:color w:val="000000"/>
          </w:rPr>
          <w:t xml:space="preserve"> et al.</w:t>
        </w:r>
        <w:r w:rsidRPr="0018387E">
          <w:rPr>
            <w:rFonts w:ascii="Arial" w:hAnsi="Arial" w:cs="Arial"/>
            <w:noProof/>
            <w:color w:val="000000"/>
          </w:rPr>
          <w:t xml:space="preserve"> (1993</w:t>
        </w:r>
      </w:hyperlink>
      <w:r w:rsidRPr="0018387E">
        <w:rPr>
          <w:rFonts w:ascii="Arial" w:hAnsi="Arial" w:cs="Arial"/>
          <w:noProof/>
          <w:color w:val="000000"/>
        </w:rPr>
        <w:t>).</w:t>
      </w:r>
      <w:proofErr w:type="gramEnd"/>
      <w:r w:rsidRPr="0018387E">
        <w:rPr>
          <w:rFonts w:ascii="Arial" w:hAnsi="Arial" w:cs="Arial"/>
          <w:noProof/>
          <w:color w:val="000000"/>
        </w:rPr>
        <w:t xml:space="preserve">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  <w:color w:val="000000"/>
        </w:rPr>
      </w:pPr>
      <w:r w:rsidRPr="0018387E">
        <w:rPr>
          <w:rFonts w:ascii="Arial" w:hAnsi="Arial" w:cs="Arial"/>
          <w:noProof/>
          <w:color w:val="000000"/>
          <w:vertAlign w:val="superscript"/>
        </w:rPr>
        <w:t>F</w:t>
      </w:r>
      <w:r w:rsidRPr="0018387E">
        <w:rPr>
          <w:rFonts w:ascii="Arial" w:hAnsi="Arial" w:cs="Arial"/>
          <w:noProof/>
          <w:color w:val="000000"/>
        </w:rPr>
        <w:t xml:space="preserve"> specimen age according to Lahr </w:t>
      </w:r>
      <w:r w:rsidRPr="0018387E">
        <w:rPr>
          <w:rFonts w:ascii="Arial" w:hAnsi="Arial" w:cs="Arial"/>
          <w:noProof/>
          <w:color w:val="000000"/>
          <w:vertAlign w:val="superscript"/>
        </w:rPr>
        <w:t>19</w:t>
      </w:r>
      <w:r w:rsidRPr="0018387E">
        <w:rPr>
          <w:rFonts w:ascii="Arial" w:hAnsi="Arial" w:cs="Arial"/>
          <w:noProof/>
          <w:color w:val="000000"/>
        </w:rPr>
        <w:t xml:space="preserve">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  <w:color w:val="000000"/>
        </w:rPr>
      </w:pPr>
      <w:r w:rsidRPr="0018387E">
        <w:rPr>
          <w:rFonts w:ascii="Arial" w:hAnsi="Arial" w:cs="Arial"/>
          <w:noProof/>
          <w:color w:val="000000"/>
          <w:vertAlign w:val="superscript"/>
        </w:rPr>
        <w:t xml:space="preserve">G </w:t>
      </w:r>
      <w:r w:rsidRPr="0018387E">
        <w:rPr>
          <w:rFonts w:ascii="Arial" w:hAnsi="Arial" w:cs="Arial"/>
          <w:noProof/>
          <w:color w:val="000000"/>
        </w:rPr>
        <w:t xml:space="preserve">mean species age according to Trinkaus </w:t>
      </w:r>
      <w:r w:rsidRPr="0018387E">
        <w:rPr>
          <w:rFonts w:ascii="Arial" w:hAnsi="Arial" w:cs="Arial"/>
          <w:noProof/>
          <w:color w:val="000000"/>
          <w:vertAlign w:val="superscript"/>
        </w:rPr>
        <w:t>20</w:t>
      </w:r>
      <w:r w:rsidRPr="0018387E">
        <w:rPr>
          <w:rFonts w:ascii="Arial" w:hAnsi="Arial" w:cs="Arial"/>
          <w:noProof/>
          <w:color w:val="000000"/>
        </w:rPr>
        <w:t xml:space="preserve">. </w:t>
      </w:r>
    </w:p>
    <w:p w:rsidR="00792AC1" w:rsidRDefault="00792AC1" w:rsidP="00792AC1">
      <w:pPr>
        <w:spacing w:line="480" w:lineRule="auto"/>
        <w:rPr>
          <w:rFonts w:ascii="Arial" w:hAnsi="Arial" w:cs="Arial"/>
          <w:noProof/>
          <w:color w:val="000000"/>
        </w:rPr>
      </w:pPr>
      <w:r w:rsidRPr="0018387E">
        <w:rPr>
          <w:rFonts w:ascii="Arial" w:hAnsi="Arial" w:cs="Arial"/>
          <w:noProof/>
          <w:color w:val="000000"/>
          <w:vertAlign w:val="superscript"/>
        </w:rPr>
        <w:t>#</w:t>
      </w:r>
      <w:r w:rsidRPr="0018387E">
        <w:rPr>
          <w:rFonts w:ascii="Arial" w:hAnsi="Arial" w:cs="Arial"/>
          <w:noProof/>
          <w:color w:val="000000"/>
        </w:rPr>
        <w:t xml:space="preserve"> cast number from the South Australian Museum. </w:t>
      </w:r>
    </w:p>
    <w:p w:rsidR="00792AC1" w:rsidRPr="0018387E" w:rsidRDefault="00792AC1" w:rsidP="00792AC1">
      <w:pPr>
        <w:spacing w:line="480" w:lineRule="auto"/>
        <w:rPr>
          <w:rFonts w:ascii="Arial" w:hAnsi="Arial" w:cs="Arial"/>
          <w:noProof/>
        </w:rPr>
      </w:pPr>
    </w:p>
    <w:p w:rsidR="00792AC1" w:rsidRPr="009F6363" w:rsidRDefault="00792AC1" w:rsidP="00792AC1">
      <w:pPr>
        <w:spacing w:line="480" w:lineRule="auto"/>
        <w:rPr>
          <w:sz w:val="24"/>
          <w:szCs w:val="24"/>
        </w:rPr>
      </w:pPr>
      <w:r w:rsidRPr="009F6363">
        <w:rPr>
          <w:b/>
          <w:noProof/>
          <w:sz w:val="24"/>
          <w:szCs w:val="24"/>
        </w:rPr>
        <w:t>Supplementary References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</w:t>
      </w:r>
      <w:r w:rsidRPr="00FC0B68">
        <w:rPr>
          <w:rFonts w:ascii="Calibri" w:hAnsi="Calibri" w:cs="Calibri"/>
          <w:noProof/>
        </w:rPr>
        <w:tab/>
        <w:t xml:space="preserve">Aiello, L. C. Five years of </w:t>
      </w:r>
      <w:r w:rsidRPr="00FC0B68">
        <w:rPr>
          <w:rFonts w:ascii="Calibri" w:hAnsi="Calibri" w:cs="Calibri"/>
          <w:i/>
          <w:noProof/>
        </w:rPr>
        <w:t>Homo floresiensis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142</w:t>
      </w:r>
      <w:r w:rsidRPr="00FC0B68">
        <w:rPr>
          <w:rFonts w:ascii="Calibri" w:hAnsi="Calibri" w:cs="Calibri"/>
          <w:noProof/>
        </w:rPr>
        <w:t>, 167-179 (2010).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2</w:t>
      </w:r>
      <w:r w:rsidRPr="00FC0B68">
        <w:rPr>
          <w:rFonts w:ascii="Calibri" w:hAnsi="Calibri" w:cs="Calibri"/>
          <w:noProof/>
        </w:rPr>
        <w:tab/>
        <w:t>Falk, D.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Brain shape in human microcephalics and </w:t>
      </w:r>
      <w:r w:rsidRPr="00FC0B68">
        <w:rPr>
          <w:rFonts w:ascii="Calibri" w:hAnsi="Calibri" w:cs="Calibri"/>
          <w:i/>
          <w:noProof/>
        </w:rPr>
        <w:t>Homo floresiensis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Proc. Natl. Acad. Sci. U. S. A.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104</w:t>
      </w:r>
      <w:r w:rsidRPr="00FC0B68">
        <w:rPr>
          <w:rFonts w:ascii="Calibri" w:hAnsi="Calibri" w:cs="Calibri"/>
          <w:noProof/>
        </w:rPr>
        <w:t>, 2513-2518 (2007).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3</w:t>
      </w:r>
      <w:r w:rsidRPr="00FC0B68">
        <w:rPr>
          <w:rFonts w:ascii="Calibri" w:hAnsi="Calibri" w:cs="Calibri"/>
          <w:noProof/>
        </w:rPr>
        <w:tab/>
        <w:t xml:space="preserve">Schoenemann, P. T. &amp; Begun, D. in </w:t>
      </w:r>
      <w:r w:rsidRPr="00FC0B68">
        <w:rPr>
          <w:rFonts w:ascii="Calibri" w:hAnsi="Calibri" w:cs="Calibri"/>
          <w:i/>
          <w:noProof/>
        </w:rPr>
        <w:t>A Companion to Paleoanthropology</w:t>
      </w:r>
      <w:r w:rsidRPr="00FC0B68">
        <w:rPr>
          <w:rFonts w:ascii="Calibri" w:hAnsi="Calibri" w:cs="Calibri"/>
          <w:noProof/>
        </w:rPr>
        <w:t xml:space="preserve">     136-164 (Blackwell Publishing Ltd., 2013).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4</w:t>
      </w:r>
      <w:r w:rsidRPr="00FC0B68">
        <w:rPr>
          <w:rFonts w:ascii="Calibri" w:hAnsi="Calibri" w:cs="Calibri"/>
          <w:noProof/>
        </w:rPr>
        <w:tab/>
        <w:t xml:space="preserve">Kappelman, J. The evolution of body mass and relative brain size in fossil hominids.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30</w:t>
      </w:r>
      <w:r w:rsidRPr="00FC0B68">
        <w:rPr>
          <w:rFonts w:ascii="Calibri" w:hAnsi="Calibri" w:cs="Calibri"/>
          <w:noProof/>
        </w:rPr>
        <w:t>, 243-276 (1996).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5</w:t>
      </w:r>
      <w:r w:rsidRPr="00FC0B68">
        <w:rPr>
          <w:rFonts w:ascii="Calibri" w:hAnsi="Calibri" w:cs="Calibri"/>
          <w:noProof/>
        </w:rPr>
        <w:tab/>
        <w:t xml:space="preserve">Neubauer, F. A brief overview of the last 10 years of major late pleistocene discoveries in the Old World: </w:t>
      </w:r>
      <w:r w:rsidRPr="00FC0B68">
        <w:rPr>
          <w:rFonts w:ascii="Calibri" w:hAnsi="Calibri" w:cs="Calibri"/>
          <w:i/>
          <w:noProof/>
        </w:rPr>
        <w:t>Homo floresiensis</w:t>
      </w:r>
      <w:r w:rsidRPr="00FC0B68">
        <w:rPr>
          <w:rFonts w:ascii="Calibri" w:hAnsi="Calibri" w:cs="Calibri"/>
          <w:noProof/>
        </w:rPr>
        <w:t xml:space="preserve">, neanderthal, and denisovan. </w:t>
      </w:r>
      <w:r w:rsidRPr="00FC0B68">
        <w:rPr>
          <w:rFonts w:ascii="Calibri" w:hAnsi="Calibri" w:cs="Calibri"/>
          <w:i/>
          <w:noProof/>
        </w:rPr>
        <w:t>Journal of Anthropology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2014</w:t>
      </w:r>
      <w:r w:rsidRPr="00FC0B68">
        <w:rPr>
          <w:rFonts w:ascii="Calibri" w:hAnsi="Calibri" w:cs="Calibri"/>
          <w:noProof/>
        </w:rPr>
        <w:t>, 7 (2014).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6</w:t>
      </w:r>
      <w:r w:rsidRPr="00FC0B68">
        <w:rPr>
          <w:rFonts w:ascii="Calibri" w:hAnsi="Calibri" w:cs="Calibri"/>
          <w:noProof/>
        </w:rPr>
        <w:tab/>
        <w:t xml:space="preserve">Pearson, O. M., Royer, D. F., Grine, F. E. &amp; Fleagle, J. G. A description of the Omo I postcranial skeleton, including newly discovered fossils.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55</w:t>
      </w:r>
      <w:r w:rsidRPr="00FC0B68">
        <w:rPr>
          <w:rFonts w:ascii="Calibri" w:hAnsi="Calibri" w:cs="Calibri"/>
          <w:noProof/>
        </w:rPr>
        <w:t>, 421-437 (2008).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7</w:t>
      </w:r>
      <w:r w:rsidRPr="00FC0B68">
        <w:rPr>
          <w:rFonts w:ascii="Calibri" w:hAnsi="Calibri" w:cs="Calibri"/>
          <w:noProof/>
        </w:rPr>
        <w:tab/>
        <w:t>Lordkipanidze, D.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Postcranial evidence from early </w:t>
      </w:r>
      <w:r w:rsidRPr="00FC0B68">
        <w:rPr>
          <w:rFonts w:ascii="Calibri" w:hAnsi="Calibri" w:cs="Calibri"/>
          <w:i/>
          <w:noProof/>
        </w:rPr>
        <w:t>Homo</w:t>
      </w:r>
      <w:r w:rsidRPr="00FC0B68">
        <w:rPr>
          <w:rFonts w:ascii="Calibri" w:hAnsi="Calibri" w:cs="Calibri"/>
          <w:noProof/>
        </w:rPr>
        <w:t xml:space="preserve"> from Dmanisi, Georgia. </w:t>
      </w:r>
      <w:r w:rsidRPr="00FC0B68">
        <w:rPr>
          <w:rFonts w:ascii="Calibri" w:hAnsi="Calibri" w:cs="Calibri"/>
          <w:i/>
          <w:noProof/>
        </w:rPr>
        <w:t>Nature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449</w:t>
      </w:r>
      <w:r w:rsidRPr="00FC0B68">
        <w:rPr>
          <w:rFonts w:ascii="Calibri" w:hAnsi="Calibri" w:cs="Calibri"/>
          <w:noProof/>
        </w:rPr>
        <w:t>, 305-310 (2007).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8</w:t>
      </w:r>
      <w:r w:rsidRPr="00FC0B68">
        <w:rPr>
          <w:rFonts w:ascii="Calibri" w:hAnsi="Calibri" w:cs="Calibri"/>
          <w:noProof/>
        </w:rPr>
        <w:tab/>
        <w:t xml:space="preserve">Holloway, R. L., Broadfield, D. C. &amp; Yuan, M. S. in </w:t>
      </w:r>
      <w:r w:rsidRPr="00FC0B68">
        <w:rPr>
          <w:rFonts w:ascii="Calibri" w:hAnsi="Calibri" w:cs="Calibri"/>
          <w:i/>
          <w:noProof/>
        </w:rPr>
        <w:t>The Human Fossil Record</w:t>
      </w:r>
      <w:r w:rsidRPr="00FC0B68">
        <w:rPr>
          <w:rFonts w:ascii="Calibri" w:hAnsi="Calibri" w:cs="Calibri"/>
          <w:noProof/>
        </w:rPr>
        <w:t xml:space="preserve">     295-301 (John Wiley &amp; Sons, Inc., 2005).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9</w:t>
      </w:r>
      <w:r w:rsidRPr="00FC0B68">
        <w:rPr>
          <w:rFonts w:ascii="Calibri" w:hAnsi="Calibri" w:cs="Calibri"/>
          <w:noProof/>
        </w:rPr>
        <w:tab/>
        <w:t xml:space="preserve">Herculano-Houzel, S. &amp; Kaas, J. H. Gorilla and orangutan brains conform to the primate cellular scaling rules: implications for human evolution. </w:t>
      </w:r>
      <w:r w:rsidRPr="00FC0B68">
        <w:rPr>
          <w:rFonts w:ascii="Calibri" w:hAnsi="Calibri" w:cs="Calibri"/>
          <w:i/>
          <w:noProof/>
        </w:rPr>
        <w:t>Brain, behavior and evolution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77</w:t>
      </w:r>
      <w:r w:rsidRPr="00FC0B68">
        <w:rPr>
          <w:rFonts w:ascii="Calibri" w:hAnsi="Calibri" w:cs="Calibri"/>
          <w:noProof/>
        </w:rPr>
        <w:t>, 33-44 (2011).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lastRenderedPageBreak/>
        <w:t>10</w:t>
      </w:r>
      <w:r w:rsidRPr="00FC0B68">
        <w:rPr>
          <w:rFonts w:ascii="Calibri" w:hAnsi="Calibri" w:cs="Calibri"/>
          <w:noProof/>
        </w:rPr>
        <w:tab/>
        <w:t>Berger, L. R.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i/>
          <w:noProof/>
        </w:rPr>
        <w:t>Homo naledi</w:t>
      </w:r>
      <w:r w:rsidRPr="00FC0B68">
        <w:rPr>
          <w:rFonts w:ascii="Calibri" w:hAnsi="Calibri" w:cs="Calibri"/>
          <w:noProof/>
        </w:rPr>
        <w:t xml:space="preserve">, a new species of the genus </w:t>
      </w:r>
      <w:r w:rsidRPr="00FC0B68">
        <w:rPr>
          <w:rFonts w:ascii="Calibri" w:hAnsi="Calibri" w:cs="Calibri"/>
          <w:i/>
          <w:noProof/>
        </w:rPr>
        <w:t xml:space="preserve">Homo </w:t>
      </w:r>
      <w:r w:rsidRPr="00FC0B68">
        <w:rPr>
          <w:rFonts w:ascii="Calibri" w:hAnsi="Calibri" w:cs="Calibri"/>
          <w:noProof/>
        </w:rPr>
        <w:t xml:space="preserve">from the Dinaledi Chamber, South Africa. </w:t>
      </w:r>
      <w:r w:rsidRPr="00FC0B68">
        <w:rPr>
          <w:rFonts w:ascii="Calibri" w:hAnsi="Calibri" w:cs="Calibri"/>
          <w:i/>
          <w:noProof/>
        </w:rPr>
        <w:t>Elife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4</w:t>
      </w:r>
      <w:r w:rsidRPr="00FC0B68">
        <w:rPr>
          <w:rFonts w:ascii="Calibri" w:hAnsi="Calibri" w:cs="Calibri"/>
          <w:noProof/>
        </w:rPr>
        <w:t>, e09560 (2015).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11</w:t>
      </w:r>
      <w:r w:rsidRPr="00FC0B68">
        <w:rPr>
          <w:rFonts w:ascii="Calibri" w:hAnsi="Calibri" w:cs="Calibri"/>
          <w:noProof/>
        </w:rPr>
        <w:tab/>
        <w:t xml:space="preserve">Magori, C. C. &amp; Day, M. H. Laetoli Hominid 18: an early </w:t>
      </w:r>
      <w:r w:rsidRPr="00FC0B68">
        <w:rPr>
          <w:rFonts w:ascii="Calibri" w:hAnsi="Calibri" w:cs="Calibri"/>
          <w:i/>
          <w:noProof/>
        </w:rPr>
        <w:t>Homo sapiens</w:t>
      </w:r>
      <w:r w:rsidRPr="00FC0B68">
        <w:rPr>
          <w:rFonts w:ascii="Calibri" w:hAnsi="Calibri" w:cs="Calibri"/>
          <w:noProof/>
        </w:rPr>
        <w:t xml:space="preserve"> skull.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12</w:t>
      </w:r>
      <w:r w:rsidRPr="00FC0B68">
        <w:rPr>
          <w:rFonts w:ascii="Calibri" w:hAnsi="Calibri" w:cs="Calibri"/>
          <w:noProof/>
        </w:rPr>
        <w:t>, 747-753, doi:</w:t>
      </w:r>
      <w:r w:rsidRPr="00572705">
        <w:rPr>
          <w:rFonts w:ascii="Calibri" w:hAnsi="Calibri" w:cs="Calibri"/>
          <w:noProof/>
        </w:rPr>
        <w:t>http://dx.doi.org/10.1016/S0047-2484(83)80130-4</w:t>
      </w:r>
      <w:r w:rsidRPr="00FC0B68">
        <w:rPr>
          <w:rFonts w:ascii="Calibri" w:hAnsi="Calibri" w:cs="Calibri"/>
          <w:noProof/>
        </w:rPr>
        <w:t xml:space="preserve"> (1983).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12</w:t>
      </w:r>
      <w:r w:rsidRPr="00FC0B68">
        <w:rPr>
          <w:rFonts w:ascii="Calibri" w:hAnsi="Calibri" w:cs="Calibri"/>
          <w:noProof/>
        </w:rPr>
        <w:tab/>
        <w:t xml:space="preserve">Kuman, K. &amp; Clarke, R. J. Stratigraphy, artefact industries and hominid associations for Sterkfontein, Member 5.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38</w:t>
      </w:r>
      <w:r w:rsidRPr="00FC0B68">
        <w:rPr>
          <w:rFonts w:ascii="Calibri" w:hAnsi="Calibri" w:cs="Calibri"/>
          <w:noProof/>
        </w:rPr>
        <w:t>, 827-847 (2000).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13</w:t>
      </w:r>
      <w:r w:rsidRPr="00FC0B68">
        <w:rPr>
          <w:rFonts w:ascii="Calibri" w:hAnsi="Calibri" w:cs="Calibri"/>
          <w:noProof/>
        </w:rPr>
        <w:tab/>
        <w:t xml:space="preserve">Clarke, R. Latest information on Sterkfontein's </w:t>
      </w:r>
      <w:r w:rsidRPr="00FC0B68">
        <w:rPr>
          <w:rFonts w:ascii="Calibri" w:hAnsi="Calibri" w:cs="Calibri"/>
          <w:i/>
          <w:noProof/>
        </w:rPr>
        <w:t>Australopithecus</w:t>
      </w:r>
      <w:r w:rsidRPr="00FC0B68">
        <w:rPr>
          <w:rFonts w:ascii="Calibri" w:hAnsi="Calibri" w:cs="Calibri"/>
          <w:noProof/>
        </w:rPr>
        <w:t xml:space="preserve"> skeleton and a new look at </w:t>
      </w:r>
      <w:r w:rsidRPr="00FC0B68">
        <w:rPr>
          <w:rFonts w:ascii="Calibri" w:hAnsi="Calibri" w:cs="Calibri"/>
          <w:i/>
          <w:noProof/>
        </w:rPr>
        <w:t>Australopithecus</w:t>
      </w:r>
      <w:r w:rsidRPr="00FC0B68">
        <w:rPr>
          <w:rFonts w:ascii="Calibri" w:hAnsi="Calibri" w:cs="Calibri"/>
          <w:noProof/>
        </w:rPr>
        <w:t xml:space="preserve">. </w:t>
      </w:r>
      <w:r w:rsidRPr="00FC0B68">
        <w:rPr>
          <w:rFonts w:ascii="Calibri" w:hAnsi="Calibri" w:cs="Calibri"/>
          <w:i/>
          <w:noProof/>
        </w:rPr>
        <w:t>South African Journal of Science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104</w:t>
      </w:r>
      <w:r w:rsidRPr="00FC0B68">
        <w:rPr>
          <w:rFonts w:ascii="Calibri" w:hAnsi="Calibri" w:cs="Calibri"/>
          <w:noProof/>
        </w:rPr>
        <w:t>, 443-449 (2008).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14</w:t>
      </w:r>
      <w:r w:rsidRPr="00FC0B68">
        <w:rPr>
          <w:rFonts w:ascii="Calibri" w:hAnsi="Calibri" w:cs="Calibri"/>
          <w:noProof/>
        </w:rPr>
        <w:tab/>
        <w:t>Braga, J.</w:t>
      </w:r>
      <w:r w:rsidRPr="00FC0B68">
        <w:rPr>
          <w:rFonts w:ascii="Calibri" w:hAnsi="Calibri" w:cs="Calibri"/>
          <w:i/>
          <w:noProof/>
        </w:rPr>
        <w:t xml:space="preserve"> et al.</w:t>
      </w:r>
      <w:r w:rsidRPr="00FC0B68">
        <w:rPr>
          <w:rFonts w:ascii="Calibri" w:hAnsi="Calibri" w:cs="Calibri"/>
          <w:noProof/>
        </w:rPr>
        <w:t xml:space="preserve"> A new partial temporal bone of a juvenile hominin from the site of Kromdraai B (South Africa). </w:t>
      </w:r>
      <w:r w:rsidRPr="00FC0B68">
        <w:rPr>
          <w:rFonts w:ascii="Calibri" w:hAnsi="Calibri" w:cs="Calibri"/>
          <w:i/>
          <w:noProof/>
        </w:rPr>
        <w:t>J. Hum. Evol.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65</w:t>
      </w:r>
      <w:r w:rsidRPr="00FC0B68">
        <w:rPr>
          <w:rFonts w:ascii="Calibri" w:hAnsi="Calibri" w:cs="Calibri"/>
          <w:noProof/>
        </w:rPr>
        <w:t>, 447-456 (2013).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15</w:t>
      </w:r>
      <w:r w:rsidRPr="00FC0B68">
        <w:rPr>
          <w:rFonts w:ascii="Calibri" w:hAnsi="Calibri" w:cs="Calibri"/>
          <w:noProof/>
        </w:rPr>
        <w:tab/>
        <w:t xml:space="preserve">Jungers, W. L. New estimates of body size in australopithecines. </w:t>
      </w:r>
      <w:r w:rsidRPr="00FC0B68">
        <w:rPr>
          <w:rFonts w:ascii="Calibri" w:hAnsi="Calibri" w:cs="Calibri"/>
          <w:i/>
          <w:noProof/>
        </w:rPr>
        <w:t>Evolutionary history of the “robust” australopithecines</w:t>
      </w:r>
      <w:r w:rsidRPr="00FC0B68">
        <w:rPr>
          <w:rFonts w:ascii="Calibri" w:hAnsi="Calibri" w:cs="Calibri"/>
          <w:noProof/>
        </w:rPr>
        <w:t>, 115-125 (1988).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16</w:t>
      </w:r>
      <w:r w:rsidRPr="00FC0B68">
        <w:rPr>
          <w:rFonts w:ascii="Calibri" w:hAnsi="Calibri" w:cs="Calibri"/>
          <w:noProof/>
        </w:rPr>
        <w:tab/>
        <w:t xml:space="preserve">Pickering, T. R., Clarke, R. J. &amp; Moggi-Cecchi, J. Role of carnivores in the accumulation of the Sterkfontein Member 4 hominid assemblage: A taphonomic reassessment of the complete hominid fossil sample (1936–1999).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125</w:t>
      </w:r>
      <w:r w:rsidRPr="00FC0B68">
        <w:rPr>
          <w:rFonts w:ascii="Calibri" w:hAnsi="Calibri" w:cs="Calibri"/>
          <w:noProof/>
        </w:rPr>
        <w:t>, 1-15, doi:10.1002/ajpa.10278 (2004).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17</w:t>
      </w:r>
      <w:r w:rsidRPr="00FC0B68">
        <w:rPr>
          <w:rFonts w:ascii="Calibri" w:hAnsi="Calibri" w:cs="Calibri"/>
          <w:noProof/>
        </w:rPr>
        <w:tab/>
        <w:t xml:space="preserve">McKee, J. K., Thackeray, J. F. &amp; Berger, L. R. Faunal assemblage seriation of southern African Pliocene and Pleistocene fossil deposits. </w:t>
      </w:r>
      <w:r w:rsidRPr="00FC0B68">
        <w:rPr>
          <w:rFonts w:ascii="Calibri" w:hAnsi="Calibri" w:cs="Calibri"/>
          <w:i/>
          <w:noProof/>
        </w:rPr>
        <w:t>Am. J. Phys.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96</w:t>
      </w:r>
      <w:r w:rsidRPr="00FC0B68">
        <w:rPr>
          <w:rFonts w:ascii="Calibri" w:hAnsi="Calibri" w:cs="Calibri"/>
          <w:noProof/>
        </w:rPr>
        <w:t>, 235-250 (1995).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18</w:t>
      </w:r>
      <w:r w:rsidRPr="00FC0B68">
        <w:rPr>
          <w:rFonts w:ascii="Calibri" w:hAnsi="Calibri" w:cs="Calibri"/>
          <w:noProof/>
        </w:rPr>
        <w:tab/>
        <w:t xml:space="preserve">Protsch, R. Mumbwa: Its absolute chronology and archaeology. </w:t>
      </w:r>
      <w:r w:rsidRPr="00FC0B68">
        <w:rPr>
          <w:rFonts w:ascii="Calibri" w:hAnsi="Calibri" w:cs="Calibri"/>
          <w:i/>
          <w:noProof/>
        </w:rPr>
        <w:t>Z. Morphol.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68</w:t>
      </w:r>
      <w:r w:rsidRPr="00FC0B68">
        <w:rPr>
          <w:rFonts w:ascii="Calibri" w:hAnsi="Calibri" w:cs="Calibri"/>
          <w:noProof/>
        </w:rPr>
        <w:t>, 1-7 (1977).</w:t>
      </w:r>
    </w:p>
    <w:p w:rsidR="00792AC1" w:rsidRPr="00FC0B68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lastRenderedPageBreak/>
        <w:t>19</w:t>
      </w:r>
      <w:r w:rsidRPr="00FC0B68">
        <w:rPr>
          <w:rFonts w:ascii="Calibri" w:hAnsi="Calibri" w:cs="Calibri"/>
          <w:noProof/>
        </w:rPr>
        <w:tab/>
        <w:t xml:space="preserve">Lahr, M. M. </w:t>
      </w:r>
      <w:r w:rsidRPr="00FC0B68">
        <w:rPr>
          <w:rFonts w:ascii="Calibri" w:hAnsi="Calibri" w:cs="Calibri"/>
          <w:i/>
          <w:noProof/>
        </w:rPr>
        <w:t>Genetics and fossil evidence from modern human origins</w:t>
      </w:r>
      <w:r w:rsidRPr="00FC0B68">
        <w:rPr>
          <w:rFonts w:ascii="Calibri" w:hAnsi="Calibri" w:cs="Calibri"/>
          <w:noProof/>
        </w:rPr>
        <w:t>.  (Oxford University Press, 2013).</w:t>
      </w:r>
    </w:p>
    <w:p w:rsidR="00792AC1" w:rsidRPr="009F6363" w:rsidRDefault="00792AC1" w:rsidP="00792AC1">
      <w:pPr>
        <w:spacing w:line="480" w:lineRule="auto"/>
        <w:ind w:left="720" w:hanging="720"/>
        <w:rPr>
          <w:rFonts w:ascii="Calibri" w:hAnsi="Calibri" w:cs="Calibri"/>
          <w:noProof/>
        </w:rPr>
      </w:pPr>
      <w:r w:rsidRPr="00FC0B68">
        <w:rPr>
          <w:rFonts w:ascii="Calibri" w:hAnsi="Calibri" w:cs="Calibri"/>
          <w:noProof/>
        </w:rPr>
        <w:t>20</w:t>
      </w:r>
      <w:r w:rsidRPr="00FC0B68">
        <w:rPr>
          <w:rFonts w:ascii="Calibri" w:hAnsi="Calibri" w:cs="Calibri"/>
          <w:noProof/>
        </w:rPr>
        <w:tab/>
        <w:t xml:space="preserve">Trinkaus, E. Early modern humans. </w:t>
      </w:r>
      <w:r w:rsidRPr="00FC0B68">
        <w:rPr>
          <w:rFonts w:ascii="Calibri" w:hAnsi="Calibri" w:cs="Calibri"/>
          <w:i/>
          <w:noProof/>
        </w:rPr>
        <w:t>Annu. Rev. Anthropol.</w:t>
      </w:r>
      <w:r w:rsidRPr="00FC0B68">
        <w:rPr>
          <w:rFonts w:ascii="Calibri" w:hAnsi="Calibri" w:cs="Calibri"/>
          <w:noProof/>
        </w:rPr>
        <w:t xml:space="preserve"> </w:t>
      </w:r>
      <w:r w:rsidRPr="00FC0B68">
        <w:rPr>
          <w:rFonts w:ascii="Calibri" w:hAnsi="Calibri" w:cs="Calibri"/>
          <w:b/>
          <w:noProof/>
        </w:rPr>
        <w:t>34</w:t>
      </w:r>
      <w:r w:rsidRPr="00FC0B68">
        <w:rPr>
          <w:rFonts w:ascii="Calibri" w:hAnsi="Calibri" w:cs="Calibri"/>
          <w:noProof/>
        </w:rPr>
        <w:t>, 207-230, doi:10.1146/annurev.anthro.34.030905.154913 (2005).</w:t>
      </w:r>
    </w:p>
    <w:p w:rsidR="00C804FD" w:rsidRDefault="007A44B7"/>
    <w:sectPr w:rsidR="00C804FD" w:rsidSect="000361C0">
      <w:pgSz w:w="12240" w:h="15840"/>
      <w:pgMar w:top="1440" w:right="1440" w:bottom="1276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4B7" w:rsidRDefault="007A44B7" w:rsidP="00792AC1">
      <w:pPr>
        <w:spacing w:after="0" w:line="240" w:lineRule="auto"/>
      </w:pPr>
      <w:r>
        <w:separator/>
      </w:r>
    </w:p>
  </w:endnote>
  <w:endnote w:type="continuationSeparator" w:id="0">
    <w:p w:rsidR="007A44B7" w:rsidRDefault="007A44B7" w:rsidP="00792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4B7" w:rsidRDefault="007A44B7" w:rsidP="00792AC1">
      <w:pPr>
        <w:spacing w:after="0" w:line="240" w:lineRule="auto"/>
      </w:pPr>
      <w:r>
        <w:separator/>
      </w:r>
    </w:p>
  </w:footnote>
  <w:footnote w:type="continuationSeparator" w:id="0">
    <w:p w:rsidR="007A44B7" w:rsidRDefault="007A44B7" w:rsidP="00792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AC1"/>
    <w:rsid w:val="00094858"/>
    <w:rsid w:val="001B4D6E"/>
    <w:rsid w:val="00427D59"/>
    <w:rsid w:val="00496737"/>
    <w:rsid w:val="005E41D0"/>
    <w:rsid w:val="00792AC1"/>
    <w:rsid w:val="007A44B7"/>
    <w:rsid w:val="007B003E"/>
    <w:rsid w:val="009D4669"/>
    <w:rsid w:val="00B24A1E"/>
    <w:rsid w:val="00CA5A4D"/>
    <w:rsid w:val="00E17708"/>
    <w:rsid w:val="00F07E09"/>
    <w:rsid w:val="00F42956"/>
    <w:rsid w:val="00F5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92AC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792AC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792AC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92AC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A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792AC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erChar">
    <w:name w:val="Footer Char"/>
    <w:basedOn w:val="DefaultParagraphFont"/>
    <w:link w:val="Footer"/>
    <w:rsid w:val="00792AC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rsid w:val="00792AC1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92AC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2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A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F3657C2-ECE2-4A20-AC09-9DCCC75B7C86}"/>
</file>

<file path=customXml/itemProps2.xml><?xml version="1.0" encoding="utf-8"?>
<ds:datastoreItem xmlns:ds="http://schemas.openxmlformats.org/officeDocument/2006/customXml" ds:itemID="{EC41BCB0-9A43-44D2-A400-F9CC482819FB}"/>
</file>

<file path=customXml/itemProps3.xml><?xml version="1.0" encoding="utf-8"?>
<ds:datastoreItem xmlns:ds="http://schemas.openxmlformats.org/officeDocument/2006/customXml" ds:itemID="{3DF53198-E175-4EA4-956A-311C72E878EB}"/>
</file>

<file path=docProps/app.xml><?xml version="1.0" encoding="utf-8"?>
<Properties xmlns="http://schemas.openxmlformats.org/officeDocument/2006/extended-properties" xmlns:vt="http://schemas.openxmlformats.org/officeDocument/2006/docPropsVTypes">
  <Template>734BDFE6.dotm</Template>
  <TotalTime>5</TotalTime>
  <Pages>6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Adelaide</Company>
  <LinksUpToDate>false</LinksUpToDate>
  <CharactersWithSpaces>5052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Seymour</dc:creator>
  <cp:lastModifiedBy>Seymour</cp:lastModifiedBy>
  <cp:revision>2</cp:revision>
  <dcterms:created xsi:type="dcterms:W3CDTF">2016-04-28T01:20:00Z</dcterms:created>
  <dcterms:modified xsi:type="dcterms:W3CDTF">2016-07-26T06:23:00Z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1461490833</vt:i4>
  </property>
  <property fmtid="{D5CDD505-2E9C-101B-9397-08002B2CF9AE}" pid="3" name="_NewReviewCycle">
    <vt:lpwstr/>
  </property>
  <property fmtid="{D5CDD505-2E9C-101B-9397-08002B2CF9AE}" pid="4" name="_EmailSubject">
    <vt:lpwstr>RSOS-160305.R1</vt:lpwstr>
  </property>
  <property fmtid="{D5CDD505-2E9C-101B-9397-08002B2CF9AE}" pid="5" name="_AuthorEmail">
    <vt:lpwstr>roger.seymour@adelaide.edu.au</vt:lpwstr>
  </property>
  <property fmtid="{D5CDD505-2E9C-101B-9397-08002B2CF9AE}" pid="6" name="_AuthorEmailDisplayName">
    <vt:lpwstr>Roger Seymour</vt:lpwstr>
  </property>
  <property fmtid="{D5CDD505-2E9C-101B-9397-08002B2CF9AE}" pid="7" name="ContentTypeId">
    <vt:lpwstr>0x0101009B0162F312A93D41AE706303C1572F17</vt:lpwstr>
  </property>
  <property fmtid="{D5CDD505-2E9C-101B-9397-08002B2CF9AE}" pid="8" name="MediaServiceImageTags">
    <vt:lpwstr/>
  </property>
</Properties>
</file>