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 e Batch A2 pubblicati; Esploratore di generi (B1)</w:t>
      </w:r>
      <w:r>
        <w:t xml:space="preserve"> </w:t>
      </w:r>
      <w:r>
        <w:t xml:space="preserve">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1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8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bookmarkStart w:id="87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4"/>
        </w:numPr>
      </w:pPr>
      <w:r>
        <w:t xml:space="preserve">Critico</w:t>
      </w:r>
    </w:p>
    <w:p>
      <w:pPr>
        <w:pStyle w:val="Compact"/>
        <w:numPr>
          <w:ilvl w:val="0"/>
          <w:numId w:val="1085"/>
        </w:numPr>
      </w:pPr>
      <w:r>
        <w:t xml:space="preserve">Passaparola</w:t>
      </w:r>
    </w:p>
    <w:bookmarkEnd w:id="87"/>
    <w:bookmarkEnd w:id="88"/>
    <w:bookmarkStart w:id="89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6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7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8"/>
        </w:numPr>
      </w:pPr>
      <w:r>
        <w:t xml:space="preserve">Accessibilità</w:t>
      </w:r>
    </w:p>
    <w:p>
      <w:pPr>
        <w:pStyle w:val="Compact"/>
        <w:numPr>
          <w:ilvl w:val="0"/>
          <w:numId w:val="1089"/>
        </w:numPr>
      </w:pPr>
      <w:r>
        <w:t xml:space="preserve">Localizzazione testi</w:t>
      </w:r>
    </w:p>
    <w:p>
      <w:pPr>
        <w:pStyle w:val="Compact"/>
        <w:numPr>
          <w:ilvl w:val="0"/>
          <w:numId w:val="1090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1"/>
        </w:numPr>
      </w:pPr>
      <w:r>
        <w:t xml:space="preserve">Riconciliazione completa</w:t>
      </w:r>
    </w:p>
    <w:bookmarkEnd w:id="89"/>
    <w:bookmarkStart w:id="90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2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3"/>
        </w:numPr>
      </w:pPr>
      <w:r>
        <w:t xml:space="preserve">Volto familiare</w:t>
      </w:r>
    </w:p>
    <w:p>
      <w:pPr>
        <w:pStyle w:val="Compact"/>
        <w:numPr>
          <w:ilvl w:val="0"/>
          <w:numId w:val="1094"/>
        </w:numPr>
      </w:pPr>
      <w:r>
        <w:t xml:space="preserve">Occhio d’autore</w:t>
      </w:r>
    </w:p>
    <w:p>
      <w:pPr>
        <w:pStyle w:val="Compact"/>
        <w:numPr>
          <w:ilvl w:val="0"/>
          <w:numId w:val="1095"/>
        </w:numPr>
      </w:pPr>
      <w:r>
        <w:t xml:space="preserve">Coppia d’oro</w:t>
      </w:r>
    </w:p>
    <w:p>
      <w:pPr>
        <w:pStyle w:val="Compact"/>
        <w:numPr>
          <w:ilvl w:val="0"/>
          <w:numId w:val="1096"/>
        </w:numPr>
      </w:pPr>
      <w:r>
        <w:t xml:space="preserve">Attraverso le epoche</w:t>
      </w:r>
    </w:p>
    <w:p>
      <w:pPr>
        <w:pStyle w:val="Compact"/>
        <w:numPr>
          <w:ilvl w:val="0"/>
          <w:numId w:val="1097"/>
        </w:numPr>
      </w:pPr>
      <w:r>
        <w:t xml:space="preserve">Camaleonte</w:t>
      </w:r>
    </w:p>
    <w:p>
      <w:pPr>
        <w:pStyle w:val="Compact"/>
        <w:numPr>
          <w:ilvl w:val="0"/>
          <w:numId w:val="1098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9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9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9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9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9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9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9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9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9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9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2"/>
    <w:bookmarkStart w:id="101" w:name="decisioni-v1-confermate"/>
    <w:p>
      <w:pPr>
        <w:pStyle w:val="Heading2"/>
      </w:pPr>
      <w:r>
        <w:t xml:space="preserve">12. Decisioni V1 confermate</w:t>
      </w:r>
    </w:p>
    <w:bookmarkStart w:id="93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0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1"/>
        </w:numPr>
      </w:pPr>
      <w:r>
        <w:t xml:space="preserve">“Ancora un episodio”</w:t>
      </w:r>
    </w:p>
    <w:p>
      <w:pPr>
        <w:pStyle w:val="Compact"/>
        <w:numPr>
          <w:ilvl w:val="0"/>
          <w:numId w:val="1102"/>
        </w:numPr>
      </w:pPr>
      <w:r>
        <w:t xml:space="preserve">“Volto familiare”</w:t>
      </w:r>
    </w:p>
    <w:p>
      <w:pPr>
        <w:pStyle w:val="Compact"/>
        <w:numPr>
          <w:ilvl w:val="0"/>
          <w:numId w:val="1103"/>
        </w:numPr>
      </w:pPr>
      <w:r>
        <w:t xml:space="preserve">“Occhio d’autore”</w:t>
      </w:r>
    </w:p>
    <w:p>
      <w:pPr>
        <w:pStyle w:val="Compact"/>
        <w:numPr>
          <w:ilvl w:val="0"/>
          <w:numId w:val="1104"/>
        </w:numPr>
      </w:pPr>
      <w:r>
        <w:t xml:space="preserve">“Coppia d’oro”</w:t>
      </w:r>
    </w:p>
    <w:bookmarkEnd w:id="93"/>
    <w:bookmarkStart w:id="94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5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6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7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8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9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0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 xml:space="preserve">Critico conta tutte le voci distinte con nota, incluse revisioni e rewatch</w:t>
      </w:r>
    </w:p>
    <w:bookmarkEnd w:id="94"/>
    <w:bookmarkStart w:id="95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2"/>
        </w:numPr>
      </w:pPr>
      <w:r>
        <w:t xml:space="preserve">Primo ciak</w:t>
      </w:r>
    </w:p>
    <w:p>
      <w:pPr>
        <w:pStyle w:val="Compact"/>
        <w:numPr>
          <w:ilvl w:val="0"/>
          <w:numId w:val="1113"/>
        </w:numPr>
      </w:pPr>
      <w:r>
        <w:t xml:space="preserve">Prima recensione</w:t>
      </w:r>
    </w:p>
    <w:p>
      <w:pPr>
        <w:pStyle w:val="Compact"/>
        <w:numPr>
          <w:ilvl w:val="0"/>
          <w:numId w:val="1114"/>
        </w:numPr>
      </w:pPr>
      <w:r>
        <w:t xml:space="preserve">Stagione chiusa</w:t>
      </w:r>
    </w:p>
    <w:p>
      <w:pPr>
        <w:pStyle w:val="Compact"/>
        <w:numPr>
          <w:ilvl w:val="0"/>
          <w:numId w:val="1115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6"/>
        </w:numPr>
      </w:pPr>
      <w:r>
        <w:t xml:space="preserve">Stagione 0 / Speciali esclusa da Stagione chiusa</w:t>
      </w:r>
    </w:p>
    <w:bookmarkEnd w:id="95"/>
    <w:bookmarkStart w:id="96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7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8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9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0"/>
        </w:numPr>
      </w:pPr>
      <w:r>
        <w:t xml:space="preserve">Sblocco permanente anche dopo modifiche ai metadati TMDB</w:t>
      </w:r>
    </w:p>
    <w:bookmarkEnd w:id="96"/>
    <w:bookmarkStart w:id="97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1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2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3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4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7"/>
    <w:bookmarkStart w:id="98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5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6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7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8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9"/>
        </w:numPr>
      </w:pPr>
      <w:r>
        <w:t xml:space="preserve">Reinvii e riaperture non incrementano il progresso</w:t>
      </w:r>
    </w:p>
    <w:bookmarkEnd w:id="98"/>
    <w:bookmarkStart w:id="99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0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1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2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3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4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5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6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7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8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9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0"/>
        </w:numPr>
      </w:pPr>
      <w:r>
        <w:t xml:space="preserve">Banner di sblocco con sfondo pieno, senza trasparenza</w:t>
      </w:r>
    </w:p>
    <w:bookmarkEnd w:id="99"/>
    <w:bookmarkStart w:id="100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1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2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3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4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5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6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7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8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9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0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1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2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3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4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5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6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7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8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rollout di</w:t>
      </w:r>
      <w:r>
        <w:t xml:space="preserve"> </w:t>
      </w:r>
      <w:r>
        <w:rPr>
          <w:b/>
          <w:bCs/>
        </w:rPr>
        <w:t xml:space="preserve">Esploratore di generi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distribuire la Edge Function con cache generi protetta;</w:t>
      </w:r>
    </w:p>
    <w:p>
      <w:pPr>
        <w:pStyle w:val="Compact"/>
        <w:numPr>
          <w:ilvl w:val="0"/>
          <w:numId w:val="1159"/>
        </w:numPr>
      </w:pPr>
      <w:r>
        <w:t xml:space="preserve">pubblicare la patch a bussola;</w:t>
      </w:r>
    </w:p>
    <w:p>
      <w:pPr>
        <w:pStyle w:val="Compact"/>
        <w:numPr>
          <w:ilvl w:val="0"/>
          <w:numId w:val="1159"/>
        </w:numPr>
      </w:pPr>
      <w:r>
        <w:t xml:space="preserve">applicare la 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;</w:t>
      </w:r>
    </w:p>
    <w:p>
      <w:pPr>
        <w:pStyle w:val="Compact"/>
        <w:numPr>
          <w:ilvl w:val="0"/>
          <w:numId w:val="1159"/>
        </w:numPr>
      </w:pPr>
      <w:r>
        <w:t xml:space="preserve">verificare backfill e cache sugli account reali;</w:t>
      </w:r>
    </w:p>
    <w:p>
      <w:pPr>
        <w:pStyle w:val="Compact"/>
        <w:numPr>
          <w:ilvl w:val="0"/>
          <w:numId w:val="1159"/>
        </w:numPr>
      </w:pPr>
      <w:r>
        <w:t xml:space="preserve">controllare gli eventuali sblocchi multipli aggregati;</w:t>
      </w:r>
    </w:p>
    <w:p>
      <w:pPr>
        <w:pStyle w:val="Compact"/>
        <w:numPr>
          <w:ilvl w:val="0"/>
          <w:numId w:val="1159"/>
        </w:numPr>
      </w:pPr>
      <w:r>
        <w:t xml:space="preserve">proseguire con Ancora un episodio.</w:t>
      </w:r>
    </w:p>
    <w:bookmarkEnd w:id="102"/>
    <w:bookmarkEnd w:id="103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1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2026-10-06T10:30:15Z</dcterms:created>
  <dcterms:modified xsi:type="dcterms:W3CDTF">2026-10-06T10:30:15Z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