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Batch A1, Archivista (A2.1) e Nostalgico (A2.2) pubblicati;</w:t>
      </w:r>
      <w:r>
        <w:t xml:space="preserve"> </w:t>
      </w:r>
      <w:r>
        <w:t xml:space="preserve">Serialista (A2.3) completato localmente e in attesa di rollout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0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7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Start w:id="86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3"/>
        </w:numPr>
      </w:pPr>
      <w:r>
        <w:t xml:space="preserve">Critico</w:t>
      </w:r>
    </w:p>
    <w:p>
      <w:pPr>
        <w:pStyle w:val="Compact"/>
        <w:numPr>
          <w:ilvl w:val="0"/>
          <w:numId w:val="1084"/>
        </w:numPr>
      </w:pPr>
      <w:r>
        <w:t xml:space="preserve">Passaparola</w:t>
      </w:r>
    </w:p>
    <w:bookmarkEnd w:id="86"/>
    <w:bookmarkEnd w:id="87"/>
    <w:bookmarkStart w:id="88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5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6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7"/>
        </w:numPr>
      </w:pPr>
      <w:r>
        <w:t xml:space="preserve">Accessibilità</w:t>
      </w:r>
    </w:p>
    <w:p>
      <w:pPr>
        <w:pStyle w:val="Compact"/>
        <w:numPr>
          <w:ilvl w:val="0"/>
          <w:numId w:val="1088"/>
        </w:numPr>
      </w:pPr>
      <w:r>
        <w:t xml:space="preserve">Localizzazione testi</w:t>
      </w:r>
    </w:p>
    <w:p>
      <w:pPr>
        <w:pStyle w:val="Compact"/>
        <w:numPr>
          <w:ilvl w:val="0"/>
          <w:numId w:val="1089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0"/>
        </w:numPr>
      </w:pPr>
      <w:r>
        <w:t xml:space="preserve">Riconciliazione completa</w:t>
      </w:r>
    </w:p>
    <w:bookmarkEnd w:id="88"/>
    <w:bookmarkStart w:id="89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1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2"/>
        </w:numPr>
      </w:pPr>
      <w:r>
        <w:t xml:space="preserve">Volto familiare</w:t>
      </w:r>
    </w:p>
    <w:p>
      <w:pPr>
        <w:pStyle w:val="Compact"/>
        <w:numPr>
          <w:ilvl w:val="0"/>
          <w:numId w:val="1093"/>
        </w:numPr>
      </w:pPr>
      <w:r>
        <w:t xml:space="preserve">Occhio d’autore</w:t>
      </w:r>
    </w:p>
    <w:p>
      <w:pPr>
        <w:pStyle w:val="Compact"/>
        <w:numPr>
          <w:ilvl w:val="0"/>
          <w:numId w:val="1094"/>
        </w:numPr>
      </w:pPr>
      <w:r>
        <w:t xml:space="preserve">Coppia d’oro</w:t>
      </w:r>
    </w:p>
    <w:p>
      <w:pPr>
        <w:pStyle w:val="Compact"/>
        <w:numPr>
          <w:ilvl w:val="0"/>
          <w:numId w:val="1095"/>
        </w:numPr>
      </w:pPr>
      <w:r>
        <w:t xml:space="preserve">Attraverso le epoche</w:t>
      </w:r>
    </w:p>
    <w:p>
      <w:pPr>
        <w:pStyle w:val="Compact"/>
        <w:numPr>
          <w:ilvl w:val="0"/>
          <w:numId w:val="1096"/>
        </w:numPr>
      </w:pPr>
      <w:r>
        <w:t xml:space="preserve">Camaleonte</w:t>
      </w:r>
    </w:p>
    <w:p>
      <w:pPr>
        <w:pStyle w:val="Compact"/>
        <w:numPr>
          <w:ilvl w:val="0"/>
          <w:numId w:val="1097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098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098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098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098"/>
        </w:numPr>
      </w:pPr>
      <w:r>
        <w:t xml:space="preserve">Nessun badge viene duplicato.</w:t>
      </w:r>
    </w:p>
    <w:p>
      <w:pPr>
        <w:pStyle w:val="Compact"/>
        <w:numPr>
          <w:ilvl w:val="0"/>
          <w:numId w:val="1098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098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098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098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098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098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1"/>
    <w:bookmarkStart w:id="100" w:name="decisioni-v1-confermate"/>
    <w:p>
      <w:pPr>
        <w:pStyle w:val="Heading2"/>
      </w:pPr>
      <w:r>
        <w:t xml:space="preserve">12. Decisioni V1 confermate</w:t>
      </w:r>
    </w:p>
    <w:bookmarkStart w:id="92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099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0"/>
        </w:numPr>
      </w:pPr>
      <w:r>
        <w:t xml:space="preserve">“Ancora un episodio”</w:t>
      </w:r>
    </w:p>
    <w:p>
      <w:pPr>
        <w:pStyle w:val="Compact"/>
        <w:numPr>
          <w:ilvl w:val="0"/>
          <w:numId w:val="1101"/>
        </w:numPr>
      </w:pPr>
      <w:r>
        <w:t xml:space="preserve">“Volto familiare”</w:t>
      </w:r>
    </w:p>
    <w:p>
      <w:pPr>
        <w:pStyle w:val="Compact"/>
        <w:numPr>
          <w:ilvl w:val="0"/>
          <w:numId w:val="1102"/>
        </w:numPr>
      </w:pPr>
      <w:r>
        <w:t xml:space="preserve">“Occhio d’autore”</w:t>
      </w:r>
    </w:p>
    <w:p>
      <w:pPr>
        <w:pStyle w:val="Compact"/>
        <w:numPr>
          <w:ilvl w:val="0"/>
          <w:numId w:val="1103"/>
        </w:numPr>
      </w:pPr>
      <w:r>
        <w:t xml:space="preserve">“Coppia d’oro”</w:t>
      </w:r>
    </w:p>
    <w:bookmarkEnd w:id="92"/>
    <w:bookmarkStart w:id="93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4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5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6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7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08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09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0"/>
        </w:numPr>
      </w:pPr>
      <w:r>
        <w:t xml:space="preserve">Critico conta tutte le voci distinte con nota, incluse revisioni e rewatch</w:t>
      </w:r>
    </w:p>
    <w:bookmarkEnd w:id="93"/>
    <w:bookmarkStart w:id="94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1"/>
        </w:numPr>
      </w:pPr>
      <w:r>
        <w:t xml:space="preserve">Primo ciak</w:t>
      </w:r>
    </w:p>
    <w:p>
      <w:pPr>
        <w:pStyle w:val="Compact"/>
        <w:numPr>
          <w:ilvl w:val="0"/>
          <w:numId w:val="1112"/>
        </w:numPr>
      </w:pPr>
      <w:r>
        <w:t xml:space="preserve">Prima recensione</w:t>
      </w:r>
    </w:p>
    <w:p>
      <w:pPr>
        <w:pStyle w:val="Compact"/>
        <w:numPr>
          <w:ilvl w:val="0"/>
          <w:numId w:val="1113"/>
        </w:numPr>
      </w:pPr>
      <w:r>
        <w:t xml:space="preserve">Stagione chiusa</w:t>
      </w:r>
    </w:p>
    <w:p>
      <w:pPr>
        <w:pStyle w:val="Compact"/>
        <w:numPr>
          <w:ilvl w:val="0"/>
          <w:numId w:val="1114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5"/>
        </w:numPr>
      </w:pPr>
      <w:r>
        <w:t xml:space="preserve">Stagione 0 / Speciali esclusa da Stagione chiusa</w:t>
      </w:r>
    </w:p>
    <w:bookmarkEnd w:id="94"/>
    <w:bookmarkStart w:id="95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6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7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18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19"/>
        </w:numPr>
      </w:pPr>
      <w:r>
        <w:t xml:space="preserve">Sblocco permanente anche dopo modifiche ai metadati TMDB</w:t>
      </w:r>
    </w:p>
    <w:bookmarkEnd w:id="95"/>
    <w:bookmarkStart w:id="96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0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1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2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3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6"/>
    <w:bookmarkStart w:id="97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4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5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6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7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28"/>
        </w:numPr>
      </w:pPr>
      <w:r>
        <w:t xml:space="preserve">Reinvii e riaperture non incrementano il progresso</w:t>
      </w:r>
    </w:p>
    <w:bookmarkEnd w:id="97"/>
    <w:bookmarkStart w:id="98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29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0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1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2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3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4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5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6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7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38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39"/>
        </w:numPr>
      </w:pPr>
      <w:r>
        <w:t xml:space="preserve">Banner di sblocco con sfondo pieno, senza trasparenza</w:t>
      </w:r>
    </w:p>
    <w:bookmarkEnd w:id="98"/>
    <w:bookmarkStart w:id="99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0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1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2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3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4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5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6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7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48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49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0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1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2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3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4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5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6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7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 prossimo passo operativo è completare il rollout di</w:t>
      </w:r>
      <w:r>
        <w:t xml:space="preserve"> </w:t>
      </w:r>
      <w:r>
        <w:rPr>
          <w:b/>
          <w:bCs/>
        </w:rPr>
        <w:t xml:space="preserve">Serialista</w:t>
      </w:r>
      <w:r>
        <w:t xml:space="preserve">:</w:t>
      </w:r>
    </w:p>
    <w:p>
      <w:pPr>
        <w:pStyle w:val="Compact"/>
        <w:numPr>
          <w:ilvl w:val="0"/>
          <w:numId w:val="1158"/>
        </w:numPr>
      </w:pPr>
      <w:r>
        <w:t xml:space="preserve">distribuire la Edge Function con cache protetta;</w:t>
      </w:r>
    </w:p>
    <w:p>
      <w:pPr>
        <w:pStyle w:val="Compact"/>
        <w:numPr>
          <w:ilvl w:val="0"/>
          <w:numId w:val="1158"/>
        </w:numPr>
      </w:pPr>
      <w:r>
        <w:t xml:space="preserve">pubblicare la patch subito sotto Cinefilo;</w:t>
      </w:r>
    </w:p>
    <w:p>
      <w:pPr>
        <w:pStyle w:val="Compact"/>
        <w:numPr>
          <w:ilvl w:val="0"/>
          <w:numId w:val="1158"/>
        </w:numPr>
      </w:pPr>
      <w:r>
        <w:t xml:space="preserve">applicare la 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;</w:t>
      </w:r>
    </w:p>
    <w:p>
      <w:pPr>
        <w:pStyle w:val="Compact"/>
        <w:numPr>
          <w:ilvl w:val="0"/>
          <w:numId w:val="1158"/>
        </w:numPr>
      </w:pPr>
      <w:r>
        <w:t xml:space="preserve">verificare cache, backfill e idempotenza sull’account Test;</w:t>
      </w:r>
    </w:p>
    <w:p>
      <w:pPr>
        <w:pStyle w:val="Compact"/>
        <w:numPr>
          <w:ilvl w:val="0"/>
          <w:numId w:val="1158"/>
        </w:numPr>
      </w:pPr>
      <w:r>
        <w:t xml:space="preserve">verificare progresso e sblocchi sull’account principale;</w:t>
      </w:r>
    </w:p>
    <w:p>
      <w:pPr>
        <w:pStyle w:val="Compact"/>
        <w:numPr>
          <w:ilvl w:val="0"/>
          <w:numId w:val="1158"/>
        </w:numPr>
      </w:pPr>
      <w:r>
        <w:t xml:space="preserve">chiudere il Batch A2 e scegliere il primo badge del Batch B.</w:t>
      </w:r>
    </w:p>
    <w:bookmarkEnd w:id="101"/>
    <w:bookmarkEnd w:id="102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2026-10-06T09:35:54Z</dcterms:created>
  <dcterms:modified xsi:type="dcterms:W3CDTF">2026-10-06T09:35:54Z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