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Encore (B4) pubblicato; Critico (C1)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completare il rollout di </w:t>
      </w:r>
      <w:r>
        <w:rPr>
          <w:b/>
        </w:rPr>
        <w:t>Critico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distribuire la Edge Function aggiornata;</w:t>
      </w:r>
    </w:p>
    <w:p>
      <w:pPr>
        <w:pStyle w:val="Compact"/>
        <w:numPr>
          <w:ilvl w:val="0"/>
          <w:numId w:val="1160"/>
        </w:numPr>
      </w:pPr>
      <w:r>
        <w:t>pubblicare la patch a scheda-recensione e penna;</w:t>
      </w:r>
    </w:p>
    <w:p>
      <w:pPr>
        <w:pStyle w:val="Compact"/>
        <w:numPr>
          <w:ilvl w:val="0"/>
          <w:numId w:val="1160"/>
        </w:numPr>
      </w:pPr>
      <w:r>
        <w:t>applicare la migration 0026_critic_badge.sql;</w:t>
      </w:r>
    </w:p>
    <w:p>
      <w:pPr>
        <w:pStyle w:val="Compact"/>
        <w:numPr>
          <w:ilvl w:val="0"/>
          <w:numId w:val="1160"/>
        </w:numPr>
      </w:pPr>
      <w:r>
        <w:t>eseguire il test SQL transazionale;</w:t>
      </w:r>
    </w:p>
    <w:p>
      <w:pPr>
        <w:pStyle w:val="Compact"/>
        <w:numPr>
          <w:ilvl w:val="0"/>
          <w:numId w:val="1160"/>
        </w:numPr>
      </w:pPr>
      <w:r>
        <w:t>verificare backfill e idempotenza sugli account reali;</w:t>
      </w:r>
    </w:p>
    <w:p>
      <w:pPr>
        <w:pStyle w:val="Compact"/>
        <w:numPr>
          <w:ilvl w:val="0"/>
          <w:numId w:val="1160"/>
        </w:numPr>
      </w:pPr>
      <w:r>
        <w:t>completare un test live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