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ad Ancora un episodio (B2) pubblicato; Maratoneta (B3) 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completare il rollout di </w:t>
      </w:r>
      <w:r>
        <w:rPr>
          <w:b/>
        </w:rPr>
        <w:t>Maratoneta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verificare patch e accordion a 360 e 390 px;</w:t>
      </w:r>
    </w:p>
    <w:p>
      <w:pPr>
        <w:pStyle w:val="Compact"/>
        <w:numPr>
          <w:ilvl w:val="0"/>
          <w:numId w:val="1160"/>
        </w:numPr>
      </w:pPr>
      <w:r>
        <w:t>distribuire la Edge Function aggiornata;</w:t>
      </w:r>
    </w:p>
    <w:p>
      <w:pPr>
        <w:pStyle w:val="Compact"/>
        <w:numPr>
          <w:ilvl w:val="0"/>
          <w:numId w:val="1160"/>
        </w:numPr>
      </w:pPr>
      <w:r>
        <w:t>applicare la migration 0024_marathon_badge.sql;</w:t>
      </w:r>
    </w:p>
    <w:p>
      <w:pPr>
        <w:pStyle w:val="Compact"/>
        <w:numPr>
          <w:ilvl w:val="0"/>
          <w:numId w:val="1160"/>
        </w:numPr>
      </w:pPr>
      <w:r>
        <w:t>eseguire il test SQL transazionale;</w:t>
      </w:r>
    </w:p>
    <w:p>
      <w:pPr>
        <w:pStyle w:val="Compact"/>
        <w:numPr>
          <w:ilvl w:val="0"/>
          <w:numId w:val="1160"/>
        </w:numPr>
      </w:pPr>
      <w:r>
        <w:t>verificare backfill e idempotenza sugli account reali;</w:t>
      </w:r>
    </w:p>
    <w:p>
      <w:pPr>
        <w:pStyle w:val="Compact"/>
        <w:numPr>
          <w:ilvl w:val="0"/>
          <w:numId w:val="1160"/>
        </w:numPr>
      </w:pPr>
      <w:r>
        <w:t>pubblicare il client e completare un test live reversibile.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