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png" ContentType="image/png"/>
  <Override PartName="/word/media/image7.jpeg" ContentType="image/jpe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bCs/>
          <w:i/>
          <w:i/>
          <w:iCs/>
          <w:color w:val="44546A" w:themeColor="text2"/>
          <w:sz w:val="40"/>
          <w:szCs w:val="40"/>
        </w:rPr>
      </w:pPr>
      <w:r>
        <w:rPr>
          <w:rFonts w:cs="Calibri"/>
          <w:b/>
          <w:bCs/>
          <w:i/>
          <w:iCs/>
          <w:color w:val="44546A" w:themeColor="text2"/>
          <w:sz w:val="40"/>
          <w:szCs w:val="40"/>
        </w:rPr>
        <w:t>SocialBook</w:t>
      </w:r>
    </w:p>
    <w:p>
      <w:pPr>
        <w:pStyle w:val="Normal"/>
        <w:jc w:val="center"/>
        <w:rPr>
          <w:rFonts w:ascii="Calibri" w:hAnsi="Calibri" w:cs="Calibri"/>
          <w:b/>
          <w:b/>
          <w:bCs/>
          <w:i/>
          <w:i/>
          <w:iCs/>
          <w:color w:val="44546A" w:themeColor="text2"/>
          <w:sz w:val="40"/>
          <w:szCs w:val="40"/>
        </w:rPr>
      </w:pPr>
      <w:r>
        <w:rPr>
          <w:rFonts w:cs="Calibri"/>
          <w:b/>
          <w:bCs/>
          <w:i/>
          <w:iCs/>
          <w:color w:val="44546A" w:themeColor="text2"/>
          <w:sz w:val="40"/>
          <w:szCs w:val="40"/>
        </w:rPr>
        <w:t>Progetto Fondamenti di Intelligenza Artificiale</w:t>
      </w:r>
    </w:p>
    <w:p>
      <w:pPr>
        <w:pStyle w:val="Normal"/>
        <w:jc w:val="center"/>
        <w:rPr>
          <w:rFonts w:ascii="Calibri" w:hAnsi="Calibri" w:cs="Calibri"/>
          <w:b/>
          <w:b/>
          <w:bCs/>
          <w:i/>
          <w:i/>
          <w:iCs/>
          <w:color w:val="44546A" w:themeColor="text2"/>
          <w:sz w:val="40"/>
          <w:szCs w:val="40"/>
        </w:rPr>
      </w:pPr>
      <w:r>
        <w:rPr>
          <w:rFonts w:cs="Calibri"/>
          <w:b/>
          <w:bCs/>
          <w:i/>
          <w:iCs/>
          <w:color w:val="44546A" w:themeColor="text2"/>
          <w:sz w:val="40"/>
          <w:szCs w:val="40"/>
        </w:rPr>
        <w:t>(2020/2021)</w:t>
      </w:r>
    </w:p>
    <w:p>
      <w:pPr>
        <w:pStyle w:val="Normal"/>
        <w:rPr>
          <w:rFonts w:ascii="Calibri" w:hAnsi="Calibri" w:cs="Calibri"/>
          <w:color w:val="44546A" w:themeColor="text2"/>
          <w:sz w:val="40"/>
          <w:szCs w:val="40"/>
        </w:rPr>
      </w:pPr>
      <w:r>
        <w:rPr>
          <w:rFonts w:cs="Calibri"/>
          <w:color w:val="44546A" w:themeColor="text2"/>
          <w:sz w:val="40"/>
          <w:szCs w:val="40"/>
        </w:rPr>
        <w:t>Studenti:</w:t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Barbato Alessia</w:t>
        <w:tab/>
        <w:tab/>
        <w:t>(0512105858)</w:t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Proietto Angelica </w:t>
        <w:tab/>
        <w:tab/>
        <w:t>(0512105762)</w:t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Russo Luca</w:t>
        <w:tab/>
        <w:tab/>
        <w:tab/>
        <w:t>(0512105840)</w:t>
      </w:r>
    </w:p>
    <w:p>
      <w:pPr>
        <w:pStyle w:val="Normal"/>
        <w:jc w:val="center"/>
        <w:rPr>
          <w:rFonts w:ascii="Calibri" w:hAnsi="Calibri" w:cs="Calibri"/>
          <w:b/>
          <w:b/>
          <w:bCs/>
          <w:i/>
          <w:i/>
          <w:iCs/>
          <w:color w:val="44546A" w:themeColor="text2"/>
          <w:sz w:val="40"/>
          <w:szCs w:val="40"/>
        </w:rPr>
      </w:pPr>
      <w:r>
        <w:rPr/>
        <mc:AlternateContent>
          <mc:Choice Requires="wps">
            <w:drawing>
              <wp:inline distT="190500" distB="186055" distL="190500" distR="185420" wp14:anchorId="19486DBA">
                <wp:extent cx="6120765" cy="4710430"/>
                <wp:effectExtent l="190500" t="190500" r="185420" b="186055"/>
                <wp:docPr id="1" name="Immagin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20000" cy="470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magine 2" stroked="f" style="position:absolute;margin-left:0pt;margin-top:-400.55pt;width:481.85pt;height:370.8pt;mso-position-vertical:top" wp14:anchorId="19486DBA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245" w:leader="none"/>
        </w:tabs>
        <w:rPr>
          <w:rFonts w:ascii="Calibri" w:hAnsi="Calibri" w:cs="Calibri"/>
          <w:sz w:val="40"/>
          <w:szCs w:val="40"/>
        </w:rPr>
      </w:pPr>
      <w:r>
        <w:rPr>
          <w:rFonts w:cs="Calibri"/>
          <w:sz w:val="40"/>
          <w:szCs w:val="40"/>
        </w:rPr>
      </w:r>
    </w:p>
    <w:p>
      <w:pPr>
        <w:pStyle w:val="Normal"/>
        <w:tabs>
          <w:tab w:val="clear" w:pos="708"/>
          <w:tab w:val="left" w:pos="1245" w:leader="none"/>
        </w:tabs>
        <w:rPr>
          <w:rFonts w:ascii="Calibri" w:hAnsi="Calibri" w:cs="Calibri"/>
          <w:sz w:val="40"/>
          <w:szCs w:val="40"/>
        </w:rPr>
      </w:pPr>
      <w:r>
        <w:rPr>
          <w:rFonts w:cs="Calibri"/>
          <w:sz w:val="40"/>
          <w:szCs w:val="40"/>
        </w:rPr>
      </w:r>
    </w:p>
    <w:p>
      <w:pPr>
        <w:pStyle w:val="Titolo1"/>
        <w:rPr>
          <w:rFonts w:ascii="Calibri" w:hAnsi="Calibri" w:cs="Calibri"/>
          <w:sz w:val="40"/>
          <w:szCs w:val="40"/>
        </w:rPr>
      </w:pPr>
      <w:r>
        <w:rPr/>
        <w:t>1.Introduzione</w:t>
      </w:r>
    </w:p>
    <w:p>
      <w:pPr>
        <w:pStyle w:val="Standard"/>
        <w:ind w:left="709" w:hanging="0"/>
        <w:jc w:val="both"/>
        <w:rPr/>
      </w:pPr>
      <w:r>
        <w:rPr/>
      </w:r>
    </w:p>
    <w:p>
      <w:pPr>
        <w:pStyle w:val="Normal"/>
        <w:rPr/>
      </w:pPr>
      <w:r>
        <w:rPr/>
        <w:t>SocialBook si propone come un social innovativo che permette la nascita di una vasta community unita dalla passione comune per i libri, dando agli utenti la possibilità di interagire tra loro.</w:t>
      </w:r>
    </w:p>
    <w:p>
      <w:pPr>
        <w:pStyle w:val="Normal"/>
        <w:rPr/>
      </w:pPr>
      <w:r>
        <w:rPr/>
        <w:t>Ogni utente, quando si registra, inserirà alcune informazioni personali di vario tipo, in particolare sui suoi interessi e preferenze letterarie, in modo da ricevere dei suggerimenti di altri utenti “simili”, ovvero utenti che appartengono allo stesso gruppo.</w:t>
      </w:r>
    </w:p>
    <w:p>
      <w:pPr>
        <w:pStyle w:val="Normal"/>
        <w:rPr/>
      </w:pPr>
      <w:r>
        <w:rPr/>
        <w:t>Il primo passo nell’analisi del problema consiste sicuramente nella definizione dell’ambiente, che si trova immediatamente al punto successivo.</w:t>
      </w:r>
    </w:p>
    <w:p>
      <w:pPr>
        <w:pStyle w:val="Titolo1"/>
        <w:rPr/>
      </w:pPr>
      <w:r>
        <w:rPr/>
        <w:t>2.Definizione dell’ambiente</w:t>
      </w:r>
    </w:p>
    <w:p>
      <w:pPr>
        <w:pStyle w:val="Normal"/>
        <w:rPr/>
      </w:pPr>
      <w:r>
        <w:rPr/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L’ambiente viene definito tramite la rappresentazione schematica PEAS(</w:t>
      </w:r>
      <w:r>
        <w:rPr>
          <w:i/>
          <w:iCs/>
          <w:sz w:val="22"/>
          <w:szCs w:val="22"/>
        </w:rPr>
        <w:t>Performance, Environment, Actuator, Sensors</w:t>
      </w:r>
      <w:r>
        <w:rPr>
          <w:sz w:val="22"/>
          <w:szCs w:val="22"/>
        </w:rPr>
        <w:t>):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2"/>
          <w:szCs w:val="22"/>
        </w:rPr>
        <w:t>Prestazioni:</w:t>
      </w:r>
      <w:r>
        <w:rPr>
          <w:sz w:val="22"/>
          <w:szCs w:val="22"/>
        </w:rPr>
        <w:t xml:space="preserve"> Le prestazioni dell’agente vengono valutate in base all’accuratezza con cui consiglia ad un utente altri utenti a cui potrebbe essere interessato.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>Ambiente:</w:t>
      </w:r>
      <w:r>
        <w:rPr>
          <w:sz w:val="22"/>
          <w:szCs w:val="22"/>
        </w:rPr>
        <w:t xml:space="preserve"> L’ambiente in cui l’agente opera è composto da utenti registrati a una piattaforma riguardante la tematica “libri”, ed è completamente  osservabile, deterministico, episodico, statico e discreto. Inoltre, vi è presente un singolo agente.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2"/>
          <w:szCs w:val="22"/>
        </w:rPr>
        <w:t>Attuatori:</w:t>
      </w:r>
      <w:r>
        <w:rPr>
          <w:sz w:val="22"/>
          <w:szCs w:val="22"/>
        </w:rPr>
        <w:t xml:space="preserve">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b/>
          <w:bCs/>
          <w:sz w:val="22"/>
          <w:szCs w:val="22"/>
        </w:rPr>
        <w:t>Sensori:</w:t>
      </w:r>
      <w:r>
        <w:rPr>
          <w:sz w:val="22"/>
          <w:szCs w:val="22"/>
        </w:rPr>
        <w:t xml:space="preserve"> I sensori dell’agente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sono costituiti da un questionario di campionamento e da quello proposto all’utente che decide di iscriversi.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1"/>
        <w:rPr/>
      </w:pPr>
      <w:r>
        <w:rPr/>
        <w:t>3.Raccolta dati e introduzione al pre-processing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  <w:t>Il dataset è la collezione dei dati (campioni), ognuno con le proprie caratteristiche, che rappresentano il dominio di interesse; viene utilizzato per addestrare e successivamente testare l’agente intelligente progettato.</w:t>
      </w:r>
    </w:p>
    <w:p>
      <w:pPr>
        <w:pStyle w:val="Normal"/>
        <w:rPr/>
      </w:pPr>
      <w:r>
        <w:rPr/>
        <w:t>Per la natura dell’agente, il cui obiettivo è quello di “apprendere” e saper suddividere gli utenti in base alla similarità tra essi, si è reso necessario effettuare una sorta di indagine per poter raccogliere i dati di partenza, in modo da garantire il funzionamento efficace del modulo che abbiamo costruito.</w:t>
      </w:r>
    </w:p>
    <w:p>
      <w:pPr>
        <w:pStyle w:val="Normal"/>
        <w:rPr/>
      </w:pPr>
      <w:r>
        <w:rPr/>
        <w:t>Per fare ciò, ci siamo serviti di un questionario sottoposto a quante più persone possibili, in modo da avere un dataset abbastanza ampio e non rischiare di mandare l’agente in overfitting.</w:t>
      </w:r>
    </w:p>
    <w:p>
      <w:pPr>
        <w:pStyle w:val="Normal"/>
        <w:rPr/>
      </w:pPr>
      <w:r>
        <w:rPr/>
        <w:t>Il nostro questionario (</w:t>
      </w:r>
      <w:hyperlink r:id="rId3">
        <w:r>
          <w:rPr>
            <w:rStyle w:val="CollegamentoInternet"/>
            <w:color w:val="8EAADB" w:themeColor="accent1" w:themeTint="99"/>
          </w:rPr>
          <w:t>Socialbook (google.com)</w:t>
        </w:r>
      </w:hyperlink>
      <w:r>
        <w:rPr/>
        <w:t xml:space="preserve">) raccoglie informazioni sia personali che riguardanti l’ambiente letterario. </w:t>
      </w:r>
    </w:p>
    <w:p>
      <w:pPr>
        <w:pStyle w:val="Normal"/>
        <w:rPr/>
      </w:pPr>
      <w:r>
        <w:rPr/>
        <w:t>Il lettore, infatti, è caratterizzato dalle seguenti informazioni: l’età, l’essere genitori o meno di figli minorenni, l’occupazione, gli hobby, la quantità di libri letti in un anno, i generi letterari preferiti, la preferenza sul numero di pagine di un libro (inferiore/superiore a una certa soglia, pari a 400) e i criteri in base ai quali effettua la scelta del nuovo libro da leggere.</w:t>
      </w:r>
    </w:p>
    <w:p>
      <w:pPr>
        <w:pStyle w:val="Normal"/>
        <w:rPr/>
      </w:pPr>
      <w:r>
        <w:rPr/>
        <w:t>Purtroppo, non tutti i dati raccolti sono stati significativi e utili per il problema in questione, a causa di una scarsa distribuzione delle risposte. Di seguito, sono stati allegati degli esempi.</w:t>
      </w:r>
    </w:p>
    <w:p>
      <w:pPr>
        <w:pStyle w:val="Normal"/>
        <w:rPr/>
      </w:pPr>
      <w:r>
        <w:rPr/>
        <mc:AlternateContent>
          <mc:Choice Requires="wps">
            <w:drawing>
              <wp:inline distT="171450" distB="196215" distL="171450" distR="185420" wp14:anchorId="26090462">
                <wp:extent cx="6120765" cy="2414270"/>
                <wp:effectExtent l="171450" t="171450" r="185420" b="196215"/>
                <wp:docPr id="2" name="Immagin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120000" cy="2413800"/>
                        </a:xfrm>
                        <a:prstGeom prst="rect">
                          <a:avLst/>
                        </a:prstGeom>
                        <a:ln cap="rnd" w="190440"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algn="tl" blurRad="50000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magine 3" stroked="t" style="position:absolute;margin-left:0pt;margin-top:-219.05pt;width:481.85pt;height:190pt;mso-position-vertical:top" wp14:anchorId="26090462" type="shapetype_75">
                <v:imagedata r:id="rId4" o:detectmouseclick="t"/>
                <w10:wrap type="none"/>
                <v:stroke color="white" weight="190440" joinstyle="round" endcap="round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171450" distB="194310" distL="171450" distR="185420" wp14:anchorId="4E6A6A77">
                <wp:extent cx="6120765" cy="2320925"/>
                <wp:effectExtent l="171450" t="171450" r="185420" b="194310"/>
                <wp:docPr id="3" name="Immagin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120000" cy="2320200"/>
                        </a:xfrm>
                        <a:prstGeom prst="rect">
                          <a:avLst/>
                        </a:prstGeom>
                        <a:ln cap="rnd" w="190440"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algn="tl" blurRad="50000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magine 4" stroked="t" style="position:absolute;margin-left:0pt;margin-top:-211.55pt;width:481.85pt;height:182.65pt;mso-position-vertical:top" wp14:anchorId="4E6A6A77" type="shapetype_75">
                <v:imagedata r:id="rId5" o:detectmouseclick="t"/>
                <w10:wrap type="none"/>
                <v:stroke color="white" weight="190440" joinstyle="round" endcap="round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114300" distB="163830" distL="133350" distR="128270" wp14:anchorId="434BCC3F">
                <wp:extent cx="6120765" cy="3056255"/>
                <wp:effectExtent l="133350" t="114300" r="128270" b="163830"/>
                <wp:docPr id="4" name="Immagin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120000" cy="3055680"/>
                        </a:xfrm>
                        <a:prstGeom prst="rect">
                          <a:avLst/>
                        </a:prstGeom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magine 5" stroked="t" style="position:absolute;margin-left:0pt;margin-top:-262.55pt;width:481.85pt;height:240.55pt;mso-position-vertical:top" wp14:anchorId="434BCC3F" type="shapetype_75">
                <v:imagedata r:id="rId6" o:detectmouseclick="t"/>
                <w10:wrap type="none"/>
                <v:stroke color="white" weight="88920" joinstyle="miter" endcap="square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171450" distB="178435" distL="152400" distR="185420" wp14:anchorId="5986E71A">
                <wp:extent cx="6120765" cy="2489200"/>
                <wp:effectExtent l="152400" t="171450" r="185420" b="178435"/>
                <wp:docPr id="5" name="Immagin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120000" cy="2488680"/>
                        </a:xfrm>
                        <a:prstGeom prst="rect">
                          <a:avLst/>
                        </a:prstGeom>
                        <a:ln cap="rnd" w="190440">
                          <a:solidFill>
                            <a:srgbClr val="ffffff"/>
                          </a:solidFill>
                          <a:round/>
                        </a:ln>
                        <a:effectLst>
                          <a:outerShdw algn="tl" blurRad="50000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magine 6" stroked="t" style="position:absolute;margin-left:0pt;margin-top:-223.55pt;width:481.85pt;height:195.9pt;mso-position-vertical:top" wp14:anchorId="5986E71A" type="shapetype_75">
                <v:imagedata r:id="rId7" o:detectmouseclick="t"/>
                <w10:wrap type="none"/>
                <v:stroke color="white" weight="190440" joinstyle="round" endcap="round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114300" distB="137795" distL="133350" distR="133350" wp14:anchorId="511EDE3E">
                <wp:extent cx="6115685" cy="2301240"/>
                <wp:effectExtent l="133350" t="114300" r="133350" b="137795"/>
                <wp:docPr id="6" name="Immagin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1" descr=""/>
                        <pic:cNvPicPr/>
                      </pic:nvPicPr>
                      <pic:blipFill>
                        <a:blip r:embed="rId8"/>
                        <a:srcRect l="0" t="0" r="316" b="20222"/>
                        <a:stretch/>
                      </pic:blipFill>
                      <pic:spPr>
                        <a:xfrm>
                          <a:off x="0" y="0"/>
                          <a:ext cx="6114960" cy="2300760"/>
                        </a:xfrm>
                        <a:prstGeom prst="rect">
                          <a:avLst/>
                        </a:prstGeom>
                        <a:ln cap="sq"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magine 1" stroked="t" style="position:absolute;margin-left:0pt;margin-top:-201.05pt;width:481.45pt;height:181.1pt;mso-position-vertical:top" wp14:anchorId="511EDE3E" type="shapetype_75">
                <v:imagedata r:id="rId8" o:detectmouseclick="t"/>
                <w10:wrap type="none"/>
                <v:stroke color="white" weight="88920" joinstyle="miter" endcap="square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/>
        <w:t>Nell’ultimo caso, abbiamo deciso di eliminare questa caratteristica per due ragioni: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la preponderanza della risposta “genere” rispetto alle altre;</w:t>
      </w:r>
    </w:p>
    <w:p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la presenza della caratteristica “genere preferito” che può causare ridondanza</w:t>
      </w:r>
      <w:r>
        <w:rPr>
          <w:sz w:val="23"/>
          <w:szCs w:val="23"/>
        </w:rPr>
        <w:t>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Per questo motivo, si è deciso di filtrare il dataset di origine, con lo scopo di ridurre lo spazio di dimensione dei dati in input, andando a considerare solo le caratteristiche realmente utili per la risoluzione del problema, ovvero: hobby, numero di libri letti all’anno e genere preferito.</w:t>
      </w:r>
    </w:p>
    <w:p>
      <w:pPr>
        <w:pStyle w:val="Titolo1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</w:rPr>
      </w:pPr>
      <w:r>
        <w:rPr/>
        <w:t>4. Definizione della tipologia di apprendimento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profilazione utenti in questo caso si basa su campioni non associabili ad etichette. Dunque, l’unico approccio disponibile per questo tipo di apprendimento (non supervisionato) è quello del clustering, che restituisce un set di cluster contenenti degli oggetti raggruppati a seconda della similarità reciproca.</w:t>
      </w:r>
    </w:p>
    <w:p>
      <w:pPr>
        <w:pStyle w:val="Normal"/>
        <w:rPr/>
      </w:pPr>
      <w:r>
        <w:rPr/>
        <w:t xml:space="preserve">Gli algoritmi scelti e considerati per la realizzazione dell’agente intelligente in questione dovranno partizionare il dataset fino a copertura completa. Per soddisfare questa esigenza si è scelto di confrontare gli algoritmi </w:t>
      </w:r>
      <w:r>
        <w:rPr>
          <w:i/>
        </w:rPr>
        <w:t>K-MEANS</w:t>
      </w:r>
      <w:r>
        <w:rPr/>
        <w:t xml:space="preserve"> e</w:t>
      </w:r>
      <w:r>
        <w:rPr>
          <w:i/>
          <w:iCs/>
        </w:rPr>
        <w:t xml:space="preserve"> DBSCAN</w:t>
      </w:r>
      <w:r>
        <w:rPr/>
        <w:t>, entrambi esclusivi, agglomerativi e seriali.</w:t>
      </w:r>
    </w:p>
    <w:p>
      <w:pPr>
        <w:pStyle w:val="Normal"/>
        <w:rPr/>
      </w:pPr>
      <w:r>
        <w:rPr/>
        <w:t>Per questa ragione, è necessario stabilire due criteri: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criterio di “bontà”: coefficiente di forma;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criterio di similitudine.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2"/>
        <w:rPr/>
      </w:pPr>
      <w:r>
        <w:rPr/>
        <w:t>4.1 Criterio di similitudine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Il passaggio successivo è stato quello di associare dei valori (numerici) alle varie opzioni di ogni caratteristica non numerica in base all’affinità tra loro. </w:t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6121400" cy="5854700"/>
            <wp:effectExtent l="0" t="0" r="0" b="0"/>
            <wp:docPr id="7" name="Immagin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15685" cy="5501005"/>
            <wp:effectExtent l="0" t="0" r="0" b="0"/>
            <wp:docPr id="8" name="Immagin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Ciò è stato fatto per permettere il corretto funzionamento degli algoritmi di clustering che si è deciso di utilizzare.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4.2 Problem Solved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risolvere problemi di formattazione nei dizionari sono state ripetute delle chiavi con la sola differenza di un carattere (blank space), nonostante sia una soluzione meno efficiente.</w:t>
      </w:r>
    </w:p>
    <w:p>
      <w:pPr>
        <w:pStyle w:val="Normal"/>
        <w:rPr/>
      </w:pPr>
      <w:r>
        <w:rPr/>
        <w:t>Per rendere omogenei i valori relativi alle caratteristiche generi preferiti e hobby, sono stati utilizzati dei meccanismi matematici in quanto il numero di possibili scelte del lettore dovevano essere comprese in un range di opzioni (da 1 a 5 per gli hobby e da 1 a 6 per i generi).</w:t>
      </w:r>
    </w:p>
    <w:p>
      <w:pPr>
        <w:pStyle w:val="Normal"/>
        <w:rPr/>
      </w:pPr>
      <w:r>
        <w:rPr/>
        <w:t>I dati sono stati poi scalati e normalizzati affinché la loro distribuzione assomigliasse ad una gaussiana.</w:t>
      </w:r>
    </w:p>
    <w:p>
      <w:pPr>
        <w:pStyle w:val="Titolo1"/>
        <w:rPr/>
      </w:pPr>
      <w:r>
        <w:rPr/>
        <w:t>5. Algoritmi K-MEANS e DBSCAN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5.1 DBSCAN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La tecnica PCA (Principal Componet Analisys) è stata utilizzata in modo da ridurre le caratteristiche di ogni campione del dataset da 3 a 2, individuando quelle principali.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La logica dell’algoritmo DBSCAN è basata sulla densità dei campioni, l’obbiettivo è, infatti, quello di creare cluster densi e correlati in cui i punti sono collegati tra loro in una certa superficie.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Per l’esecuzione dell’algoritmo è necessario stabilire 2 parametri: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MinPts: il numero minimo di punti per considerare l’intorno di un punto denso;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i/>
          <w:iCs/>
          <w:sz w:val="22"/>
          <w:szCs w:val="22"/>
        </w:rPr>
        <w:t>e</w:t>
      </w:r>
      <w:r>
        <w:rPr>
          <w:sz w:val="22"/>
          <w:szCs w:val="22"/>
        </w:rPr>
        <w:t>: la distanza che definisce l’intorno circolare di ogni punto dai suoi vicini.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Sono stati considerati anche i punti di rumore, ovvero quelli per i quali il numero di punti nell’intorno di raggio </w:t>
      </w:r>
      <w:r>
        <w:rPr>
          <w:i/>
          <w:iCs/>
          <w:sz w:val="22"/>
          <w:szCs w:val="22"/>
        </w:rPr>
        <w:t xml:space="preserve">e </w:t>
      </w:r>
      <w:r>
        <w:rPr>
          <w:sz w:val="22"/>
          <w:szCs w:val="22"/>
        </w:rPr>
        <w:t>è minore di MinPts.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 la selezione dei due parametri sono state effettuate varie sessioni di testing in modo da scegliere la combinazione ottimale.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Grigliatabella"/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1925"/>
        <w:gridCol w:w="1926"/>
        <w:gridCol w:w="1925"/>
        <w:gridCol w:w="1926"/>
      </w:tblGrid>
      <w:tr>
        <w:trPr/>
        <w:tc>
          <w:tcPr>
            <w:tcW w:w="1925" w:type="dxa"/>
            <w:tcBorders/>
            <w:shd w:color="auto" w:fill="8EAADB" w:themeFill="accent1" w:themeFillTint="99" w:val="clear"/>
          </w:tcPr>
          <w:p>
            <w:pPr>
              <w:pStyle w:val="Default"/>
              <w:jc w:val="center"/>
              <w:rPr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</w:t>
            </w:r>
          </w:p>
        </w:tc>
        <w:tc>
          <w:tcPr>
            <w:tcW w:w="1925" w:type="dxa"/>
            <w:tcBorders/>
            <w:shd w:color="auto" w:fill="8EAADB" w:themeFill="accent1" w:themeFillTint="99" w:val="clear"/>
          </w:tcPr>
          <w:p>
            <w:pPr>
              <w:pStyle w:val="Default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MinPts</w:t>
            </w:r>
          </w:p>
        </w:tc>
        <w:tc>
          <w:tcPr>
            <w:tcW w:w="1926" w:type="dxa"/>
            <w:tcBorders/>
            <w:shd w:color="auto" w:fill="8EAADB" w:themeFill="accent1" w:themeFillTint="99" w:val="clear"/>
          </w:tcPr>
          <w:p>
            <w:pPr>
              <w:pStyle w:val="Default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Coefficiente di Forma</w:t>
            </w:r>
          </w:p>
        </w:tc>
        <w:tc>
          <w:tcPr>
            <w:tcW w:w="1925" w:type="dxa"/>
            <w:tcBorders/>
            <w:shd w:color="auto" w:fill="8EAADB" w:themeFill="accent1" w:themeFillTint="99" w:val="clear"/>
          </w:tcPr>
          <w:p>
            <w:pPr>
              <w:pStyle w:val="Default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Numero cluster stimati</w:t>
            </w:r>
          </w:p>
        </w:tc>
        <w:tc>
          <w:tcPr>
            <w:tcW w:w="1926" w:type="dxa"/>
            <w:tcBorders/>
            <w:shd w:color="auto" w:fill="8EAADB" w:themeFill="accent1" w:themeFillTint="99" w:val="clear"/>
          </w:tcPr>
          <w:p>
            <w:pPr>
              <w:pStyle w:val="Default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Punti di rumore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-0,014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0,163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925" w:type="dxa"/>
            <w:tcBorders/>
            <w:shd w:color="auto" w:fill="FFC000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  <w:tcBorders/>
            <w:shd w:color="auto" w:fill="FFC000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6" w:type="dxa"/>
            <w:tcBorders/>
            <w:shd w:color="auto" w:fill="FFC000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-0,065</w:t>
            </w:r>
          </w:p>
        </w:tc>
        <w:tc>
          <w:tcPr>
            <w:tcW w:w="1925" w:type="dxa"/>
            <w:tcBorders/>
            <w:shd w:color="auto" w:fill="FFC000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6" w:type="dxa"/>
            <w:tcBorders/>
            <w:shd w:color="auto" w:fill="FFC000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-0,049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-0,104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-0,063</w:t>
            </w:r>
          </w:p>
        </w:tc>
        <w:tc>
          <w:tcPr>
            <w:tcW w:w="1925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6" w:type="dxa"/>
            <w:tcBorders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 scelta dei parametri che ha permesso di ottenere un coefficiente di forma relativamente buono, un numero di cluster stimati equilibrato e un numero di punti di rumore accettabile è ricaduta sul record evidenziato.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olo2"/>
        <w:rPr/>
      </w:pPr>
      <w:r>
        <w:rPr/>
        <w:t>5.2 K-MEANS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A differenza del DBSCAN, che risolveva il problema della preselezione del numero di cluster, per l’esecuzione di questo algoritmo è stato necessario settare tale parametro, scelto confrontando vari risultati nella fase di testing in combinazione al valore del seme della funzione </w:t>
      </w:r>
      <w:r>
        <w:rPr>
          <w:i/>
          <w:iCs/>
        </w:rPr>
        <w:t>random.seed(k).</w:t>
      </w:r>
    </w:p>
    <w:p>
      <w:pPr>
        <w:pStyle w:val="Normal"/>
        <w:rPr/>
      </w:pPr>
      <w:r>
        <w:rPr/>
        <w:t>Di seguito sono mostrate le varie scelte effettuate.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Seed</w:t>
            </w:r>
          </w:p>
        </w:tc>
        <w:tc>
          <w:tcPr>
            <w:tcW w:w="3209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Numero di cluster</w:t>
            </w:r>
          </w:p>
        </w:tc>
        <w:tc>
          <w:tcPr>
            <w:tcW w:w="3210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Coefficiente di forma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0,393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0,386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0,396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0,424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0,425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0,391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0,407</w:t>
            </w:r>
          </w:p>
        </w:tc>
      </w:tr>
      <w:tr>
        <w:trPr/>
        <w:tc>
          <w:tcPr>
            <w:tcW w:w="320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320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3210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0,429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scelta dei parametri è stata dettata dalla combinazione di parametri che ha portato al miglior coefficiente di forma.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5.3 Risultati finali e osservazioni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09970" cy="2482215"/>
            <wp:effectExtent l="0" t="0" r="0" b="0"/>
            <wp:docPr id="9" name="Immagin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Come si puo’ evincere dalle immagini la distribuzione nel DBSCAN è lineare e questo fa presupporre che in nessun modo l’algoritmo possa essere una soluzione ottimale in questo contesto.</w:t>
      </w:r>
    </w:p>
    <w:p>
      <w:pPr>
        <w:pStyle w:val="Normal"/>
        <w:rPr/>
      </w:pPr>
      <w:r>
        <w:rPr/>
        <w:t xml:space="preserve">Mettendo a confronto i risultati ottenuti e valutati secondo il criterio del coefficiente di forma, si è constatato che l’algoritmo K-MEANS sia stato migliore del DBSCAN. </w:t>
      </w:r>
    </w:p>
    <w:p>
      <w:pPr>
        <w:pStyle w:val="Normal"/>
        <w:rPr/>
      </w:pPr>
      <w:r>
        <w:rPr/>
        <w:t>Queste osservazioni, sommate alla consapevolezza dell’efficienza del K-MEANS a livello di calcolo, hanno indotto alla scelta definitiva del K-MEANS come algoritmo di apprendimento per i fini preposti al progetto SocialBook.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al repository: </w:t>
      </w:r>
      <w:hyperlink r:id="rId12">
        <w:r>
          <w:rPr>
            <w:rStyle w:val="CollegamentoInternet"/>
          </w:rPr>
          <w:t>https://github.com/AleBarbados/NewSocialBookRepo/tree/fia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30b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8b55e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8b55e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8b55e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8b55ed"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8b5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b5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ollegamentoInternet">
    <w:name w:val="Collegamento Internet"/>
    <w:basedOn w:val="DefaultParagraphFont"/>
    <w:uiPriority w:val="99"/>
    <w:unhideWhenUsed/>
    <w:rsid w:val="0002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392b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rsid w:val="0002392b"/>
    <w:rPr>
      <w:color w:val="954F72" w:themeColor="followedHyperlink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8b55ed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8b55ed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8b55ed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it-IT"/>
    </w:rPr>
  </w:style>
  <w:style w:type="paragraph" w:styleId="Default" w:customStyle="1">
    <w:name w:val="Default"/>
    <w:qFormat/>
    <w:rsid w:val="009b793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it-IT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a67617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2a54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google.com/forms/d/1m8v-GKTujO15kvwWOejnmVg1X4RbXxKW61YECixXLTg/viewform?edit_requested=tru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png"/><Relationship Id="rId12" Type="http://schemas.openxmlformats.org/officeDocument/2006/relationships/hyperlink" Target="https://github.com/AleBarbados/NewSocialBookRepo/tree/fia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6" ma:contentTypeDescription="Creare un nuovo documento." ma:contentTypeScope="" ma:versionID="71b2bb74ffa24411c8ad4d1bbf92a903">
  <xsd:schema xmlns:xsd="http://www.w3.org/2001/XMLSchema" xmlns:xs="http://www.w3.org/2001/XMLSchema" xmlns:p="http://schemas.microsoft.com/office/2006/metadata/properties" xmlns:ns2="4da17cf3-c9cd-47d8-899d-72f9080b07f5" targetNamespace="http://schemas.microsoft.com/office/2006/metadata/properties" ma:root="true" ma:fieldsID="3c718ee16b26d70db1fac9b8b3e7c71b" ns2:_="">
    <xsd:import namespace="4da17cf3-c9cd-47d8-899d-72f9080b07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341CA-F571-4006-856B-859C2538751E}"/>
</file>

<file path=customXml/itemProps2.xml><?xml version="1.0" encoding="utf-8"?>
<ds:datastoreItem xmlns:ds="http://schemas.openxmlformats.org/officeDocument/2006/customXml" ds:itemID="{7AA79255-75D6-4AED-8D63-1416DDB044B5}"/>
</file>

<file path=customXml/itemProps3.xml><?xml version="1.0" encoding="utf-8"?>
<ds:datastoreItem xmlns:ds="http://schemas.openxmlformats.org/officeDocument/2006/customXml" ds:itemID="{5C1EA922-8E69-496A-9926-05140B8545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C09E00-C2CB-45A1-B2BC-FD4CB0D225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LibreOffice/6.4.6.2$Linux_X86_64 LibreOffice_project/40$Build-2</Application>
  <Pages>9</Pages>
  <Words>1169</Words>
  <Characters>6640</Characters>
  <CharactersWithSpaces>7699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2021-02-06T16:42:00Z</dcterms:created>
  <dc:creator>Angelica Proietto</dc:creator>
  <dc:description/>
  <dc:language>it-IT</dc:language>
  <cp:lastModifiedBy/>
  <dcterms:modified xsi:type="dcterms:W3CDTF">2021-03-17T22:31:04Z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0x01010042760EE60954914DA5DE02C41FD7020A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