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8BF6D" w14:textId="573C6B19" w:rsidR="00B95622" w:rsidRPr="00DD0F99" w:rsidRDefault="00417F21" w:rsidP="00DD0F99">
      <w:pPr>
        <w:pStyle w:val="Titolo"/>
        <w:jc w:val="center"/>
        <w:rPr>
          <w:rFonts w:ascii="DejaVu Sans" w:hAnsi="DejaVu Sans" w:cs="DejaVu Sans"/>
          <w:b/>
          <w:bCs/>
          <w:sz w:val="24"/>
          <w:szCs w:val="24"/>
        </w:rPr>
      </w:pPr>
      <w:r w:rsidRPr="00DD0F99">
        <w:rPr>
          <w:rFonts w:ascii="DejaVu Sans" w:hAnsi="DejaVu Sans" w:cs="DejaVu Sans"/>
          <w:b/>
          <w:bCs/>
          <w:sz w:val="24"/>
          <w:szCs w:val="24"/>
        </w:rPr>
        <w:t>Proce</w:t>
      </w:r>
      <w:r w:rsidR="00510A80" w:rsidRPr="00DD0F99">
        <w:rPr>
          <w:rFonts w:ascii="DejaVu Sans" w:hAnsi="DejaVu Sans" w:cs="DejaVu Sans"/>
          <w:b/>
          <w:bCs/>
          <w:sz w:val="24"/>
          <w:szCs w:val="24"/>
        </w:rPr>
        <w:t>dimento</w:t>
      </w:r>
      <w:r w:rsidRPr="00DD0F99">
        <w:rPr>
          <w:rFonts w:ascii="DejaVu Sans" w:hAnsi="DejaVu Sans" w:cs="DejaVu Sans"/>
          <w:b/>
          <w:bCs/>
          <w:sz w:val="24"/>
          <w:szCs w:val="24"/>
        </w:rPr>
        <w:t xml:space="preserve"> metodologico per la </w:t>
      </w:r>
      <w:proofErr w:type="spellStart"/>
      <w:r w:rsidRPr="00DD0F99">
        <w:rPr>
          <w:rFonts w:ascii="DejaVu Sans" w:hAnsi="DejaVu Sans" w:cs="DejaVu Sans"/>
          <w:b/>
          <w:bCs/>
          <w:sz w:val="24"/>
          <w:szCs w:val="24"/>
        </w:rPr>
        <w:t>rankizzazione</w:t>
      </w:r>
      <w:proofErr w:type="spellEnd"/>
      <w:r w:rsidRPr="00DD0F99">
        <w:rPr>
          <w:rFonts w:ascii="DejaVu Sans" w:hAnsi="DejaVu Sans" w:cs="DejaVu Sans"/>
          <w:b/>
          <w:bCs/>
          <w:sz w:val="24"/>
          <w:szCs w:val="24"/>
        </w:rPr>
        <w:t xml:space="preserve"> </w:t>
      </w:r>
      <w:r w:rsidR="00DD0F99">
        <w:rPr>
          <w:rFonts w:ascii="DejaVu Sans" w:hAnsi="DejaVu Sans" w:cs="DejaVu Sans"/>
          <w:b/>
          <w:bCs/>
          <w:sz w:val="24"/>
          <w:szCs w:val="24"/>
        </w:rPr>
        <w:t>del</w:t>
      </w:r>
      <w:r w:rsidRPr="00DD0F99">
        <w:rPr>
          <w:rFonts w:ascii="DejaVu Sans" w:hAnsi="DejaVu Sans" w:cs="DejaVu Sans"/>
          <w:b/>
          <w:bCs/>
          <w:sz w:val="24"/>
          <w:szCs w:val="24"/>
        </w:rPr>
        <w:t xml:space="preserve"> catalogo </w:t>
      </w:r>
      <w:r w:rsidR="00963694">
        <w:rPr>
          <w:rFonts w:ascii="DejaVu Sans" w:hAnsi="DejaVu Sans" w:cs="DejaVu Sans"/>
          <w:b/>
          <w:bCs/>
          <w:sz w:val="24"/>
          <w:szCs w:val="24"/>
        </w:rPr>
        <w:t xml:space="preserve">prodotti della SIM </w:t>
      </w:r>
    </w:p>
    <w:p w14:paraId="1459A418" w14:textId="7E62D8B8" w:rsidR="00417F21" w:rsidRPr="00DD0F99" w:rsidRDefault="00417F21" w:rsidP="00DD0F99">
      <w:pPr>
        <w:pStyle w:val="Titolo1"/>
        <w:spacing w:after="240"/>
        <w:rPr>
          <w:rFonts w:ascii="DejaVu Sans" w:hAnsi="DejaVu Sans" w:cs="DejaVu Sans"/>
          <w:b/>
          <w:bCs/>
          <w:sz w:val="22"/>
          <w:szCs w:val="22"/>
        </w:rPr>
      </w:pPr>
      <w:r w:rsidRPr="00DD0F99">
        <w:rPr>
          <w:rFonts w:ascii="DejaVu Sans" w:hAnsi="DejaVu Sans" w:cs="DejaVu Sans"/>
          <w:b/>
          <w:bCs/>
          <w:color w:val="auto"/>
          <w:sz w:val="22"/>
          <w:szCs w:val="22"/>
        </w:rPr>
        <w:t>Estrapolazione dei dati</w:t>
      </w:r>
    </w:p>
    <w:p w14:paraId="51EFBD67" w14:textId="0266E471" w:rsidR="00417F21" w:rsidRDefault="00417F21" w:rsidP="00417F21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La fonte principale di dati per il processo di </w:t>
      </w:r>
      <w:proofErr w:type="spellStart"/>
      <w:r>
        <w:rPr>
          <w:rFonts w:ascii="DejaVu Sans" w:hAnsi="DejaVu Sans" w:cs="DejaVu Sans"/>
        </w:rPr>
        <w:t>rankizzazione</w:t>
      </w:r>
      <w:proofErr w:type="spellEnd"/>
      <w:r>
        <w:rPr>
          <w:rFonts w:ascii="DejaVu Sans" w:hAnsi="DejaVu Sans" w:cs="DejaVu Sans"/>
        </w:rPr>
        <w:t xml:space="preserve"> è la piattaforma Quantalys (</w:t>
      </w:r>
      <w:hyperlink r:id="rId8" w:history="1">
        <w:r w:rsidRPr="00C50B75">
          <w:rPr>
            <w:rStyle w:val="Collegamentoipertestuale"/>
            <w:rFonts w:ascii="DejaVu Sans" w:hAnsi="DejaVu Sans" w:cs="DejaVu Sans"/>
          </w:rPr>
          <w:t>www.quantalys.it</w:t>
        </w:r>
      </w:hyperlink>
      <w:r>
        <w:rPr>
          <w:rFonts w:ascii="DejaVu Sans" w:hAnsi="DejaVu Sans" w:cs="DejaVu Sans"/>
        </w:rPr>
        <w:t xml:space="preserve">), </w:t>
      </w:r>
      <w:r w:rsidR="000C3A10">
        <w:rPr>
          <w:rFonts w:ascii="DejaVu Sans" w:hAnsi="DejaVu Sans" w:cs="DejaVu Sans"/>
        </w:rPr>
        <w:t>da cui</w:t>
      </w:r>
      <w:r>
        <w:rPr>
          <w:rFonts w:ascii="DejaVu Sans" w:hAnsi="DejaVu Sans" w:cs="DejaVu Sans"/>
        </w:rPr>
        <w:t xml:space="preserve"> vengono reperiti i seguenti dati</w:t>
      </w:r>
      <w:r w:rsidR="00E615FF">
        <w:rPr>
          <w:rFonts w:ascii="DejaVu Sans" w:hAnsi="DejaVu Sans" w:cs="DejaVu Sans"/>
        </w:rPr>
        <w:t xml:space="preserve"> annualizzati</w:t>
      </w:r>
      <w:r>
        <w:rPr>
          <w:rFonts w:ascii="DejaVu Sans" w:hAnsi="DejaVu Sans" w:cs="DejaVu Sans"/>
        </w:rPr>
        <w:t>:</w:t>
      </w:r>
    </w:p>
    <w:p w14:paraId="02A3B82D" w14:textId="0D835B38" w:rsidR="00417F21" w:rsidRDefault="00417F21" w:rsidP="00417F21">
      <w:pPr>
        <w:pStyle w:val="Paragrafoelenco"/>
        <w:numPr>
          <w:ilvl w:val="0"/>
          <w:numId w:val="2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per i fondi in categorie direzionali</w:t>
      </w:r>
      <w:r w:rsidR="000C3A10">
        <w:rPr>
          <w:rFonts w:ascii="DejaVu Sans" w:hAnsi="DejaVu Sans" w:cs="DejaVu Sans"/>
        </w:rPr>
        <w:t>: information ratio e</w:t>
      </w:r>
      <w:r w:rsidR="00963694">
        <w:rPr>
          <w:rFonts w:ascii="DejaVu Sans" w:hAnsi="DejaVu Sans" w:cs="DejaVu Sans"/>
        </w:rPr>
        <w:t>d</w:t>
      </w:r>
      <w:r w:rsidR="000C3A10">
        <w:rPr>
          <w:rFonts w:ascii="DejaVu Sans" w:hAnsi="DejaVu Sans" w:cs="DejaVu Sans"/>
        </w:rPr>
        <w:t xml:space="preserve"> </w:t>
      </w:r>
      <w:proofErr w:type="spellStart"/>
      <w:r w:rsidR="00963694">
        <w:rPr>
          <w:rFonts w:ascii="DejaVu Sans" w:hAnsi="DejaVu Sans" w:cs="DejaVu Sans"/>
        </w:rPr>
        <w:t>excess</w:t>
      </w:r>
      <w:proofErr w:type="spellEnd"/>
      <w:r w:rsidR="00963694">
        <w:rPr>
          <w:rFonts w:ascii="DejaVu Sans" w:hAnsi="DejaVu Sans" w:cs="DejaVu Sans"/>
        </w:rPr>
        <w:t xml:space="preserve"> </w:t>
      </w:r>
      <w:proofErr w:type="spellStart"/>
      <w:r w:rsidR="00963694">
        <w:rPr>
          <w:rFonts w:ascii="DejaVu Sans" w:hAnsi="DejaVu Sans" w:cs="DejaVu Sans"/>
        </w:rPr>
        <w:t>return</w:t>
      </w:r>
      <w:proofErr w:type="spellEnd"/>
      <w:r w:rsidR="00963694">
        <w:rPr>
          <w:rFonts w:ascii="DejaVu Sans" w:hAnsi="DejaVu Sans" w:cs="DejaVu Sans"/>
        </w:rPr>
        <w:t xml:space="preserve"> </w:t>
      </w:r>
      <w:r w:rsidR="001246B5">
        <w:rPr>
          <w:rFonts w:ascii="DejaVu Sans" w:hAnsi="DejaVu Sans" w:cs="DejaVu Sans"/>
        </w:rPr>
        <w:t xml:space="preserve">(alpha) sia rispetto al benchmark assegnato di default da </w:t>
      </w:r>
      <w:proofErr w:type="spellStart"/>
      <w:r w:rsidR="001246B5">
        <w:rPr>
          <w:rFonts w:ascii="DejaVu Sans" w:hAnsi="DejaVu Sans" w:cs="DejaVu Sans"/>
        </w:rPr>
        <w:t>Quantalys</w:t>
      </w:r>
      <w:proofErr w:type="spellEnd"/>
      <w:r w:rsidR="00963694">
        <w:rPr>
          <w:rFonts w:ascii="DejaVu Sans" w:hAnsi="DejaVu Sans" w:cs="DejaVu Sans"/>
        </w:rPr>
        <w:t>,</w:t>
      </w:r>
      <w:r w:rsidR="001246B5">
        <w:rPr>
          <w:rFonts w:ascii="DejaVu Sans" w:hAnsi="DejaVu Sans" w:cs="DejaVu Sans"/>
        </w:rPr>
        <w:t xml:space="preserve"> sia rispetto al benchmark individuato per la macrocategoria di riferimento</w:t>
      </w:r>
      <w:r w:rsidR="00C303DA">
        <w:rPr>
          <w:rFonts w:ascii="DejaVu Sans" w:hAnsi="DejaVu Sans" w:cs="DejaVu Sans"/>
        </w:rPr>
        <w:t>;</w:t>
      </w:r>
    </w:p>
    <w:p w14:paraId="2B5BE46C" w14:textId="198433EF" w:rsidR="00417F21" w:rsidRDefault="000C3A10" w:rsidP="00417F21">
      <w:pPr>
        <w:pStyle w:val="Paragrafoelenco"/>
        <w:numPr>
          <w:ilvl w:val="0"/>
          <w:numId w:val="2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per i fondi monetari: performance assoluta</w:t>
      </w:r>
      <w:r w:rsidR="00E615FF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e volatilità</w:t>
      </w:r>
      <w:r w:rsidR="00C303DA">
        <w:rPr>
          <w:rFonts w:ascii="DejaVu Sans" w:hAnsi="DejaVu Sans" w:cs="DejaVu Sans"/>
        </w:rPr>
        <w:t>;</w:t>
      </w:r>
    </w:p>
    <w:p w14:paraId="2FD1D01B" w14:textId="0DF46F03" w:rsidR="00510A80" w:rsidRDefault="000C3A10" w:rsidP="00417F21">
      <w:pPr>
        <w:pStyle w:val="Paragrafoelenco"/>
        <w:numPr>
          <w:ilvl w:val="0"/>
          <w:numId w:val="2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per tutti gli altri fondi: indice di Sortino e </w:t>
      </w:r>
      <w:proofErr w:type="spellStart"/>
      <w:r>
        <w:rPr>
          <w:rFonts w:ascii="DejaVu Sans" w:hAnsi="DejaVu Sans" w:cs="DejaVu Sans"/>
        </w:rPr>
        <w:t>downside</w:t>
      </w:r>
      <w:proofErr w:type="spellEnd"/>
      <w:r>
        <w:rPr>
          <w:rFonts w:ascii="DejaVu Sans" w:hAnsi="DejaVu Sans" w:cs="DejaVu Sans"/>
        </w:rPr>
        <w:t xml:space="preserve"> risk</w:t>
      </w:r>
      <w:r w:rsidR="00C303DA">
        <w:rPr>
          <w:rFonts w:ascii="DejaVu Sans" w:hAnsi="DejaVu Sans" w:cs="DejaVu Sans"/>
        </w:rPr>
        <w:t>.</w:t>
      </w:r>
    </w:p>
    <w:p w14:paraId="7BF37D19" w14:textId="72D1F6A7" w:rsidR="001246B5" w:rsidRDefault="001246B5" w:rsidP="000C3A10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Tutti questi dati vengono richiesti su una finestra storica di 1 anno (01/</w:t>
      </w:r>
      <w:r w:rsidR="00FB1D10">
        <w:rPr>
          <w:rFonts w:ascii="DejaVu Sans" w:hAnsi="DejaVu Sans" w:cs="DejaVu Sans"/>
        </w:rPr>
        <w:t>04</w:t>
      </w:r>
      <w:r>
        <w:rPr>
          <w:rFonts w:ascii="DejaVu Sans" w:hAnsi="DejaVu Sans" w:cs="DejaVu Sans"/>
        </w:rPr>
        <w:t>/20</w:t>
      </w:r>
      <w:r w:rsidR="00FB1D10">
        <w:rPr>
          <w:rFonts w:ascii="DejaVu Sans" w:hAnsi="DejaVu Sans" w:cs="DejaVu Sans"/>
        </w:rPr>
        <w:t>20</w:t>
      </w:r>
      <w:r>
        <w:rPr>
          <w:rFonts w:ascii="DejaVu Sans" w:hAnsi="DejaVu Sans" w:cs="DejaVu Sans"/>
        </w:rPr>
        <w:t xml:space="preserve"> – 31/</w:t>
      </w:r>
      <w:r w:rsidR="00FB1D10">
        <w:rPr>
          <w:rFonts w:ascii="DejaVu Sans" w:hAnsi="DejaVu Sans" w:cs="DejaVu Sans"/>
        </w:rPr>
        <w:t>03</w:t>
      </w:r>
      <w:r>
        <w:rPr>
          <w:rFonts w:ascii="DejaVu Sans" w:hAnsi="DejaVu Sans" w:cs="DejaVu Sans"/>
        </w:rPr>
        <w:t>/20</w:t>
      </w:r>
      <w:r w:rsidR="00FB1D10">
        <w:rPr>
          <w:rFonts w:ascii="DejaVu Sans" w:hAnsi="DejaVu Sans" w:cs="DejaVu Sans"/>
        </w:rPr>
        <w:t>2</w:t>
      </w:r>
      <w:r>
        <w:rPr>
          <w:rFonts w:ascii="DejaVu Sans" w:hAnsi="DejaVu Sans" w:cs="DejaVu Sans"/>
        </w:rPr>
        <w:t>1) e di 3 anni (01/</w:t>
      </w:r>
      <w:r w:rsidR="00FB1D10">
        <w:rPr>
          <w:rFonts w:ascii="DejaVu Sans" w:hAnsi="DejaVu Sans" w:cs="DejaVu Sans"/>
        </w:rPr>
        <w:t>04</w:t>
      </w:r>
      <w:r>
        <w:rPr>
          <w:rFonts w:ascii="DejaVu Sans" w:hAnsi="DejaVu Sans" w:cs="DejaVu Sans"/>
        </w:rPr>
        <w:t>/201</w:t>
      </w:r>
      <w:r w:rsidR="00FB1D10">
        <w:rPr>
          <w:rFonts w:ascii="DejaVu Sans" w:hAnsi="DejaVu Sans" w:cs="DejaVu Sans"/>
        </w:rPr>
        <w:t>8</w:t>
      </w:r>
      <w:r>
        <w:rPr>
          <w:rFonts w:ascii="DejaVu Sans" w:hAnsi="DejaVu Sans" w:cs="DejaVu Sans"/>
        </w:rPr>
        <w:t xml:space="preserve"> – 31/</w:t>
      </w:r>
      <w:r w:rsidR="00FB1D10">
        <w:rPr>
          <w:rFonts w:ascii="DejaVu Sans" w:hAnsi="DejaVu Sans" w:cs="DejaVu Sans"/>
        </w:rPr>
        <w:t>03</w:t>
      </w:r>
      <w:r>
        <w:rPr>
          <w:rFonts w:ascii="DejaVu Sans" w:hAnsi="DejaVu Sans" w:cs="DejaVu Sans"/>
        </w:rPr>
        <w:t>/20</w:t>
      </w:r>
      <w:r w:rsidR="00FB1D10">
        <w:rPr>
          <w:rFonts w:ascii="DejaVu Sans" w:hAnsi="DejaVu Sans" w:cs="DejaVu Sans"/>
        </w:rPr>
        <w:t>21</w:t>
      </w:r>
      <w:r>
        <w:rPr>
          <w:rFonts w:ascii="DejaVu Sans" w:hAnsi="DejaVu Sans" w:cs="DejaVu Sans"/>
        </w:rPr>
        <w:t>).</w:t>
      </w:r>
    </w:p>
    <w:p w14:paraId="4C8495BA" w14:textId="09AA795C" w:rsidR="000C3A10" w:rsidRPr="00DD0F99" w:rsidRDefault="000C3A10" w:rsidP="00DD0F99">
      <w:pPr>
        <w:pStyle w:val="Titolo1"/>
        <w:spacing w:after="240"/>
        <w:rPr>
          <w:rFonts w:ascii="DejaVu Sans" w:hAnsi="DejaVu Sans" w:cs="DejaVu Sans"/>
          <w:b/>
          <w:bCs/>
          <w:sz w:val="22"/>
          <w:szCs w:val="22"/>
        </w:rPr>
      </w:pPr>
      <w:r w:rsidRPr="00DD0F99">
        <w:rPr>
          <w:rFonts w:ascii="DejaVu Sans" w:hAnsi="DejaVu Sans" w:cs="DejaVu Sans"/>
          <w:b/>
          <w:bCs/>
          <w:color w:val="auto"/>
          <w:sz w:val="22"/>
          <w:szCs w:val="22"/>
        </w:rPr>
        <w:t>Categorie</w:t>
      </w:r>
    </w:p>
    <w:p w14:paraId="2C3B51E1" w14:textId="3F79483C" w:rsidR="00A22ABF" w:rsidRDefault="006D2AA5" w:rsidP="000C3A10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Le macrocategorie a cui le varie liste di fondi vengono ricondotte coincidono con le asset class individuate per la generazione dei portafogli modello</w:t>
      </w:r>
      <w:r w:rsidR="00A22ABF">
        <w:rPr>
          <w:rFonts w:ascii="DejaVu Sans" w:hAnsi="DejaVu Sans" w:cs="DejaVu Sans"/>
        </w:rPr>
        <w:t xml:space="preserve">. In </w:t>
      </w:r>
      <w:r w:rsidR="00491A40">
        <w:rPr>
          <w:rFonts w:ascii="DejaVu Sans" w:hAnsi="DejaVu Sans" w:cs="DejaVu Sans"/>
        </w:rPr>
        <w:t>t</w:t>
      </w:r>
      <w:r w:rsidR="00A22ABF">
        <w:rPr>
          <w:rFonts w:ascii="DejaVu Sans" w:hAnsi="DejaVu Sans" w:cs="DejaVu Sans"/>
        </w:rPr>
        <w:t>abella sono riportate le macrocategorie e i relativi benchmark.</w:t>
      </w: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3"/>
        <w:gridCol w:w="4534"/>
      </w:tblGrid>
      <w:tr w:rsidR="00A22ABF" w:rsidRPr="00A22ABF" w14:paraId="23F77BDD" w14:textId="77777777" w:rsidTr="006E4AEE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0BF8849A" w14:textId="77777777" w:rsidR="00A22ABF" w:rsidRPr="00DD0F99" w:rsidRDefault="00A22ABF" w:rsidP="00DD0F99">
            <w:pPr>
              <w:spacing w:line="276" w:lineRule="auto"/>
              <w:jc w:val="center"/>
              <w:rPr>
                <w:rFonts w:ascii="DejaVu Sans" w:hAnsi="DejaVu Sans" w:cs="DejaVu Sans"/>
                <w:i/>
                <w:iCs/>
              </w:rPr>
            </w:pPr>
            <w:r w:rsidRPr="00DD0F99">
              <w:rPr>
                <w:rFonts w:ascii="DejaVu Sans" w:hAnsi="DejaVu Sans" w:cs="DejaVu Sans"/>
                <w:i/>
                <w:iCs/>
              </w:rPr>
              <w:t>macrocategoria</w:t>
            </w:r>
          </w:p>
        </w:tc>
        <w:tc>
          <w:tcPr>
            <w:tcW w:w="4534" w:type="dxa"/>
            <w:noWrap/>
            <w:hideMark/>
          </w:tcPr>
          <w:p w14:paraId="5803C709" w14:textId="77777777" w:rsidR="00A22ABF" w:rsidRPr="00DD0F99" w:rsidRDefault="00A22ABF" w:rsidP="00DD0F99">
            <w:pPr>
              <w:spacing w:line="276" w:lineRule="auto"/>
              <w:jc w:val="center"/>
              <w:rPr>
                <w:rFonts w:ascii="DejaVu Sans" w:hAnsi="DejaVu Sans" w:cs="DejaVu Sans"/>
                <w:i/>
                <w:iCs/>
              </w:rPr>
            </w:pPr>
            <w:r w:rsidRPr="00DD0F99">
              <w:rPr>
                <w:rFonts w:ascii="DejaVu Sans" w:hAnsi="DejaVu Sans" w:cs="DejaVu Sans"/>
                <w:i/>
                <w:iCs/>
              </w:rPr>
              <w:t>benchmark</w:t>
            </w:r>
          </w:p>
        </w:tc>
      </w:tr>
      <w:tr w:rsidR="00A22ABF" w:rsidRPr="00A22ABF" w14:paraId="42AB2C10" w14:textId="77777777" w:rsidTr="006E4AEE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68578DB9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Azionario Europa</w:t>
            </w:r>
          </w:p>
        </w:tc>
        <w:tc>
          <w:tcPr>
            <w:tcW w:w="4534" w:type="dxa"/>
            <w:noWrap/>
            <w:hideMark/>
          </w:tcPr>
          <w:p w14:paraId="01E4D424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MSCI Europe</w:t>
            </w:r>
          </w:p>
        </w:tc>
      </w:tr>
      <w:tr w:rsidR="00A22ABF" w:rsidRPr="00A22ABF" w14:paraId="31050CA5" w14:textId="77777777" w:rsidTr="006E4AEE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3BC64A7E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Azionario Internazionale</w:t>
            </w:r>
          </w:p>
        </w:tc>
        <w:tc>
          <w:tcPr>
            <w:tcW w:w="4534" w:type="dxa"/>
            <w:noWrap/>
            <w:hideMark/>
          </w:tcPr>
          <w:p w14:paraId="412484BD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MSCI World Index</w:t>
            </w:r>
          </w:p>
        </w:tc>
      </w:tr>
      <w:tr w:rsidR="00A22ABF" w:rsidRPr="00A22ABF" w14:paraId="2C2BD85E" w14:textId="77777777" w:rsidTr="006E4AEE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29C2E272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Azionario Nord America</w:t>
            </w:r>
          </w:p>
        </w:tc>
        <w:tc>
          <w:tcPr>
            <w:tcW w:w="4534" w:type="dxa"/>
            <w:noWrap/>
            <w:hideMark/>
          </w:tcPr>
          <w:p w14:paraId="3475F459" w14:textId="17AABAB5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MSCI USA</w:t>
            </w:r>
          </w:p>
        </w:tc>
      </w:tr>
      <w:tr w:rsidR="00A22ABF" w:rsidRPr="00A22ABF" w14:paraId="19C04BD1" w14:textId="77777777" w:rsidTr="006E4AEE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2918666A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Azionario Pacifico</w:t>
            </w:r>
          </w:p>
        </w:tc>
        <w:tc>
          <w:tcPr>
            <w:tcW w:w="4534" w:type="dxa"/>
            <w:noWrap/>
            <w:hideMark/>
          </w:tcPr>
          <w:p w14:paraId="281DC94D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MSCI Pacific</w:t>
            </w:r>
          </w:p>
        </w:tc>
      </w:tr>
      <w:tr w:rsidR="00A22ABF" w:rsidRPr="00A22ABF" w14:paraId="4FE48931" w14:textId="77777777" w:rsidTr="006E4AEE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0129574A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Azionario Paesi Emergenti</w:t>
            </w:r>
          </w:p>
        </w:tc>
        <w:tc>
          <w:tcPr>
            <w:tcW w:w="4534" w:type="dxa"/>
            <w:noWrap/>
            <w:hideMark/>
          </w:tcPr>
          <w:p w14:paraId="2A065480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 xml:space="preserve">MSCI </w:t>
            </w:r>
            <w:proofErr w:type="spellStart"/>
            <w:r w:rsidRPr="00A22ABF">
              <w:rPr>
                <w:rFonts w:ascii="DejaVu Sans" w:hAnsi="DejaVu Sans" w:cs="DejaVu Sans"/>
              </w:rPr>
              <w:t>Emerging</w:t>
            </w:r>
            <w:proofErr w:type="spellEnd"/>
            <w:r w:rsidRPr="00A22ABF">
              <w:rPr>
                <w:rFonts w:ascii="DejaVu Sans" w:hAnsi="DejaVu Sans" w:cs="DejaVu Sans"/>
              </w:rPr>
              <w:t xml:space="preserve"> Markets</w:t>
            </w:r>
          </w:p>
        </w:tc>
      </w:tr>
      <w:tr w:rsidR="00A22ABF" w:rsidRPr="00A22ABF" w14:paraId="47AED711" w14:textId="77777777" w:rsidTr="006E4AEE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0D700837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Bilanciati Alta Volatilità</w:t>
            </w:r>
          </w:p>
        </w:tc>
        <w:tc>
          <w:tcPr>
            <w:tcW w:w="4534" w:type="dxa"/>
            <w:noWrap/>
            <w:hideMark/>
          </w:tcPr>
          <w:p w14:paraId="1DF7D4E3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-</w:t>
            </w:r>
          </w:p>
        </w:tc>
      </w:tr>
      <w:tr w:rsidR="00A22ABF" w:rsidRPr="00A22ABF" w14:paraId="1CF798B6" w14:textId="77777777" w:rsidTr="006E4AEE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197D6F69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Bilanciati Medio Bassa Volatilità</w:t>
            </w:r>
          </w:p>
        </w:tc>
        <w:tc>
          <w:tcPr>
            <w:tcW w:w="4534" w:type="dxa"/>
            <w:noWrap/>
            <w:hideMark/>
          </w:tcPr>
          <w:p w14:paraId="7C27C683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-</w:t>
            </w:r>
          </w:p>
        </w:tc>
      </w:tr>
      <w:tr w:rsidR="00A22ABF" w:rsidRPr="00A22ABF" w14:paraId="3CB0BE7A" w14:textId="77777777" w:rsidTr="006E4AEE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61AA412D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Flessibile Alta Volatilità</w:t>
            </w:r>
          </w:p>
        </w:tc>
        <w:tc>
          <w:tcPr>
            <w:tcW w:w="4534" w:type="dxa"/>
            <w:noWrap/>
            <w:hideMark/>
          </w:tcPr>
          <w:p w14:paraId="5B934AFD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-</w:t>
            </w:r>
          </w:p>
        </w:tc>
      </w:tr>
      <w:tr w:rsidR="00A22ABF" w:rsidRPr="00A22ABF" w14:paraId="64BDDB43" w14:textId="77777777" w:rsidTr="006E4AEE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63881DBE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Flessibile Medio Bassa Volatilità</w:t>
            </w:r>
          </w:p>
        </w:tc>
        <w:tc>
          <w:tcPr>
            <w:tcW w:w="4534" w:type="dxa"/>
            <w:noWrap/>
            <w:hideMark/>
          </w:tcPr>
          <w:p w14:paraId="77E9F08A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-</w:t>
            </w:r>
          </w:p>
        </w:tc>
      </w:tr>
      <w:tr w:rsidR="00A22ABF" w:rsidRPr="00A22ABF" w14:paraId="41CBBEBF" w14:textId="77777777" w:rsidTr="006E4AEE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6291805D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Monetario Area Euro</w:t>
            </w:r>
          </w:p>
        </w:tc>
        <w:tc>
          <w:tcPr>
            <w:tcW w:w="4534" w:type="dxa"/>
            <w:noWrap/>
            <w:hideMark/>
          </w:tcPr>
          <w:p w14:paraId="02F666A0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-</w:t>
            </w:r>
          </w:p>
        </w:tc>
      </w:tr>
      <w:tr w:rsidR="00A22ABF" w:rsidRPr="00A22ABF" w14:paraId="2F9DD66C" w14:textId="77777777" w:rsidTr="006E4AEE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40618F30" w14:textId="543C9AFA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 xml:space="preserve">Obbligazionario Euro </w:t>
            </w:r>
            <w:proofErr w:type="spellStart"/>
            <w:r w:rsidRPr="00A22ABF">
              <w:rPr>
                <w:rFonts w:ascii="DejaVu Sans" w:hAnsi="DejaVu Sans" w:cs="DejaVu Sans"/>
              </w:rPr>
              <w:t>All</w:t>
            </w:r>
            <w:proofErr w:type="spellEnd"/>
            <w:r w:rsidRPr="00A22ABF">
              <w:rPr>
                <w:rFonts w:ascii="DejaVu Sans" w:hAnsi="DejaVu Sans" w:cs="DejaVu Sans"/>
              </w:rPr>
              <w:t xml:space="preserve"> </w:t>
            </w:r>
            <w:proofErr w:type="spellStart"/>
            <w:r w:rsidRPr="00A22ABF">
              <w:rPr>
                <w:rFonts w:ascii="DejaVu Sans" w:hAnsi="DejaVu Sans" w:cs="DejaVu Sans"/>
              </w:rPr>
              <w:t>Maturities</w:t>
            </w:r>
            <w:proofErr w:type="spellEnd"/>
          </w:p>
        </w:tc>
        <w:tc>
          <w:tcPr>
            <w:tcW w:w="4534" w:type="dxa"/>
            <w:noWrap/>
            <w:hideMark/>
          </w:tcPr>
          <w:p w14:paraId="79BF0132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ML EMU Broad Market</w:t>
            </w:r>
          </w:p>
        </w:tc>
      </w:tr>
      <w:tr w:rsidR="00A22ABF" w:rsidRPr="00AF4989" w14:paraId="62B7B0F1" w14:textId="77777777" w:rsidTr="006E4AEE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5537BF6E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Obbligazionario Euro Breve Termine</w:t>
            </w:r>
          </w:p>
        </w:tc>
        <w:tc>
          <w:tcPr>
            <w:tcW w:w="4534" w:type="dxa"/>
            <w:noWrap/>
            <w:hideMark/>
          </w:tcPr>
          <w:p w14:paraId="56B7C2C4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  <w:lang w:val="en-GB"/>
              </w:rPr>
            </w:pPr>
            <w:r w:rsidRPr="00A22ABF">
              <w:rPr>
                <w:rFonts w:ascii="DejaVu Sans" w:hAnsi="DejaVu Sans" w:cs="DejaVu Sans"/>
                <w:lang w:val="en-GB"/>
              </w:rPr>
              <w:t>ML EMU Broad Market 1-3 Years</w:t>
            </w:r>
          </w:p>
        </w:tc>
      </w:tr>
      <w:tr w:rsidR="00A22ABF" w:rsidRPr="00A22ABF" w14:paraId="015C8D24" w14:textId="77777777" w:rsidTr="006E4AEE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3C0C024A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Obbligazionario Euro Corporate</w:t>
            </w:r>
          </w:p>
        </w:tc>
        <w:tc>
          <w:tcPr>
            <w:tcW w:w="4534" w:type="dxa"/>
            <w:noWrap/>
            <w:hideMark/>
          </w:tcPr>
          <w:p w14:paraId="33C0AA93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ML EMU Corporate</w:t>
            </w:r>
          </w:p>
        </w:tc>
      </w:tr>
      <w:tr w:rsidR="00A22ABF" w:rsidRPr="00A22ABF" w14:paraId="63AE7B75" w14:textId="77777777" w:rsidTr="006E4AEE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569F5958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Obbligazionario Globale</w:t>
            </w:r>
          </w:p>
        </w:tc>
        <w:tc>
          <w:tcPr>
            <w:tcW w:w="4534" w:type="dxa"/>
            <w:noWrap/>
            <w:hideMark/>
          </w:tcPr>
          <w:p w14:paraId="3A3378CF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ML Global Broad Market</w:t>
            </w:r>
          </w:p>
        </w:tc>
      </w:tr>
      <w:tr w:rsidR="00A22ABF" w:rsidRPr="00A22ABF" w14:paraId="6D69DAC2" w14:textId="77777777" w:rsidTr="006E4AEE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37C324AD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Obbligazionario Globale High Yield</w:t>
            </w:r>
          </w:p>
        </w:tc>
        <w:tc>
          <w:tcPr>
            <w:tcW w:w="4534" w:type="dxa"/>
            <w:noWrap/>
            <w:hideMark/>
          </w:tcPr>
          <w:p w14:paraId="5462CD46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ML Global High Yield</w:t>
            </w:r>
          </w:p>
        </w:tc>
      </w:tr>
      <w:tr w:rsidR="00A22ABF" w:rsidRPr="00AF4989" w14:paraId="5694D113" w14:textId="77777777" w:rsidTr="006E4AEE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10FA26A3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Obbligazionario Paesi Emergenti</w:t>
            </w:r>
          </w:p>
        </w:tc>
        <w:tc>
          <w:tcPr>
            <w:tcW w:w="4534" w:type="dxa"/>
            <w:noWrap/>
            <w:hideMark/>
          </w:tcPr>
          <w:p w14:paraId="67A8ECE4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  <w:lang w:val="fr-FR"/>
              </w:rPr>
            </w:pPr>
            <w:r w:rsidRPr="00A22ABF">
              <w:rPr>
                <w:rFonts w:ascii="DejaVu Sans" w:hAnsi="DejaVu Sans" w:cs="DejaVu Sans"/>
                <w:lang w:val="fr-FR"/>
              </w:rPr>
              <w:t xml:space="preserve">ML Global </w:t>
            </w:r>
            <w:proofErr w:type="spellStart"/>
            <w:r w:rsidRPr="00A22ABF">
              <w:rPr>
                <w:rFonts w:ascii="DejaVu Sans" w:hAnsi="DejaVu Sans" w:cs="DejaVu Sans"/>
                <w:lang w:val="fr-FR"/>
              </w:rPr>
              <w:t>EmMrkts</w:t>
            </w:r>
            <w:proofErr w:type="spellEnd"/>
            <w:r w:rsidRPr="00A22ABF">
              <w:rPr>
                <w:rFonts w:ascii="DejaVu Sans" w:hAnsi="DejaVu Sans" w:cs="DejaVu Sans"/>
                <w:lang w:val="fr-FR"/>
              </w:rPr>
              <w:t xml:space="preserve"> </w:t>
            </w:r>
            <w:proofErr w:type="spellStart"/>
            <w:r w:rsidRPr="00A22ABF">
              <w:rPr>
                <w:rFonts w:ascii="DejaVu Sans" w:hAnsi="DejaVu Sans" w:cs="DejaVu Sans"/>
                <w:lang w:val="fr-FR"/>
              </w:rPr>
              <w:t>Sov&amp;Corp</w:t>
            </w:r>
            <w:proofErr w:type="spellEnd"/>
            <w:r w:rsidRPr="00A22ABF">
              <w:rPr>
                <w:rFonts w:ascii="DejaVu Sans" w:hAnsi="DejaVu Sans" w:cs="DejaVu Sans"/>
                <w:lang w:val="fr-FR"/>
              </w:rPr>
              <w:t xml:space="preserve"> Plus</w:t>
            </w:r>
          </w:p>
        </w:tc>
      </w:tr>
      <w:tr w:rsidR="00A22ABF" w:rsidRPr="00A22ABF" w14:paraId="60D43358" w14:textId="77777777" w:rsidTr="006E4AEE">
        <w:trPr>
          <w:trHeight w:val="288"/>
          <w:jc w:val="center"/>
        </w:trPr>
        <w:tc>
          <w:tcPr>
            <w:tcW w:w="4533" w:type="dxa"/>
            <w:noWrap/>
            <w:hideMark/>
          </w:tcPr>
          <w:p w14:paraId="2625B579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proofErr w:type="spellStart"/>
            <w:r w:rsidRPr="00A22ABF">
              <w:rPr>
                <w:rFonts w:ascii="DejaVu Sans" w:hAnsi="DejaVu Sans" w:cs="DejaVu Sans"/>
              </w:rPr>
              <w:t>Opportunities</w:t>
            </w:r>
            <w:proofErr w:type="spellEnd"/>
          </w:p>
        </w:tc>
        <w:tc>
          <w:tcPr>
            <w:tcW w:w="4534" w:type="dxa"/>
            <w:noWrap/>
            <w:hideMark/>
          </w:tcPr>
          <w:p w14:paraId="0FAFA832" w14:textId="77777777" w:rsidR="00A22ABF" w:rsidRPr="00A22ABF" w:rsidRDefault="00A22ABF" w:rsidP="00DD0F99">
            <w:pPr>
              <w:spacing w:line="276" w:lineRule="auto"/>
              <w:rPr>
                <w:rFonts w:ascii="DejaVu Sans" w:hAnsi="DejaVu Sans" w:cs="DejaVu Sans"/>
              </w:rPr>
            </w:pPr>
            <w:r w:rsidRPr="00A22ABF">
              <w:rPr>
                <w:rFonts w:ascii="DejaVu Sans" w:hAnsi="DejaVu Sans" w:cs="DejaVu Sans"/>
              </w:rPr>
              <w:t>-</w:t>
            </w:r>
          </w:p>
        </w:tc>
      </w:tr>
    </w:tbl>
    <w:p w14:paraId="295056F3" w14:textId="77777777" w:rsidR="00F010AB" w:rsidRDefault="0009180F" w:rsidP="006E4AEE">
      <w:pPr>
        <w:spacing w:before="240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La classificazione del singolo fondo avviene mediante la sua preventiva assegnazione ad una </w:t>
      </w:r>
      <w:proofErr w:type="spellStart"/>
      <w:r>
        <w:rPr>
          <w:rFonts w:ascii="DejaVu Sans" w:hAnsi="DejaVu Sans" w:cs="DejaVu Sans"/>
        </w:rPr>
        <w:t>microcategoria</w:t>
      </w:r>
      <w:proofErr w:type="spellEnd"/>
      <w:r>
        <w:rPr>
          <w:rFonts w:ascii="DejaVu Sans" w:hAnsi="DejaVu Sans" w:cs="DejaVu Sans"/>
        </w:rPr>
        <w:t xml:space="preserve"> </w:t>
      </w:r>
      <w:proofErr w:type="spellStart"/>
      <w:r>
        <w:rPr>
          <w:rFonts w:ascii="DejaVu Sans" w:hAnsi="DejaVu Sans" w:cs="DejaVu Sans"/>
        </w:rPr>
        <w:t>Quantalys</w:t>
      </w:r>
      <w:proofErr w:type="spellEnd"/>
      <w:r>
        <w:rPr>
          <w:rFonts w:ascii="DejaVu Sans" w:hAnsi="DejaVu Sans" w:cs="DejaVu Sans"/>
        </w:rPr>
        <w:t xml:space="preserve">: da essa si deduce poi l’appartenenza alla macrocategoria/asset class. </w:t>
      </w:r>
    </w:p>
    <w:p w14:paraId="358F4B59" w14:textId="46366DA2" w:rsidR="00F010AB" w:rsidRDefault="00F010AB" w:rsidP="00DE4F22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Per l</w:t>
      </w:r>
      <w:r w:rsidR="006E4AEE">
        <w:rPr>
          <w:rFonts w:ascii="DejaVu Sans" w:hAnsi="DejaVu Sans" w:cs="DejaVu Sans"/>
        </w:rPr>
        <w:t>e</w:t>
      </w:r>
      <w:r>
        <w:rPr>
          <w:rFonts w:ascii="DejaVu Sans" w:hAnsi="DejaVu Sans" w:cs="DejaVu Sans"/>
        </w:rPr>
        <w:t xml:space="preserve"> macrocategorie direzionali, ossia riconducibili a un benchmark (</w:t>
      </w:r>
      <w:r w:rsidR="006E4AEE">
        <w:rPr>
          <w:rFonts w:ascii="DejaVu Sans" w:hAnsi="DejaVu Sans" w:cs="DejaVu Sans"/>
        </w:rPr>
        <w:t xml:space="preserve">e dunque </w:t>
      </w:r>
      <w:r>
        <w:rPr>
          <w:rFonts w:ascii="DejaVu Sans" w:hAnsi="DejaVu Sans" w:cs="DejaVu Sans"/>
        </w:rPr>
        <w:t xml:space="preserve">azionari e obbligazionari), </w:t>
      </w:r>
      <w:r w:rsidR="00A22ABF">
        <w:rPr>
          <w:rFonts w:ascii="DejaVu Sans" w:hAnsi="DejaVu Sans" w:cs="DejaVu Sans"/>
        </w:rPr>
        <w:t xml:space="preserve">si individua una </w:t>
      </w:r>
      <w:proofErr w:type="spellStart"/>
      <w:r w:rsidR="00A22ABF">
        <w:rPr>
          <w:rFonts w:ascii="DejaVu Sans" w:hAnsi="DejaVu Sans" w:cs="DejaVu Sans"/>
        </w:rPr>
        <w:t>microcategoria</w:t>
      </w:r>
      <w:proofErr w:type="spellEnd"/>
      <w:r w:rsidR="00A22ABF">
        <w:rPr>
          <w:rFonts w:ascii="DejaVu Sans" w:hAnsi="DejaVu Sans" w:cs="DejaVu Sans"/>
        </w:rPr>
        <w:t xml:space="preserve"> </w:t>
      </w:r>
      <w:r w:rsidR="00A22ABF">
        <w:rPr>
          <w:rFonts w:ascii="DejaVu Sans" w:hAnsi="DejaVu Sans" w:cs="DejaVu Sans"/>
          <w:i/>
          <w:iCs/>
        </w:rPr>
        <w:t>blend</w:t>
      </w:r>
      <w:r w:rsidR="00A22ABF">
        <w:rPr>
          <w:rFonts w:ascii="DejaVu Sans" w:hAnsi="DejaVu Sans" w:cs="DejaVu Sans"/>
        </w:rPr>
        <w:t xml:space="preserve"> che è associata allo stesso benchmark della macrocategoria di appartenenza</w:t>
      </w:r>
      <w:r w:rsidR="006E4AEE">
        <w:rPr>
          <w:rFonts w:ascii="DejaVu Sans" w:hAnsi="DejaVu Sans" w:cs="DejaVu Sans"/>
        </w:rPr>
        <w:t xml:space="preserve">, mentre tutte le altre </w:t>
      </w:r>
      <w:proofErr w:type="spellStart"/>
      <w:r w:rsidR="006E4AEE">
        <w:rPr>
          <w:rFonts w:ascii="DejaVu Sans" w:hAnsi="DejaVu Sans" w:cs="DejaVu Sans"/>
        </w:rPr>
        <w:t>microcategorie</w:t>
      </w:r>
      <w:proofErr w:type="spellEnd"/>
      <w:r w:rsidR="00C303DA">
        <w:rPr>
          <w:rFonts w:ascii="DejaVu Sans" w:hAnsi="DejaVu Sans" w:cs="DejaVu Sans"/>
        </w:rPr>
        <w:t xml:space="preserve"> sono rappresentate da benchmark differenti e</w:t>
      </w:r>
      <w:r w:rsidR="006E4AEE">
        <w:rPr>
          <w:rFonts w:ascii="DejaVu Sans" w:hAnsi="DejaVu Sans" w:cs="DejaVu Sans"/>
        </w:rPr>
        <w:t xml:space="preserve"> rappresentano “scommesse” all’interno della macrocategoria.</w:t>
      </w:r>
    </w:p>
    <w:p w14:paraId="3118C36F" w14:textId="302B8E9A" w:rsidR="00C303DA" w:rsidRDefault="00C303DA" w:rsidP="00DE4F22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I fondi flessibili</w:t>
      </w:r>
      <w:r w:rsidR="0013561C">
        <w:rPr>
          <w:rFonts w:ascii="DejaVu Sans" w:hAnsi="DejaVu Sans" w:cs="DejaVu Sans"/>
        </w:rPr>
        <w:t xml:space="preserve"> e bilanciati</w:t>
      </w:r>
      <w:r>
        <w:rPr>
          <w:rFonts w:ascii="DejaVu Sans" w:hAnsi="DejaVu Sans" w:cs="DejaVu Sans"/>
        </w:rPr>
        <w:t xml:space="preserve"> vengono associati </w:t>
      </w:r>
      <w:r w:rsidR="00D54804">
        <w:rPr>
          <w:rFonts w:ascii="DejaVu Sans" w:hAnsi="DejaVu Sans" w:cs="DejaVu Sans"/>
        </w:rPr>
        <w:t>alla</w:t>
      </w:r>
      <w:r>
        <w:rPr>
          <w:rFonts w:ascii="DejaVu Sans" w:hAnsi="DejaVu Sans" w:cs="DejaVu Sans"/>
        </w:rPr>
        <w:t xml:space="preserve"> macrocategoria </w:t>
      </w:r>
      <w:r w:rsidR="00D54804">
        <w:rPr>
          <w:rFonts w:ascii="DejaVu Sans" w:hAnsi="DejaVu Sans" w:cs="DejaVu Sans"/>
        </w:rPr>
        <w:t xml:space="preserve">Alta Volatilità </w:t>
      </w:r>
      <w:r>
        <w:rPr>
          <w:rFonts w:ascii="DejaVu Sans" w:hAnsi="DejaVu Sans" w:cs="DejaVu Sans"/>
        </w:rPr>
        <w:t xml:space="preserve">piuttosto che </w:t>
      </w:r>
      <w:r w:rsidR="00D54804">
        <w:rPr>
          <w:rFonts w:ascii="DejaVu Sans" w:hAnsi="DejaVu Sans" w:cs="DejaVu Sans"/>
        </w:rPr>
        <w:t>Medio Bassa Volatilità</w:t>
      </w:r>
      <w:r>
        <w:rPr>
          <w:rFonts w:ascii="DejaVu Sans" w:hAnsi="DejaVu Sans" w:cs="DejaVu Sans"/>
        </w:rPr>
        <w:t xml:space="preserve"> in base alla loro </w:t>
      </w:r>
      <w:r w:rsidR="00D54804">
        <w:rPr>
          <w:rFonts w:ascii="DejaVu Sans" w:hAnsi="DejaVu Sans" w:cs="DejaVu Sans"/>
        </w:rPr>
        <w:t>deviazione standard</w:t>
      </w:r>
      <w:r>
        <w:rPr>
          <w:rFonts w:ascii="DejaVu Sans" w:hAnsi="DejaVu Sans" w:cs="DejaVu Sans"/>
        </w:rPr>
        <w:t>, ottenuta dal primo dato disponibile nell’ordine tra quelli di seguito elencati:</w:t>
      </w:r>
    </w:p>
    <w:p w14:paraId="7842FAEC" w14:textId="7CE1DBEE" w:rsidR="00C303DA" w:rsidRDefault="00C303DA" w:rsidP="00C303DA">
      <w:pPr>
        <w:pStyle w:val="Paragrafoelenco"/>
        <w:numPr>
          <w:ilvl w:val="0"/>
          <w:numId w:val="4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lastRenderedPageBreak/>
        <w:t>volatilità a 3 anni (fonte Quantalys: soglia 5%)</w:t>
      </w:r>
    </w:p>
    <w:p w14:paraId="5C2A2F70" w14:textId="7FBF2AAD" w:rsidR="00C303DA" w:rsidRDefault="00C303DA" w:rsidP="00C303DA">
      <w:pPr>
        <w:pStyle w:val="Paragrafoelenco"/>
        <w:numPr>
          <w:ilvl w:val="0"/>
          <w:numId w:val="4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volatilità a 1 anno (fonte Quantalys: soglia 5%)</w:t>
      </w:r>
    </w:p>
    <w:p w14:paraId="058F4064" w14:textId="0A2481AC" w:rsidR="006D2AA5" w:rsidRDefault="0009180F" w:rsidP="00DE4F22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Le </w:t>
      </w:r>
      <w:proofErr w:type="spellStart"/>
      <w:r>
        <w:rPr>
          <w:rFonts w:ascii="DejaVu Sans" w:hAnsi="DejaVu Sans" w:cs="DejaVu Sans"/>
        </w:rPr>
        <w:t>rankizzazioni</w:t>
      </w:r>
      <w:proofErr w:type="spellEnd"/>
      <w:r>
        <w:rPr>
          <w:rFonts w:ascii="DejaVu Sans" w:hAnsi="DejaVu Sans" w:cs="DejaVu Sans"/>
        </w:rPr>
        <w:t xml:space="preserve"> vengono effettuate per ciascuna lista e all’interno di ciascuna macrocategoria secondo i criteri esplicitati in seguito.</w:t>
      </w:r>
    </w:p>
    <w:p w14:paraId="71CE6FF5" w14:textId="3DC72EDE" w:rsidR="0009180F" w:rsidRPr="00DD0F99" w:rsidRDefault="00BF483E" w:rsidP="00DD0F99">
      <w:pPr>
        <w:pStyle w:val="Titolo1"/>
        <w:spacing w:after="240"/>
        <w:rPr>
          <w:rFonts w:ascii="DejaVu Sans" w:hAnsi="DejaVu Sans" w:cs="DejaVu Sans"/>
          <w:b/>
          <w:bCs/>
          <w:sz w:val="22"/>
          <w:szCs w:val="22"/>
        </w:rPr>
      </w:pPr>
      <w:r w:rsidRPr="00DD0F99">
        <w:rPr>
          <w:rFonts w:ascii="DejaVu Sans" w:hAnsi="DejaVu Sans" w:cs="DejaVu Sans"/>
          <w:b/>
          <w:bCs/>
          <w:color w:val="auto"/>
          <w:sz w:val="22"/>
          <w:szCs w:val="22"/>
        </w:rPr>
        <w:t>Indicatori</w:t>
      </w:r>
    </w:p>
    <w:p w14:paraId="1A57FD30" w14:textId="77777777" w:rsidR="00EE4360" w:rsidRDefault="00EE4360" w:rsidP="00DE4F22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Gli indicatori scelti per il ranking sono i seguenti:</w:t>
      </w:r>
    </w:p>
    <w:p w14:paraId="4B161036" w14:textId="3C940AEF" w:rsidR="00EE4360" w:rsidRDefault="00EE4360" w:rsidP="00EE4360">
      <w:pPr>
        <w:pStyle w:val="Paragrafoelenco"/>
        <w:numPr>
          <w:ilvl w:val="0"/>
          <w:numId w:val="6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p</w:t>
      </w:r>
      <w:r w:rsidR="00BF483E" w:rsidRPr="00EE4360">
        <w:rPr>
          <w:rFonts w:ascii="DejaVu Sans" w:hAnsi="DejaVu Sans" w:cs="DejaVu Sans"/>
        </w:rPr>
        <w:t xml:space="preserve">er </w:t>
      </w:r>
      <w:r w:rsidR="00E615FF" w:rsidRPr="00EE4360">
        <w:rPr>
          <w:rFonts w:ascii="DejaVu Sans" w:hAnsi="DejaVu Sans" w:cs="DejaVu Sans"/>
        </w:rPr>
        <w:t>le macrocategorie</w:t>
      </w:r>
      <w:r w:rsidR="00BF483E" w:rsidRPr="00EE4360">
        <w:rPr>
          <w:rFonts w:ascii="DejaVu Sans" w:hAnsi="DejaVu Sans" w:cs="DejaVu Sans"/>
        </w:rPr>
        <w:t xml:space="preserve"> direzionali (azionari e obbligazionari)</w:t>
      </w:r>
      <w:r>
        <w:rPr>
          <w:rFonts w:ascii="DejaVu Sans" w:hAnsi="DejaVu Sans" w:cs="DejaVu Sans"/>
        </w:rPr>
        <w:t>:</w:t>
      </w:r>
      <w:r w:rsidR="00BF483E" w:rsidRPr="00EE4360">
        <w:rPr>
          <w:rFonts w:ascii="DejaVu Sans" w:hAnsi="DejaVu Sans" w:cs="DejaVu Sans"/>
        </w:rPr>
        <w:t xml:space="preserve"> Information Ratio</w:t>
      </w:r>
    </w:p>
    <w:p w14:paraId="5B8E2728" w14:textId="1966362A" w:rsidR="00EE4360" w:rsidRDefault="00EE4360" w:rsidP="00EE4360">
      <w:pPr>
        <w:pStyle w:val="Paragrafoelenco"/>
        <w:numPr>
          <w:ilvl w:val="0"/>
          <w:numId w:val="6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per i fondi monetari: performance assoluta</w:t>
      </w:r>
    </w:p>
    <w:p w14:paraId="5D02C40C" w14:textId="0138988B" w:rsidR="00EE4360" w:rsidRDefault="00EE4360" w:rsidP="00EE4360">
      <w:pPr>
        <w:pStyle w:val="Paragrafoelenco"/>
        <w:numPr>
          <w:ilvl w:val="0"/>
          <w:numId w:val="6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per le altre</w:t>
      </w:r>
      <w:r w:rsidR="00E615FF" w:rsidRPr="00EE4360">
        <w:rPr>
          <w:rFonts w:ascii="DejaVu Sans" w:hAnsi="DejaVu Sans" w:cs="DejaVu Sans"/>
        </w:rPr>
        <w:t xml:space="preserve"> macrocategorie</w:t>
      </w:r>
      <w:r>
        <w:rPr>
          <w:rFonts w:ascii="DejaVu Sans" w:hAnsi="DejaVu Sans" w:cs="DejaVu Sans"/>
        </w:rPr>
        <w:t xml:space="preserve">: </w:t>
      </w:r>
      <w:r w:rsidR="00E615FF" w:rsidRPr="00EE4360">
        <w:rPr>
          <w:rFonts w:ascii="DejaVu Sans" w:hAnsi="DejaVu Sans" w:cs="DejaVu Sans"/>
        </w:rPr>
        <w:t>indice di</w:t>
      </w:r>
      <w:r>
        <w:rPr>
          <w:rFonts w:ascii="DejaVu Sans" w:hAnsi="DejaVu Sans" w:cs="DejaVu Sans"/>
        </w:rPr>
        <w:t xml:space="preserve"> Sortino</w:t>
      </w:r>
      <w:r w:rsidR="00E615FF" w:rsidRPr="00EE4360">
        <w:rPr>
          <w:rFonts w:ascii="DejaVu Sans" w:hAnsi="DejaVu Sans" w:cs="DejaVu Sans"/>
        </w:rPr>
        <w:t xml:space="preserve"> </w:t>
      </w:r>
    </w:p>
    <w:p w14:paraId="146626A9" w14:textId="7B0B3873" w:rsidR="00BF483E" w:rsidRDefault="00E615FF" w:rsidP="00EE4360">
      <w:pPr>
        <w:jc w:val="both"/>
        <w:rPr>
          <w:rFonts w:ascii="DejaVu Sans" w:hAnsi="DejaVu Sans" w:cs="DejaVu Sans"/>
        </w:rPr>
      </w:pPr>
      <w:r w:rsidRPr="00EE4360">
        <w:rPr>
          <w:rFonts w:ascii="DejaVu Sans" w:hAnsi="DejaVu Sans" w:cs="DejaVu Sans"/>
        </w:rPr>
        <w:t xml:space="preserve">L’indicatore viene </w:t>
      </w:r>
      <w:r w:rsidR="00EE4360">
        <w:rPr>
          <w:rFonts w:ascii="DejaVu Sans" w:hAnsi="DejaVu Sans" w:cs="DejaVu Sans"/>
        </w:rPr>
        <w:t>calcolato co</w:t>
      </w:r>
      <w:r w:rsidR="00963694">
        <w:rPr>
          <w:rFonts w:ascii="DejaVu Sans" w:hAnsi="DejaVu Sans" w:cs="DejaVu Sans"/>
        </w:rPr>
        <w:t xml:space="preserve">n </w:t>
      </w:r>
      <w:r w:rsidR="00EE4360">
        <w:rPr>
          <w:rFonts w:ascii="DejaVu Sans" w:hAnsi="DejaVu Sans" w:cs="DejaVu Sans"/>
        </w:rPr>
        <w:t xml:space="preserve">i dati a 1 e </w:t>
      </w:r>
      <w:r w:rsidR="00963694">
        <w:rPr>
          <w:rFonts w:ascii="DejaVu Sans" w:hAnsi="DejaVu Sans" w:cs="DejaVu Sans"/>
        </w:rPr>
        <w:t xml:space="preserve">a </w:t>
      </w:r>
      <w:r w:rsidR="00EE4360">
        <w:rPr>
          <w:rFonts w:ascii="DejaVu Sans" w:hAnsi="DejaVu Sans" w:cs="DejaVu Sans"/>
        </w:rPr>
        <w:t>3 anni</w:t>
      </w:r>
      <w:r w:rsidR="00963694">
        <w:rPr>
          <w:rFonts w:ascii="DejaVu Sans" w:hAnsi="DejaVu Sans" w:cs="DejaVu Sans"/>
        </w:rPr>
        <w:t>,</w:t>
      </w:r>
      <w:r w:rsidR="00EE4360">
        <w:rPr>
          <w:rFonts w:ascii="DejaVu Sans" w:hAnsi="DejaVu Sans" w:cs="DejaVu Sans"/>
        </w:rPr>
        <w:t xml:space="preserve"> </w:t>
      </w:r>
      <w:r w:rsidR="00963694">
        <w:rPr>
          <w:rFonts w:ascii="DejaVu Sans" w:hAnsi="DejaVu Sans" w:cs="DejaVu Sans"/>
        </w:rPr>
        <w:t xml:space="preserve">dopo aver corretto la performance del fondo inserendo </w:t>
      </w:r>
      <w:r w:rsidRPr="00EE4360">
        <w:rPr>
          <w:rFonts w:ascii="DejaVu Sans" w:hAnsi="DejaVu Sans" w:cs="DejaVu Sans"/>
        </w:rPr>
        <w:t>i costi di ingresso (se presenti</w:t>
      </w:r>
      <w:r w:rsidR="00963694">
        <w:rPr>
          <w:rFonts w:ascii="DejaVu Sans" w:hAnsi="DejaVu Sans" w:cs="DejaVu Sans"/>
        </w:rPr>
        <w:t xml:space="preserve"> e nella loro misura massima</w:t>
      </w:r>
      <w:r w:rsidRPr="00EE4360">
        <w:rPr>
          <w:rFonts w:ascii="DejaVu Sans" w:hAnsi="DejaVu Sans" w:cs="DejaVu Sans"/>
        </w:rPr>
        <w:t xml:space="preserve">) </w:t>
      </w:r>
      <w:r w:rsidR="00963694">
        <w:rPr>
          <w:rFonts w:ascii="DejaVu Sans" w:hAnsi="DejaVu Sans" w:cs="DejaVu Sans"/>
        </w:rPr>
        <w:t xml:space="preserve">“spalmati” </w:t>
      </w:r>
      <w:r w:rsidRPr="00EE4360">
        <w:rPr>
          <w:rFonts w:ascii="DejaVu Sans" w:hAnsi="DejaVu Sans" w:cs="DejaVu Sans"/>
        </w:rPr>
        <w:t>su 5 anni</w:t>
      </w:r>
      <w:r w:rsidR="00EE4360" w:rsidRPr="00EE4360">
        <w:rPr>
          <w:rFonts w:ascii="DejaVu Sans" w:hAnsi="DejaVu Sans" w:cs="DejaVu Sans"/>
        </w:rPr>
        <w:t>.</w:t>
      </w:r>
      <w:r>
        <w:rPr>
          <w:rStyle w:val="Rimandonotaapidipagina"/>
          <w:rFonts w:ascii="DejaVu Sans" w:hAnsi="DejaVu Sans" w:cs="DejaVu Sans"/>
        </w:rPr>
        <w:footnoteReference w:id="1"/>
      </w:r>
      <w:r w:rsidR="00EE4360" w:rsidRPr="00EE4360">
        <w:rPr>
          <w:rFonts w:ascii="DejaVu Sans" w:hAnsi="DejaVu Sans" w:cs="DejaVu Sans"/>
        </w:rPr>
        <w:t xml:space="preserve">  </w:t>
      </w:r>
      <w:r w:rsidR="0065242F">
        <w:rPr>
          <w:rFonts w:ascii="DejaVu Sans" w:hAnsi="DejaVu Sans" w:cs="DejaVu Sans"/>
        </w:rPr>
        <w:t>Nello specifico, per i fondi a benchmark l’indicatore corretto risulta essere</w:t>
      </w:r>
    </w:p>
    <w:p w14:paraId="318F0B6F" w14:textId="4C6A7C0E" w:rsidR="0065242F" w:rsidRPr="0065242F" w:rsidRDefault="00C773F5" w:rsidP="00EE4360">
      <w:pPr>
        <w:jc w:val="both"/>
        <w:rPr>
          <w:rFonts w:ascii="DejaVu Math TeX Gyre" w:eastAsiaTheme="minorEastAsia" w:hAnsi="DejaVu Math TeX Gyre" w:cs="DejaVu Sans"/>
        </w:rPr>
      </w:pPr>
      <m:oMathPara>
        <m:oMath>
          <m:f>
            <m:fPr>
              <m:ctrlPr>
                <w:rPr>
                  <w:rFonts w:ascii="DejaVu Math TeX Gyre" w:hAnsi="DejaVu Math TeX Gyre" w:cs="DejaVu Sans"/>
                  <w:i/>
                </w:rPr>
              </m:ctrlPr>
            </m:fPr>
            <m:num>
              <m:d>
                <m:dPr>
                  <m:ctrlPr>
                    <w:rPr>
                      <w:rFonts w:ascii="DejaVu Math TeX Gyre" w:hAnsi="DejaVu Math TeX Gyre" w:cs="DejaVu Sans"/>
                      <w:i/>
                    </w:rPr>
                  </m:ctrlPr>
                </m:dPr>
                <m:e>
                  <m:r>
                    <w:rPr>
                      <w:rFonts w:ascii="DejaVu Math TeX Gyre" w:hAnsi="DejaVu Math TeX Gyre" w:cs="DejaVu San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DejaVu Math TeX Gyre" w:hAnsi="DejaVu Math TeX Gyre" w:cs="DejaVu Sans"/>
                          <w:i/>
                        </w:rPr>
                      </m:ctrlPr>
                    </m:dPr>
                    <m:e>
                      <m:r>
                        <w:rPr>
                          <w:rFonts w:ascii="DejaVu Math TeX Gyre" w:hAnsi="DejaVu Math TeX Gyre" w:cs="DejaVu Sans"/>
                        </w:rPr>
                        <m:t>R</m:t>
                      </m:r>
                    </m:e>
                  </m:d>
                  <m:r>
                    <w:rPr>
                      <w:rFonts w:ascii="DejaVu Math TeX Gyre" w:hAnsi="DejaVu Math TeX Gyre" w:cs="DejaVu Sans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DejaVu Math TeX Gyre" w:hAnsi="DejaVu Math TeX Gyre" w:cs="DejaVu Sans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DejaVu Math TeX Gyre" w:hAnsi="DejaVu Math TeX Gyre" w:cs="DejaVu Sans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DejaVu Math TeX Gyre" w:hAnsi="DejaVu Math TeX Gyre" w:cs="DejaVu San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DejaVu Math TeX Gyre" w:hAnsi="DejaVu Math TeX Gyre" w:cs="DejaVu Sans"/>
                            </w:rPr>
                            <m:t>b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DejaVu Math TeX Gyre" w:hAnsi="DejaVu Math TeX Gyre" w:cs="DejaVu Sans"/>
                </w:rPr>
                <m:t>-F/5</m:t>
              </m:r>
            </m:num>
            <m:den>
              <m:r>
                <w:rPr>
                  <w:rFonts w:ascii="DejaVu Math TeX Gyre" w:hAnsi="DejaVu Math TeX Gyre" w:cs="DejaVu Sans"/>
                </w:rPr>
                <m:t>TEV</m:t>
              </m:r>
            </m:den>
          </m:f>
        </m:oMath>
      </m:oMathPara>
    </w:p>
    <w:p w14:paraId="7ED2E730" w14:textId="41C225FE" w:rsidR="0065242F" w:rsidRDefault="0065242F" w:rsidP="00EE4360">
      <w:pPr>
        <w:jc w:val="both"/>
        <w:rPr>
          <w:rFonts w:ascii="DejaVu Sans" w:eastAsiaTheme="minorEastAsia" w:hAnsi="DejaVu Sans" w:cs="DejaVu Sans"/>
        </w:rPr>
      </w:pPr>
      <w:r>
        <w:rPr>
          <w:rFonts w:ascii="DejaVu Sans" w:eastAsiaTheme="minorEastAsia" w:hAnsi="DejaVu Sans" w:cs="DejaVu Sans"/>
        </w:rPr>
        <w:t xml:space="preserve">dove </w:t>
      </w:r>
      <m:oMath>
        <m:r>
          <w:rPr>
            <w:rFonts w:ascii="DejaVu Math TeX Gyre" w:hAnsi="DejaVu Math TeX Gyre" w:cs="DejaVu Sans"/>
          </w:rPr>
          <m:t>E</m:t>
        </m:r>
        <m:d>
          <m:dPr>
            <m:begChr m:val="["/>
            <m:endChr m:val="]"/>
            <m:ctrlPr>
              <w:rPr>
                <w:rFonts w:ascii="DejaVu Math TeX Gyre" w:hAnsi="DejaVu Math TeX Gyre" w:cs="DejaVu Sans"/>
                <w:i/>
              </w:rPr>
            </m:ctrlPr>
          </m:dPr>
          <m:e>
            <m:r>
              <w:rPr>
                <w:rFonts w:ascii="DejaVu Math TeX Gyre" w:hAnsi="DejaVu Math TeX Gyre" w:cs="DejaVu Sans"/>
              </w:rPr>
              <m:t>R</m:t>
            </m:r>
          </m:e>
        </m:d>
      </m:oMath>
      <w:r>
        <w:rPr>
          <w:rFonts w:ascii="DejaVu Sans" w:eastAsiaTheme="minorEastAsia" w:hAnsi="DejaVu Sans" w:cs="DejaVu Sans"/>
        </w:rPr>
        <w:t xml:space="preserve"> indica il rendimento </w:t>
      </w:r>
      <w:r w:rsidR="007E49F5">
        <w:rPr>
          <w:rFonts w:ascii="DejaVu Sans" w:eastAsiaTheme="minorEastAsia" w:hAnsi="DejaVu Sans" w:cs="DejaVu Sans"/>
        </w:rPr>
        <w:t>medio</w:t>
      </w:r>
      <w:r w:rsidR="00DD0F99">
        <w:rPr>
          <w:rFonts w:ascii="DejaVu Sans" w:eastAsiaTheme="minorEastAsia" w:hAnsi="DejaVu Sans" w:cs="DejaVu Sans"/>
        </w:rPr>
        <w:t xml:space="preserve"> annualizzato</w:t>
      </w:r>
      <w:r>
        <w:rPr>
          <w:rFonts w:ascii="DejaVu Sans" w:eastAsiaTheme="minorEastAsia" w:hAnsi="DejaVu Sans" w:cs="DejaVu Sans"/>
        </w:rPr>
        <w:t xml:space="preserve"> del fondo, </w:t>
      </w:r>
      <m:oMath>
        <m:r>
          <w:rPr>
            <w:rFonts w:ascii="DejaVu Math TeX Gyre" w:hAnsi="DejaVu Math TeX Gyre" w:cs="DejaVu Sans"/>
          </w:rPr>
          <m:t>E</m:t>
        </m:r>
        <m:d>
          <m:dPr>
            <m:begChr m:val="["/>
            <m:endChr m:val="]"/>
            <m:ctrlPr>
              <w:rPr>
                <w:rFonts w:ascii="DejaVu Math TeX Gyre" w:hAnsi="DejaVu Math TeX Gyre" w:cs="DejaVu Sans"/>
                <w:i/>
              </w:rPr>
            </m:ctrlPr>
          </m:dPr>
          <m:e>
            <m:sSub>
              <m:sSubPr>
                <m:ctrlPr>
                  <w:rPr>
                    <w:rFonts w:ascii="DejaVu Math TeX Gyre" w:hAnsi="DejaVu Math TeX Gyre" w:cs="DejaVu Sans"/>
                    <w:i/>
                  </w:rPr>
                </m:ctrlPr>
              </m:sSubPr>
              <m:e>
                <m:r>
                  <w:rPr>
                    <w:rFonts w:ascii="DejaVu Math TeX Gyre" w:hAnsi="DejaVu Math TeX Gyre" w:cs="DejaVu Sans"/>
                  </w:rPr>
                  <m:t>R</m:t>
                </m:r>
              </m:e>
              <m:sub>
                <m:r>
                  <w:rPr>
                    <w:rFonts w:ascii="DejaVu Math TeX Gyre" w:hAnsi="DejaVu Math TeX Gyre" w:cs="DejaVu Sans"/>
                  </w:rPr>
                  <m:t>b</m:t>
                </m:r>
              </m:sub>
            </m:sSub>
          </m:e>
        </m:d>
      </m:oMath>
      <w:r>
        <w:rPr>
          <w:rFonts w:ascii="DejaVu Sans" w:eastAsiaTheme="minorEastAsia" w:hAnsi="DejaVu Sans" w:cs="DejaVu Sans"/>
        </w:rPr>
        <w:t xml:space="preserve"> il rendimento </w:t>
      </w:r>
      <w:r w:rsidR="007E49F5">
        <w:rPr>
          <w:rFonts w:ascii="DejaVu Sans" w:eastAsiaTheme="minorEastAsia" w:hAnsi="DejaVu Sans" w:cs="DejaVu Sans"/>
        </w:rPr>
        <w:t>medio</w:t>
      </w:r>
      <w:r>
        <w:rPr>
          <w:rFonts w:ascii="DejaVu Sans" w:eastAsiaTheme="minorEastAsia" w:hAnsi="DejaVu Sans" w:cs="DejaVu Sans"/>
        </w:rPr>
        <w:t xml:space="preserve"> </w:t>
      </w:r>
      <w:r w:rsidR="00DD0F99">
        <w:rPr>
          <w:rFonts w:ascii="DejaVu Sans" w:eastAsiaTheme="minorEastAsia" w:hAnsi="DejaVu Sans" w:cs="DejaVu Sans"/>
        </w:rPr>
        <w:t xml:space="preserve">annualizzato </w:t>
      </w:r>
      <w:r>
        <w:rPr>
          <w:rFonts w:ascii="DejaVu Sans" w:eastAsiaTheme="minorEastAsia" w:hAnsi="DejaVu Sans" w:cs="DejaVu Sans"/>
        </w:rPr>
        <w:t xml:space="preserve">del benchmark, </w:t>
      </w:r>
      <m:oMath>
        <m:r>
          <w:rPr>
            <w:rFonts w:ascii="DejaVu Math TeX Gyre" w:hAnsi="DejaVu Math TeX Gyre" w:cs="DejaVu Sans"/>
          </w:rPr>
          <m:t>F</m:t>
        </m:r>
      </m:oMath>
      <w:r>
        <w:rPr>
          <w:rFonts w:ascii="DejaVu Sans" w:eastAsiaTheme="minorEastAsia" w:hAnsi="DejaVu Sans" w:cs="DejaVu Sans"/>
        </w:rPr>
        <w:t xml:space="preserve"> l’ammontare della front fee e </w:t>
      </w:r>
      <m:oMath>
        <m:r>
          <w:rPr>
            <w:rFonts w:ascii="DejaVu Math TeX Gyre" w:hAnsi="DejaVu Math TeX Gyre" w:cs="DejaVu Sans"/>
          </w:rPr>
          <m:t>TEV</m:t>
        </m:r>
      </m:oMath>
      <w:r>
        <w:rPr>
          <w:rFonts w:ascii="DejaVu Sans" w:eastAsiaTheme="minorEastAsia" w:hAnsi="DejaVu Sans" w:cs="DejaVu Sans"/>
        </w:rPr>
        <w:t xml:space="preserve"> la tracking </w:t>
      </w:r>
      <w:proofErr w:type="spellStart"/>
      <w:r>
        <w:rPr>
          <w:rFonts w:ascii="DejaVu Sans" w:eastAsiaTheme="minorEastAsia" w:hAnsi="DejaVu Sans" w:cs="DejaVu Sans"/>
        </w:rPr>
        <w:t>error</w:t>
      </w:r>
      <w:proofErr w:type="spellEnd"/>
      <w:r>
        <w:rPr>
          <w:rFonts w:ascii="DejaVu Sans" w:eastAsiaTheme="minorEastAsia" w:hAnsi="DejaVu Sans" w:cs="DejaVu Sans"/>
        </w:rPr>
        <w:t xml:space="preserve"> </w:t>
      </w:r>
      <w:proofErr w:type="spellStart"/>
      <w:r>
        <w:rPr>
          <w:rFonts w:ascii="DejaVu Sans" w:eastAsiaTheme="minorEastAsia" w:hAnsi="DejaVu Sans" w:cs="DejaVu Sans"/>
        </w:rPr>
        <w:t>volatility</w:t>
      </w:r>
      <w:proofErr w:type="spellEnd"/>
      <w:r w:rsidR="00DD0F99">
        <w:rPr>
          <w:rFonts w:ascii="DejaVu Sans" w:eastAsiaTheme="minorEastAsia" w:hAnsi="DejaVu Sans" w:cs="DejaVu Sans"/>
        </w:rPr>
        <w:t xml:space="preserve"> annualizzata</w:t>
      </w:r>
      <w:r>
        <w:rPr>
          <w:rFonts w:ascii="DejaVu Sans" w:eastAsiaTheme="minorEastAsia" w:hAnsi="DejaVu Sans" w:cs="DejaVu Sans"/>
        </w:rPr>
        <w:t xml:space="preserve"> del fondo rispetto al benchmark</w:t>
      </w:r>
      <w:r w:rsidR="003F4B7A">
        <w:rPr>
          <w:rFonts w:ascii="DejaVu Sans" w:eastAsiaTheme="minorEastAsia" w:hAnsi="DejaVu Sans" w:cs="DejaVu Sans"/>
        </w:rPr>
        <w:t>.</w:t>
      </w:r>
      <w:r w:rsidR="00714A46">
        <w:rPr>
          <w:rStyle w:val="Rimandonotaapidipagina"/>
          <w:rFonts w:ascii="DejaVu Sans" w:eastAsiaTheme="minorEastAsia" w:hAnsi="DejaVu Sans" w:cs="DejaVu Sans"/>
        </w:rPr>
        <w:footnoteReference w:id="2"/>
      </w:r>
      <w:r>
        <w:rPr>
          <w:rFonts w:ascii="DejaVu Sans" w:eastAsiaTheme="minorEastAsia" w:hAnsi="DejaVu Sans" w:cs="DejaVu Sans"/>
        </w:rPr>
        <w:t xml:space="preserve"> Per i fondi monetari l’indicatore corretto è pari a</w:t>
      </w:r>
    </w:p>
    <w:p w14:paraId="736B7856" w14:textId="07D20F93" w:rsidR="0065242F" w:rsidRPr="0065242F" w:rsidRDefault="0065242F" w:rsidP="00EE4360">
      <w:pPr>
        <w:jc w:val="both"/>
        <w:rPr>
          <w:rFonts w:ascii="DejaVu Sans" w:eastAsiaTheme="minorEastAsia" w:hAnsi="DejaVu Sans" w:cs="DejaVu Sans"/>
        </w:rPr>
      </w:pPr>
      <m:oMathPara>
        <m:oMath>
          <m:r>
            <w:rPr>
              <w:rFonts w:ascii="DejaVu Math TeX Gyre" w:hAnsi="DejaVu Math TeX Gyre" w:cs="DejaVu Sans"/>
            </w:rPr>
            <m:t>E</m:t>
          </m:r>
          <m:d>
            <m:dPr>
              <m:begChr m:val="["/>
              <m:endChr m:val="]"/>
              <m:ctrlPr>
                <w:rPr>
                  <w:rFonts w:ascii="DejaVu Math TeX Gyre" w:hAnsi="DejaVu Math TeX Gyre" w:cs="DejaVu Sans"/>
                  <w:i/>
                </w:rPr>
              </m:ctrlPr>
            </m:dPr>
            <m:e>
              <m:r>
                <w:rPr>
                  <w:rFonts w:ascii="DejaVu Math TeX Gyre" w:hAnsi="DejaVu Math TeX Gyre" w:cs="DejaVu Sans"/>
                </w:rPr>
                <m:t>R</m:t>
              </m:r>
            </m:e>
          </m:d>
          <m:r>
            <w:rPr>
              <w:rFonts w:ascii="DejaVu Math TeX Gyre" w:hAnsi="DejaVu Math TeX Gyre" w:cs="DejaVu Sans"/>
            </w:rPr>
            <m:t>-F/5</m:t>
          </m:r>
        </m:oMath>
      </m:oMathPara>
    </w:p>
    <w:p w14:paraId="20AC227E" w14:textId="5CF07154" w:rsidR="0065242F" w:rsidRDefault="0065242F" w:rsidP="00EE4360">
      <w:pPr>
        <w:jc w:val="both"/>
        <w:rPr>
          <w:rFonts w:ascii="DejaVu Sans" w:eastAsiaTheme="minorEastAsia" w:hAnsi="DejaVu Sans" w:cs="DejaVu Sans"/>
        </w:rPr>
      </w:pPr>
      <w:r>
        <w:rPr>
          <w:rFonts w:ascii="DejaVu Sans" w:eastAsiaTheme="minorEastAsia" w:hAnsi="DejaVu Sans" w:cs="DejaVu Sans"/>
        </w:rPr>
        <w:t>e per i fondi non a benchmark risulta essere</w:t>
      </w:r>
    </w:p>
    <w:p w14:paraId="0F3881A1" w14:textId="26246B87" w:rsidR="0065242F" w:rsidRPr="0065242F" w:rsidRDefault="00C773F5" w:rsidP="00EE4360">
      <w:pPr>
        <w:jc w:val="both"/>
        <w:rPr>
          <w:rFonts w:ascii="DejaVu Sans" w:eastAsiaTheme="minorEastAsia" w:hAnsi="DejaVu Sans" w:cs="DejaVu Sans"/>
        </w:rPr>
      </w:pPr>
      <m:oMathPara>
        <m:oMath>
          <m:f>
            <m:fPr>
              <m:ctrlPr>
                <w:rPr>
                  <w:rFonts w:ascii="DejaVu Math TeX Gyre" w:hAnsi="DejaVu Math TeX Gyre" w:cs="DejaVu Sans"/>
                  <w:i/>
                </w:rPr>
              </m:ctrlPr>
            </m:fPr>
            <m:num>
              <m:r>
                <w:rPr>
                  <w:rFonts w:ascii="DejaVu Math TeX Gyre" w:hAnsi="DejaVu Math TeX Gyre" w:cs="DejaVu Sans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DejaVu Math TeX Gyre" w:hAnsi="DejaVu Math TeX Gyre" w:cs="DejaVu Sans"/>
                      <w:i/>
                    </w:rPr>
                  </m:ctrlPr>
                </m:dPr>
                <m:e>
                  <m:r>
                    <w:rPr>
                      <w:rFonts w:ascii="DejaVu Math TeX Gyre" w:hAnsi="DejaVu Math TeX Gyre" w:cs="DejaVu Sans"/>
                    </w:rPr>
                    <m:t>R</m:t>
                  </m:r>
                </m:e>
              </m:d>
              <m:r>
                <w:rPr>
                  <w:rFonts w:ascii="DejaVu Math TeX Gyre" w:hAnsi="DejaVu Math TeX Gyre" w:cs="DejaVu Sans"/>
                </w:rPr>
                <m:t>-</m:t>
              </m:r>
              <m:sSub>
                <m:sSubPr>
                  <m:ctrlPr>
                    <w:rPr>
                      <w:rFonts w:ascii="DejaVu Math TeX Gyre" w:hAnsi="DejaVu Math TeX Gyre" w:cs="DejaVu Sans"/>
                      <w:i/>
                    </w:rPr>
                  </m:ctrlPr>
                </m:sSubPr>
                <m:e>
                  <m:r>
                    <w:rPr>
                      <w:rFonts w:ascii="DejaVu Math TeX Gyre" w:hAnsi="DejaVu Math TeX Gyre" w:cs="DejaVu Sans"/>
                    </w:rPr>
                    <m:t>r</m:t>
                  </m:r>
                </m:e>
                <m:sub>
                  <m:r>
                    <w:rPr>
                      <w:rFonts w:ascii="DejaVu Math TeX Gyre" w:hAnsi="DejaVu Math TeX Gyre" w:cs="DejaVu Sans"/>
                    </w:rPr>
                    <m:t>f</m:t>
                  </m:r>
                </m:sub>
              </m:sSub>
              <m:r>
                <w:rPr>
                  <w:rFonts w:ascii="DejaVu Math TeX Gyre" w:hAnsi="DejaVu Math TeX Gyre" w:cs="DejaVu Sans"/>
                </w:rPr>
                <m:t>)-F/5</m:t>
              </m:r>
            </m:num>
            <m:den>
              <m:r>
                <w:rPr>
                  <w:rFonts w:ascii="DejaVu Math TeX Gyre" w:hAnsi="DejaVu Math TeX Gyre" w:cs="DejaVu Sans"/>
                </w:rPr>
                <m:t>DSR</m:t>
              </m:r>
            </m:den>
          </m:f>
        </m:oMath>
      </m:oMathPara>
    </w:p>
    <w:p w14:paraId="45D1B892" w14:textId="4045A026" w:rsidR="0065242F" w:rsidRDefault="0065242F" w:rsidP="00EE4360">
      <w:pPr>
        <w:jc w:val="both"/>
        <w:rPr>
          <w:rFonts w:ascii="DejaVu Sans" w:eastAsiaTheme="minorEastAsia" w:hAnsi="DejaVu Sans" w:cs="DejaVu Sans"/>
        </w:rPr>
      </w:pPr>
      <w:r>
        <w:rPr>
          <w:rFonts w:ascii="DejaVu Sans" w:eastAsiaTheme="minorEastAsia" w:hAnsi="DejaVu Sans" w:cs="DejaVu Sans"/>
        </w:rPr>
        <w:t>dove</w:t>
      </w:r>
      <w:r w:rsidR="00044846">
        <w:rPr>
          <w:rFonts w:ascii="DejaVu Sans" w:eastAsiaTheme="minorEastAsia" w:hAnsi="DejaVu Sans" w:cs="DejaVu Sans"/>
        </w:rPr>
        <w:t xml:space="preserve"> </w:t>
      </w:r>
      <m:oMath>
        <m:sSub>
          <m:sSubPr>
            <m:ctrlPr>
              <w:rPr>
                <w:rFonts w:ascii="DejaVu Math TeX Gyre" w:hAnsi="DejaVu Math TeX Gyre" w:cs="DejaVu Sans"/>
                <w:i/>
              </w:rPr>
            </m:ctrlPr>
          </m:sSubPr>
          <m:e>
            <m:r>
              <w:rPr>
                <w:rFonts w:ascii="DejaVu Math TeX Gyre" w:hAnsi="DejaVu Math TeX Gyre" w:cs="DejaVu Sans"/>
              </w:rPr>
              <m:t>r</m:t>
            </m:r>
          </m:e>
          <m:sub>
            <m:r>
              <w:rPr>
                <w:rFonts w:ascii="DejaVu Math TeX Gyre" w:hAnsi="DejaVu Math TeX Gyre" w:cs="DejaVu Sans"/>
              </w:rPr>
              <m:t>f</m:t>
            </m:r>
          </m:sub>
        </m:sSub>
      </m:oMath>
      <w:r>
        <w:rPr>
          <w:rFonts w:ascii="DejaVu Sans" w:eastAsiaTheme="minorEastAsia" w:hAnsi="DejaVu Sans" w:cs="DejaVu Sans"/>
        </w:rPr>
        <w:t xml:space="preserve"> </w:t>
      </w:r>
      <w:r w:rsidR="00044846">
        <w:rPr>
          <w:rFonts w:ascii="DejaVu Sans" w:eastAsiaTheme="minorEastAsia" w:hAnsi="DejaVu Sans" w:cs="DejaVu Sans"/>
        </w:rPr>
        <w:t xml:space="preserve">denota il tasso risk-free, che </w:t>
      </w:r>
      <w:proofErr w:type="spellStart"/>
      <w:r w:rsidR="00044846">
        <w:rPr>
          <w:rFonts w:ascii="DejaVu Sans" w:eastAsiaTheme="minorEastAsia" w:hAnsi="DejaVu Sans" w:cs="DejaVu Sans"/>
        </w:rPr>
        <w:t>Quantalys</w:t>
      </w:r>
      <w:proofErr w:type="spellEnd"/>
      <w:r w:rsidR="00044846">
        <w:rPr>
          <w:rFonts w:ascii="DejaVu Sans" w:eastAsiaTheme="minorEastAsia" w:hAnsi="DejaVu Sans" w:cs="DejaVu Sans"/>
        </w:rPr>
        <w:t xml:space="preserve"> identifica con la performance annualizzata dell’indice EONIA, e </w:t>
      </w:r>
      <m:oMath>
        <m:r>
          <w:rPr>
            <w:rFonts w:ascii="DejaVu Math TeX Gyre" w:hAnsi="DejaVu Math TeX Gyre" w:cs="DejaVu Sans"/>
          </w:rPr>
          <m:t>DSR</m:t>
        </m:r>
      </m:oMath>
      <w:r>
        <w:rPr>
          <w:rFonts w:ascii="DejaVu Sans" w:eastAsiaTheme="minorEastAsia" w:hAnsi="DejaVu Sans" w:cs="DejaVu Sans"/>
        </w:rPr>
        <w:t xml:space="preserve"> denota </w:t>
      </w:r>
      <w:r w:rsidR="00DD0F99">
        <w:rPr>
          <w:rFonts w:ascii="DejaVu Sans" w:eastAsiaTheme="minorEastAsia" w:hAnsi="DejaVu Sans" w:cs="DejaVu Sans"/>
        </w:rPr>
        <w:t xml:space="preserve">il </w:t>
      </w:r>
      <w:proofErr w:type="spellStart"/>
      <w:r w:rsidR="00DD0F99">
        <w:rPr>
          <w:rFonts w:ascii="DejaVu Sans" w:eastAsiaTheme="minorEastAsia" w:hAnsi="DejaVu Sans" w:cs="DejaVu Sans"/>
        </w:rPr>
        <w:t>downside</w:t>
      </w:r>
      <w:proofErr w:type="spellEnd"/>
      <w:r w:rsidR="00DD0F99">
        <w:rPr>
          <w:rFonts w:ascii="DejaVu Sans" w:eastAsiaTheme="minorEastAsia" w:hAnsi="DejaVu Sans" w:cs="DejaVu Sans"/>
        </w:rPr>
        <w:t xml:space="preserve"> risk</w:t>
      </w:r>
      <w:r w:rsidR="006D052A">
        <w:rPr>
          <w:rFonts w:ascii="DejaVu Sans" w:eastAsiaTheme="minorEastAsia" w:hAnsi="DejaVu Sans" w:cs="DejaVu Sans"/>
        </w:rPr>
        <w:t>,</w:t>
      </w:r>
      <w:r w:rsidR="00DD0F99">
        <w:rPr>
          <w:rFonts w:ascii="DejaVu Sans" w:eastAsiaTheme="minorEastAsia" w:hAnsi="DejaVu Sans" w:cs="DejaVu Sans"/>
        </w:rPr>
        <w:t xml:space="preserve"> individuato </w:t>
      </w:r>
      <w:r w:rsidR="007E49F5">
        <w:rPr>
          <w:rFonts w:ascii="DejaVu Sans" w:eastAsiaTheme="minorEastAsia" w:hAnsi="DejaVu Sans" w:cs="DejaVu Sans"/>
        </w:rPr>
        <w:t>nella</w:t>
      </w:r>
      <w:r w:rsidR="00DD0F99">
        <w:rPr>
          <w:rFonts w:ascii="DejaVu Sans" w:eastAsiaTheme="minorEastAsia" w:hAnsi="DejaVu Sans" w:cs="DejaVu Sans"/>
        </w:rPr>
        <w:t xml:space="preserve"> </w:t>
      </w:r>
      <w:proofErr w:type="spellStart"/>
      <w:r w:rsidR="00DD0F99">
        <w:rPr>
          <w:rFonts w:ascii="DejaVu Sans" w:eastAsiaTheme="minorEastAsia" w:hAnsi="DejaVu Sans" w:cs="DejaVu Sans"/>
        </w:rPr>
        <w:t>semideviazione</w:t>
      </w:r>
      <w:proofErr w:type="spellEnd"/>
      <w:r w:rsidR="00DD0F99">
        <w:rPr>
          <w:rFonts w:ascii="DejaVu Sans" w:eastAsiaTheme="minorEastAsia" w:hAnsi="DejaVu Sans" w:cs="DejaVu Sans"/>
        </w:rPr>
        <w:t xml:space="preserve"> standard annualizzata</w:t>
      </w:r>
      <w:r w:rsidR="00C120C1">
        <w:rPr>
          <w:rFonts w:ascii="DejaVu Sans" w:eastAsiaTheme="minorEastAsia" w:hAnsi="DejaVu Sans" w:cs="DejaVu Sans"/>
        </w:rPr>
        <w:t xml:space="preserve"> del fondo</w:t>
      </w:r>
      <w:r w:rsidR="00DD0F99">
        <w:rPr>
          <w:rFonts w:ascii="DejaVu Sans" w:eastAsiaTheme="minorEastAsia" w:hAnsi="DejaVu Sans" w:cs="DejaVu Sans"/>
        </w:rPr>
        <w:t>.</w:t>
      </w:r>
    </w:p>
    <w:p w14:paraId="16663792" w14:textId="38F6E3A2" w:rsidR="00DD0F99" w:rsidRDefault="00DD0F99" w:rsidP="00DD0F99">
      <w:pPr>
        <w:pStyle w:val="Titolo1"/>
        <w:spacing w:after="240"/>
        <w:rPr>
          <w:rFonts w:ascii="DejaVu Sans" w:hAnsi="DejaVu Sans" w:cs="DejaVu Sans"/>
          <w:b/>
          <w:bCs/>
          <w:color w:val="auto"/>
          <w:sz w:val="22"/>
          <w:szCs w:val="22"/>
        </w:rPr>
      </w:pPr>
      <w:proofErr w:type="spellStart"/>
      <w:r w:rsidRPr="00DD0F99">
        <w:rPr>
          <w:rFonts w:ascii="DejaVu Sans" w:hAnsi="DejaVu Sans" w:cs="DejaVu Sans"/>
          <w:b/>
          <w:bCs/>
          <w:color w:val="auto"/>
          <w:sz w:val="22"/>
          <w:szCs w:val="22"/>
        </w:rPr>
        <w:t>Rankizzazione</w:t>
      </w:r>
      <w:proofErr w:type="spellEnd"/>
    </w:p>
    <w:p w14:paraId="1A0AE783" w14:textId="1D3AEF9D" w:rsidR="00DD1B9E" w:rsidRDefault="00DD1B9E" w:rsidP="002469EE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I fondi vengono aggregati per macrocategoria. </w:t>
      </w:r>
      <w:r w:rsidR="00DD0F99">
        <w:rPr>
          <w:rFonts w:ascii="DejaVu Sans" w:hAnsi="DejaVu Sans" w:cs="DejaVu Sans"/>
        </w:rPr>
        <w:t xml:space="preserve">In </w:t>
      </w:r>
      <w:r>
        <w:rPr>
          <w:rFonts w:ascii="DejaVu Sans" w:hAnsi="DejaVu Sans" w:cs="DejaVu Sans"/>
        </w:rPr>
        <w:t xml:space="preserve">ciascuna </w:t>
      </w:r>
      <w:r w:rsidR="00DD0F99">
        <w:rPr>
          <w:rFonts w:ascii="DejaVu Sans" w:hAnsi="DejaVu Sans" w:cs="DejaVu Sans"/>
        </w:rPr>
        <w:t>m</w:t>
      </w:r>
      <w:r>
        <w:rPr>
          <w:rFonts w:ascii="DejaVu Sans" w:hAnsi="DejaVu Sans" w:cs="DejaVu Sans"/>
        </w:rPr>
        <w:t>a</w:t>
      </w:r>
      <w:r w:rsidR="00DD0F99">
        <w:rPr>
          <w:rFonts w:ascii="DejaVu Sans" w:hAnsi="DejaVu Sans" w:cs="DejaVu Sans"/>
        </w:rPr>
        <w:t xml:space="preserve">crocategoria si procede a calcolare </w:t>
      </w:r>
      <w:r>
        <w:rPr>
          <w:rFonts w:ascii="DejaVu Sans" w:hAnsi="DejaVu Sans" w:cs="DejaVu Sans"/>
        </w:rPr>
        <w:t>i</w:t>
      </w:r>
      <w:r w:rsidR="00DD0F99">
        <w:rPr>
          <w:rFonts w:ascii="DejaVu Sans" w:hAnsi="DejaVu Sans" w:cs="DejaVu Sans"/>
        </w:rPr>
        <w:t>l</w:t>
      </w:r>
      <w:r>
        <w:rPr>
          <w:rFonts w:ascii="DejaVu Sans" w:hAnsi="DejaVu Sans" w:cs="DejaVu Sans"/>
        </w:rPr>
        <w:t xml:space="preserve"> relativo </w:t>
      </w:r>
      <w:r w:rsidR="00DD0F99">
        <w:rPr>
          <w:rFonts w:ascii="DejaVu Sans" w:hAnsi="DejaVu Sans" w:cs="DejaVu Sans"/>
        </w:rPr>
        <w:t>indicatore co</w:t>
      </w:r>
      <w:r w:rsidR="00963694">
        <w:rPr>
          <w:rFonts w:ascii="DejaVu Sans" w:hAnsi="DejaVu Sans" w:cs="DejaVu Sans"/>
        </w:rPr>
        <w:t xml:space="preserve">n </w:t>
      </w:r>
      <w:r w:rsidR="00DD0F99">
        <w:rPr>
          <w:rFonts w:ascii="DejaVu Sans" w:hAnsi="DejaVu Sans" w:cs="DejaVu Sans"/>
        </w:rPr>
        <w:t xml:space="preserve">i dati a 1 e </w:t>
      </w:r>
      <w:r w:rsidR="00963694">
        <w:rPr>
          <w:rFonts w:ascii="DejaVu Sans" w:hAnsi="DejaVu Sans" w:cs="DejaVu Sans"/>
        </w:rPr>
        <w:t xml:space="preserve">a </w:t>
      </w:r>
      <w:r w:rsidR="00DD0F99">
        <w:rPr>
          <w:rFonts w:ascii="DejaVu Sans" w:hAnsi="DejaVu Sans" w:cs="DejaVu Sans"/>
        </w:rPr>
        <w:t>3 anni.</w:t>
      </w:r>
      <w:r w:rsidR="002469EE">
        <w:rPr>
          <w:rFonts w:ascii="DejaVu Sans" w:hAnsi="DejaVu Sans" w:cs="DejaVu Sans"/>
        </w:rPr>
        <w:t xml:space="preserve"> </w:t>
      </w:r>
    </w:p>
    <w:p w14:paraId="7287822F" w14:textId="2310790D" w:rsidR="00DD0F99" w:rsidRDefault="001B37F2" w:rsidP="002469EE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Per </w:t>
      </w:r>
      <w:r w:rsidR="00DD1B9E">
        <w:rPr>
          <w:rFonts w:ascii="DejaVu Sans" w:hAnsi="DejaVu Sans" w:cs="DejaVu Sans"/>
        </w:rPr>
        <w:t>le macrocategorie</w:t>
      </w:r>
      <w:r>
        <w:rPr>
          <w:rFonts w:ascii="DejaVu Sans" w:hAnsi="DejaVu Sans" w:cs="DejaVu Sans"/>
        </w:rPr>
        <w:t xml:space="preserve"> a benchmark l’Information Ratio </w:t>
      </w:r>
      <w:proofErr w:type="gramStart"/>
      <w:r>
        <w:rPr>
          <w:rFonts w:ascii="DejaVu Sans" w:hAnsi="DejaVu Sans" w:cs="DejaVu Sans"/>
        </w:rPr>
        <w:t>è calcolato</w:t>
      </w:r>
      <w:proofErr w:type="gramEnd"/>
      <w:r>
        <w:rPr>
          <w:rFonts w:ascii="DejaVu Sans" w:hAnsi="DejaVu Sans" w:cs="DejaVu Sans"/>
        </w:rPr>
        <w:t xml:space="preserve"> </w:t>
      </w:r>
      <w:r w:rsidR="00DD1B9E">
        <w:rPr>
          <w:rFonts w:ascii="DejaVu Sans" w:hAnsi="DejaVu Sans" w:cs="DejaVu Sans"/>
        </w:rPr>
        <w:t xml:space="preserve">per ciascun fondo </w:t>
      </w:r>
      <w:r>
        <w:rPr>
          <w:rFonts w:ascii="DejaVu Sans" w:hAnsi="DejaVu Sans" w:cs="DejaVu Sans"/>
        </w:rPr>
        <w:t xml:space="preserve">relativamente al benchmark associato </w:t>
      </w:r>
      <w:r w:rsidR="00DD1B9E">
        <w:rPr>
          <w:rFonts w:ascii="DejaVu Sans" w:hAnsi="DejaVu Sans" w:cs="DejaVu Sans"/>
        </w:rPr>
        <w:t xml:space="preserve">di default </w:t>
      </w:r>
      <w:r>
        <w:rPr>
          <w:rFonts w:ascii="DejaVu Sans" w:hAnsi="DejaVu Sans" w:cs="DejaVu Sans"/>
        </w:rPr>
        <w:t xml:space="preserve">alla </w:t>
      </w:r>
      <w:r w:rsidR="00DD1B9E">
        <w:rPr>
          <w:rFonts w:ascii="DejaVu Sans" w:hAnsi="DejaVu Sans" w:cs="DejaVu Sans"/>
        </w:rPr>
        <w:t xml:space="preserve">sua </w:t>
      </w:r>
      <w:proofErr w:type="spellStart"/>
      <w:r>
        <w:rPr>
          <w:rFonts w:ascii="DejaVu Sans" w:hAnsi="DejaVu Sans" w:cs="DejaVu Sans"/>
        </w:rPr>
        <w:t>microcategoria</w:t>
      </w:r>
      <w:proofErr w:type="spellEnd"/>
      <w:r>
        <w:rPr>
          <w:rFonts w:ascii="DejaVu Sans" w:hAnsi="DejaVu Sans" w:cs="DejaVu Sans"/>
        </w:rPr>
        <w:t xml:space="preserve"> </w:t>
      </w:r>
      <w:proofErr w:type="spellStart"/>
      <w:r>
        <w:rPr>
          <w:rFonts w:ascii="DejaVu Sans" w:hAnsi="DejaVu Sans" w:cs="DejaVu Sans"/>
        </w:rPr>
        <w:t>Quantalys</w:t>
      </w:r>
      <w:proofErr w:type="spellEnd"/>
      <w:r>
        <w:rPr>
          <w:rFonts w:ascii="DejaVu Sans" w:hAnsi="DejaVu Sans" w:cs="DejaVu Sans"/>
        </w:rPr>
        <w:t xml:space="preserve">. </w:t>
      </w:r>
      <w:r w:rsidR="002469EE">
        <w:rPr>
          <w:rFonts w:ascii="DejaVu Sans" w:hAnsi="DejaVu Sans" w:cs="DejaVu Sans"/>
        </w:rPr>
        <w:t>Basandosi sull’</w:t>
      </w:r>
      <w:r w:rsidR="00DD1B9E">
        <w:rPr>
          <w:rFonts w:ascii="DejaVu Sans" w:hAnsi="DejaVu Sans" w:cs="DejaVu Sans"/>
        </w:rPr>
        <w:t>IR</w:t>
      </w:r>
      <w:r w:rsidR="002469EE">
        <w:rPr>
          <w:rFonts w:ascii="DejaVu Sans" w:hAnsi="DejaVu Sans" w:cs="DejaVu Sans"/>
        </w:rPr>
        <w:t xml:space="preserve"> corretto a </w:t>
      </w:r>
      <w:proofErr w:type="gramStart"/>
      <w:r w:rsidR="002469EE">
        <w:rPr>
          <w:rFonts w:ascii="DejaVu Sans" w:hAnsi="DejaVu Sans" w:cs="DejaVu Sans"/>
        </w:rPr>
        <w:t>3</w:t>
      </w:r>
      <w:proofErr w:type="gramEnd"/>
      <w:r w:rsidR="002469EE">
        <w:rPr>
          <w:rFonts w:ascii="DejaVu Sans" w:hAnsi="DejaVu Sans" w:cs="DejaVu Sans"/>
        </w:rPr>
        <w:t xml:space="preserve"> anni</w:t>
      </w:r>
      <w:r>
        <w:rPr>
          <w:rFonts w:ascii="DejaVu Sans" w:hAnsi="DejaVu Sans" w:cs="DejaVu Sans"/>
        </w:rPr>
        <w:t>,</w:t>
      </w:r>
      <w:r w:rsidR="002469EE">
        <w:rPr>
          <w:rFonts w:ascii="DejaVu Sans" w:hAnsi="DejaVu Sans" w:cs="DejaVu Sans"/>
        </w:rPr>
        <w:t xml:space="preserve"> se ne individua la mediana all’interno della </w:t>
      </w:r>
      <w:proofErr w:type="spellStart"/>
      <w:r w:rsidR="002469EE">
        <w:rPr>
          <w:rFonts w:ascii="DejaVu Sans" w:hAnsi="DejaVu Sans" w:cs="DejaVu Sans"/>
        </w:rPr>
        <w:t>microcategoria</w:t>
      </w:r>
      <w:proofErr w:type="spellEnd"/>
      <w:r w:rsidR="002469EE">
        <w:rPr>
          <w:rFonts w:ascii="DejaVu Sans" w:hAnsi="DejaVu Sans" w:cs="DejaVu Sans"/>
        </w:rPr>
        <w:t xml:space="preserve"> e si classifica</w:t>
      </w:r>
      <w:r w:rsidR="00963694">
        <w:rPr>
          <w:rFonts w:ascii="DejaVu Sans" w:hAnsi="DejaVu Sans" w:cs="DejaVu Sans"/>
        </w:rPr>
        <w:t>no</w:t>
      </w:r>
      <w:r w:rsidR="002469EE">
        <w:rPr>
          <w:rFonts w:ascii="DejaVu Sans" w:hAnsi="DejaVu Sans" w:cs="DejaVu Sans"/>
        </w:rPr>
        <w:t xml:space="preserve"> come “Best” i fondi che presentano un valore superiore alla mediana e come “</w:t>
      </w:r>
      <w:proofErr w:type="spellStart"/>
      <w:r w:rsidR="002469EE">
        <w:rPr>
          <w:rFonts w:ascii="DejaVu Sans" w:hAnsi="DejaVu Sans" w:cs="DejaVu Sans"/>
        </w:rPr>
        <w:t>Worst</w:t>
      </w:r>
      <w:proofErr w:type="spellEnd"/>
      <w:r w:rsidR="002469EE">
        <w:rPr>
          <w:rFonts w:ascii="DejaVu Sans" w:hAnsi="DejaVu Sans" w:cs="DejaVu Sans"/>
        </w:rPr>
        <w:t>” quelli con valore inferiore.</w:t>
      </w:r>
      <w:r w:rsidR="00170DF5">
        <w:rPr>
          <w:rFonts w:ascii="DejaVu Sans" w:hAnsi="DejaVu Sans" w:cs="DejaVu Sans"/>
        </w:rPr>
        <w:t xml:space="preserve"> </w:t>
      </w:r>
    </w:p>
    <w:p w14:paraId="30A595C3" w14:textId="361844E5" w:rsidR="001B37F2" w:rsidRDefault="00DD1B9E" w:rsidP="002469EE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Successivamente, p</w:t>
      </w:r>
      <w:r w:rsidR="001B37F2">
        <w:rPr>
          <w:rFonts w:ascii="DejaVu Sans" w:hAnsi="DejaVu Sans" w:cs="DejaVu Sans"/>
        </w:rPr>
        <w:t xml:space="preserve">er </w:t>
      </w:r>
      <w:r w:rsidR="001246B5">
        <w:rPr>
          <w:rFonts w:ascii="DejaVu Sans" w:hAnsi="DejaVu Sans" w:cs="DejaVu Sans"/>
        </w:rPr>
        <w:t>i fondi in macrocategorie</w:t>
      </w:r>
      <w:r w:rsidR="001B37F2">
        <w:rPr>
          <w:rFonts w:ascii="DejaVu Sans" w:hAnsi="DejaVu Sans" w:cs="DejaVu Sans"/>
        </w:rPr>
        <w:t xml:space="preserve"> a benchmark si ricalcola l’Information Ratio (corretto e non corretto) a 1 e 3 anni, </w:t>
      </w:r>
      <w:r w:rsidR="001B37F2" w:rsidRPr="001246B5">
        <w:rPr>
          <w:rFonts w:ascii="DejaVu Sans" w:hAnsi="DejaVu Sans" w:cs="DejaVu Sans"/>
          <w:u w:val="single"/>
        </w:rPr>
        <w:t>riferendosi però al benchmark della macrocategoria</w:t>
      </w:r>
      <w:r w:rsidR="001B37F2">
        <w:rPr>
          <w:rFonts w:ascii="DejaVu Sans" w:hAnsi="DejaVu Sans" w:cs="DejaVu Sans"/>
        </w:rPr>
        <w:t>.</w:t>
      </w:r>
      <w:r w:rsidR="001246B5">
        <w:rPr>
          <w:rFonts w:ascii="DejaVu Sans" w:hAnsi="DejaVu Sans" w:cs="DejaVu Sans"/>
        </w:rPr>
        <w:t xml:space="preserve"> </w:t>
      </w:r>
    </w:p>
    <w:p w14:paraId="0132F369" w14:textId="2EAA6BCD" w:rsidR="002469EE" w:rsidRDefault="001B37F2" w:rsidP="002469EE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S</w:t>
      </w:r>
      <w:r w:rsidR="002469EE">
        <w:rPr>
          <w:rFonts w:ascii="DejaVu Sans" w:hAnsi="DejaVu Sans" w:cs="DejaVu Sans"/>
        </w:rPr>
        <w:t xml:space="preserve">i effettuano </w:t>
      </w:r>
      <w:r>
        <w:rPr>
          <w:rFonts w:ascii="DejaVu Sans" w:hAnsi="DejaVu Sans" w:cs="DejaVu Sans"/>
        </w:rPr>
        <w:t xml:space="preserve">quindi </w:t>
      </w:r>
      <w:r w:rsidR="002469EE">
        <w:rPr>
          <w:rFonts w:ascii="DejaVu Sans" w:hAnsi="DejaVu Sans" w:cs="DejaVu Sans"/>
        </w:rPr>
        <w:t>multipli ordinamenti successivi:</w:t>
      </w:r>
    </w:p>
    <w:p w14:paraId="14C36330" w14:textId="41959F01" w:rsidR="002469EE" w:rsidRDefault="007E127D" w:rsidP="007E127D">
      <w:pPr>
        <w:pStyle w:val="Paragrafoelenco"/>
        <w:numPr>
          <w:ilvl w:val="0"/>
          <w:numId w:val="8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ordinamento per </w:t>
      </w:r>
      <w:proofErr w:type="spellStart"/>
      <w:r w:rsidR="002469EE" w:rsidRPr="002469EE">
        <w:rPr>
          <w:rFonts w:ascii="DejaVu Sans" w:hAnsi="DejaVu Sans" w:cs="DejaVu Sans"/>
          <w:i/>
          <w:iCs/>
        </w:rPr>
        <w:t>inception</w:t>
      </w:r>
      <w:proofErr w:type="spellEnd"/>
      <w:r w:rsidR="002469EE" w:rsidRPr="002469EE">
        <w:rPr>
          <w:rFonts w:ascii="DejaVu Sans" w:hAnsi="DejaVu Sans" w:cs="DejaVu Sans"/>
          <w:i/>
          <w:iCs/>
        </w:rPr>
        <w:t xml:space="preserve"> date </w:t>
      </w:r>
      <w:r w:rsidR="002469EE">
        <w:rPr>
          <w:rFonts w:ascii="DejaVu Sans" w:hAnsi="DejaVu Sans" w:cs="DejaVu Sans"/>
        </w:rPr>
        <w:t>dei fondi</w:t>
      </w:r>
      <w:r>
        <w:rPr>
          <w:rFonts w:ascii="DejaVu Sans" w:hAnsi="DejaVu Sans" w:cs="DejaVu Sans"/>
        </w:rPr>
        <w:t xml:space="preserve">: </w:t>
      </w:r>
      <w:r w:rsidR="002469EE">
        <w:rPr>
          <w:rFonts w:ascii="DejaVu Sans" w:hAnsi="DejaVu Sans" w:cs="DejaVu Sans"/>
        </w:rPr>
        <w:t xml:space="preserve">permette di individuare i fondi </w:t>
      </w:r>
      <w:r>
        <w:rPr>
          <w:rFonts w:ascii="DejaVu Sans" w:hAnsi="DejaVu Sans" w:cs="DejaVu Sans"/>
        </w:rPr>
        <w:t>di recente attivazione</w:t>
      </w:r>
      <w:r w:rsidR="002469EE">
        <w:rPr>
          <w:rFonts w:ascii="DejaVu Sans" w:hAnsi="DejaVu Sans" w:cs="DejaVu Sans"/>
        </w:rPr>
        <w:t xml:space="preserve"> ma </w:t>
      </w:r>
      <w:r>
        <w:rPr>
          <w:rFonts w:ascii="DejaVu Sans" w:hAnsi="DejaVu Sans" w:cs="DejaVu Sans"/>
        </w:rPr>
        <w:t xml:space="preserve">derivanti da fusioni o ridenominazioni e quindi </w:t>
      </w:r>
      <w:r w:rsidR="002469EE">
        <w:rPr>
          <w:rFonts w:ascii="DejaVu Sans" w:hAnsi="DejaVu Sans" w:cs="DejaVu Sans"/>
        </w:rPr>
        <w:t>con dati storici</w:t>
      </w:r>
      <w:r>
        <w:rPr>
          <w:rFonts w:ascii="DejaVu Sans" w:hAnsi="DejaVu Sans" w:cs="DejaVu Sans"/>
        </w:rPr>
        <w:t xml:space="preserve"> disponibili;</w:t>
      </w:r>
      <w:r w:rsidR="002469EE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 xml:space="preserve">questi fondi vengono </w:t>
      </w:r>
      <w:r>
        <w:rPr>
          <w:rFonts w:ascii="DejaVu Sans" w:hAnsi="DejaVu Sans" w:cs="DejaVu Sans"/>
        </w:rPr>
        <w:lastRenderedPageBreak/>
        <w:t>esclusi dal ranking poiché i dati potrebbero non essere affidabili</w:t>
      </w:r>
      <w:r w:rsidR="002469EE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per diverse ragioni (cambio valutario, strategia differente ecc.)</w:t>
      </w:r>
      <w:r w:rsidR="00635829">
        <w:rPr>
          <w:rFonts w:ascii="DejaVu Sans" w:hAnsi="DejaVu Sans" w:cs="DejaVu Sans"/>
        </w:rPr>
        <w:t>. Vengono altresì individuati i fondi che per altre ragioni non dispongono dei dati storici, di cui viene data contezza nelle note;</w:t>
      </w:r>
    </w:p>
    <w:p w14:paraId="7BB62C75" w14:textId="5811F851" w:rsidR="002469EE" w:rsidRDefault="007E127D" w:rsidP="007E127D">
      <w:pPr>
        <w:pStyle w:val="Paragrafoelenco"/>
        <w:numPr>
          <w:ilvl w:val="0"/>
          <w:numId w:val="8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ordinamento per </w:t>
      </w:r>
      <w:r w:rsidR="002469EE">
        <w:rPr>
          <w:rFonts w:ascii="DejaVu Sans" w:hAnsi="DejaVu Sans" w:cs="DejaVu Sans"/>
        </w:rPr>
        <w:t>indicatore della macrocategoria a 1 anno</w:t>
      </w:r>
      <w:r w:rsidR="001246B5">
        <w:rPr>
          <w:rStyle w:val="Rimandonotaapidipagina"/>
          <w:rFonts w:ascii="DejaVu Sans" w:hAnsi="DejaVu Sans" w:cs="DejaVu Sans"/>
        </w:rPr>
        <w:footnoteReference w:id="3"/>
      </w:r>
      <w:r>
        <w:rPr>
          <w:rFonts w:ascii="DejaVu Sans" w:hAnsi="DejaVu Sans" w:cs="DejaVu Sans"/>
        </w:rPr>
        <w:t>:</w:t>
      </w:r>
      <w:r w:rsidR="002469EE">
        <w:rPr>
          <w:rFonts w:ascii="DejaVu Sans" w:hAnsi="DejaVu Sans" w:cs="DejaVu Sans"/>
        </w:rPr>
        <w:t xml:space="preserve"> permette di posizionare in fondo alla lista i fondi</w:t>
      </w:r>
      <w:r>
        <w:rPr>
          <w:rFonts w:ascii="DejaVu Sans" w:hAnsi="DejaVu Sans" w:cs="DejaVu Sans"/>
        </w:rPr>
        <w:t xml:space="preserve"> senza storico sufficiente e al contempo di effettuare un primo ranking</w:t>
      </w:r>
      <w:r w:rsidR="001246B5">
        <w:rPr>
          <w:rFonts w:ascii="DejaVu Sans" w:hAnsi="DejaVu Sans" w:cs="DejaVu Sans"/>
        </w:rPr>
        <w:t>;</w:t>
      </w:r>
    </w:p>
    <w:p w14:paraId="6DB40248" w14:textId="26E7C8A7" w:rsidR="007E127D" w:rsidRDefault="007E127D" w:rsidP="007E127D">
      <w:pPr>
        <w:pStyle w:val="Paragrafoelenco"/>
        <w:numPr>
          <w:ilvl w:val="0"/>
          <w:numId w:val="8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ordinamento per indicatore corretto della macrocategoria a 1 anno: si effettua un secondo ranking sull’indicatore corretto</w:t>
      </w:r>
      <w:r w:rsidR="001246B5">
        <w:rPr>
          <w:rFonts w:ascii="DejaVu Sans" w:hAnsi="DejaVu Sans" w:cs="DejaVu Sans"/>
        </w:rPr>
        <w:t>;</w:t>
      </w:r>
    </w:p>
    <w:p w14:paraId="4FE04DB7" w14:textId="23FF29A9" w:rsidR="007E127D" w:rsidRDefault="007E127D" w:rsidP="007E127D">
      <w:pPr>
        <w:pStyle w:val="Paragrafoelenco"/>
        <w:numPr>
          <w:ilvl w:val="0"/>
          <w:numId w:val="8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ordinamento per indicatore della macrocategoria a 3 anni: con questo ordinamento si posizionano in cima alla lista i fondi con storico di almeno 3 anni, mentre finiscono in coda ad essi i fondi con storico inferiore a 3 anni ma superiore a 1 anno; contestualmente viene effettuato un ranking secondo </w:t>
      </w:r>
      <w:r w:rsidR="00FD7B70">
        <w:rPr>
          <w:rFonts w:ascii="DejaVu Sans" w:hAnsi="DejaVu Sans" w:cs="DejaVu Sans"/>
        </w:rPr>
        <w:t>l’</w:t>
      </w:r>
      <w:r>
        <w:rPr>
          <w:rFonts w:ascii="DejaVu Sans" w:hAnsi="DejaVu Sans" w:cs="DejaVu Sans"/>
        </w:rPr>
        <w:t>indicatore</w:t>
      </w:r>
      <w:r w:rsidR="00FD7B70">
        <w:rPr>
          <w:rFonts w:ascii="DejaVu Sans" w:hAnsi="DejaVu Sans" w:cs="DejaVu Sans"/>
        </w:rPr>
        <w:t xml:space="preserve"> a 3 anni;</w:t>
      </w:r>
    </w:p>
    <w:p w14:paraId="7EEFF09B" w14:textId="17C307E4" w:rsidR="007E127D" w:rsidRDefault="007E127D" w:rsidP="007E127D">
      <w:pPr>
        <w:pStyle w:val="Paragrafoelenco"/>
        <w:numPr>
          <w:ilvl w:val="0"/>
          <w:numId w:val="8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ordinamento per indicatore corretto della macrocategoria a </w:t>
      </w:r>
      <w:proofErr w:type="gramStart"/>
      <w:r>
        <w:rPr>
          <w:rFonts w:ascii="DejaVu Sans" w:hAnsi="DejaVu Sans" w:cs="DejaVu Sans"/>
        </w:rPr>
        <w:t>3</w:t>
      </w:r>
      <w:proofErr w:type="gramEnd"/>
      <w:r>
        <w:rPr>
          <w:rFonts w:ascii="DejaVu Sans" w:hAnsi="DejaVu Sans" w:cs="DejaVu Sans"/>
        </w:rPr>
        <w:t xml:space="preserve"> anni: questo ordinamento determina il ranking finale, </w:t>
      </w:r>
      <w:r w:rsidR="0046497E">
        <w:rPr>
          <w:rFonts w:ascii="DejaVu Sans" w:hAnsi="DejaVu Sans" w:cs="DejaVu Sans"/>
        </w:rPr>
        <w:t>eccetto</w:t>
      </w:r>
    </w:p>
    <w:p w14:paraId="657977CD" w14:textId="24DC9D4A" w:rsidR="00A8252C" w:rsidRDefault="00170DF5" w:rsidP="00170DF5">
      <w:pPr>
        <w:pStyle w:val="Paragrafoelenco"/>
        <w:numPr>
          <w:ilvl w:val="0"/>
          <w:numId w:val="8"/>
        </w:num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solo </w:t>
      </w:r>
      <w:r w:rsidR="00A8252C">
        <w:rPr>
          <w:rFonts w:ascii="DejaVu Sans" w:hAnsi="DejaVu Sans" w:cs="DejaVu Sans"/>
        </w:rPr>
        <w:t xml:space="preserve">per i fondi a benchmark, </w:t>
      </w:r>
      <w:r>
        <w:rPr>
          <w:rFonts w:ascii="DejaVu Sans" w:hAnsi="DejaVu Sans" w:cs="DejaVu Sans"/>
        </w:rPr>
        <w:t xml:space="preserve">si attua un ulteriore </w:t>
      </w:r>
      <w:r w:rsidR="00E85F67">
        <w:rPr>
          <w:rFonts w:ascii="DejaVu Sans" w:hAnsi="DejaVu Sans" w:cs="DejaVu Sans"/>
        </w:rPr>
        <w:t xml:space="preserve">duplice </w:t>
      </w:r>
      <w:r>
        <w:rPr>
          <w:rFonts w:ascii="DejaVu Sans" w:hAnsi="DejaVu Sans" w:cs="DejaVu Sans"/>
        </w:rPr>
        <w:t>ordinamento che</w:t>
      </w:r>
      <w:r w:rsidR="00A8252C">
        <w:rPr>
          <w:rFonts w:ascii="DejaVu Sans" w:hAnsi="DejaVu Sans" w:cs="DejaVu Sans"/>
        </w:rPr>
        <w:t xml:space="preserve"> prevede</w:t>
      </w:r>
      <w:r w:rsidR="00E85F67">
        <w:rPr>
          <w:rFonts w:ascii="DejaVu Sans" w:hAnsi="DejaVu Sans" w:cs="DejaVu Sans"/>
        </w:rPr>
        <w:t xml:space="preserve"> la messa in coda dei fondi “</w:t>
      </w:r>
      <w:proofErr w:type="spellStart"/>
      <w:r w:rsidR="00E85F67">
        <w:rPr>
          <w:rFonts w:ascii="DejaVu Sans" w:hAnsi="DejaVu Sans" w:cs="DejaVu Sans"/>
        </w:rPr>
        <w:t>Worst</w:t>
      </w:r>
      <w:proofErr w:type="spellEnd"/>
      <w:r w:rsidR="00E85F67">
        <w:rPr>
          <w:rFonts w:ascii="DejaVu Sans" w:hAnsi="DejaVu Sans" w:cs="DejaVu Sans"/>
        </w:rPr>
        <w:t>” e successivamente</w:t>
      </w:r>
      <w:r w:rsidR="00A8252C">
        <w:rPr>
          <w:rFonts w:ascii="DejaVu Sans" w:hAnsi="DejaVu Sans" w:cs="DejaVu Sans"/>
        </w:rPr>
        <w:t xml:space="preserve"> il posizionamento </w:t>
      </w:r>
      <w:r w:rsidR="0046497E">
        <w:rPr>
          <w:rFonts w:ascii="DejaVu Sans" w:hAnsi="DejaVu Sans" w:cs="DejaVu Sans"/>
        </w:rPr>
        <w:t>prioritario</w:t>
      </w:r>
      <w:r w:rsidR="00A8252C">
        <w:rPr>
          <w:rFonts w:ascii="DejaVu Sans" w:hAnsi="DejaVu Sans" w:cs="DejaVu Sans"/>
        </w:rPr>
        <w:t xml:space="preserve"> dei fondi della </w:t>
      </w:r>
      <w:proofErr w:type="spellStart"/>
      <w:r w:rsidR="00A8252C">
        <w:rPr>
          <w:rFonts w:ascii="DejaVu Sans" w:hAnsi="DejaVu Sans" w:cs="DejaVu Sans"/>
        </w:rPr>
        <w:t>microcategoria</w:t>
      </w:r>
      <w:proofErr w:type="spellEnd"/>
      <w:r w:rsidR="00A8252C">
        <w:rPr>
          <w:rFonts w:ascii="DejaVu Sans" w:hAnsi="DejaVu Sans" w:cs="DejaVu Sans"/>
        </w:rPr>
        <w:t xml:space="preserve"> </w:t>
      </w:r>
      <w:r w:rsidR="00A8252C">
        <w:rPr>
          <w:rFonts w:ascii="DejaVu Sans" w:hAnsi="DejaVu Sans" w:cs="DejaVu Sans"/>
          <w:i/>
          <w:iCs/>
        </w:rPr>
        <w:t>blend</w:t>
      </w:r>
      <w:r w:rsidR="001B37F2">
        <w:rPr>
          <w:rFonts w:ascii="DejaVu Sans" w:hAnsi="DejaVu Sans" w:cs="DejaVu Sans"/>
        </w:rPr>
        <w:t>.</w:t>
      </w:r>
    </w:p>
    <w:p w14:paraId="659E820E" w14:textId="659EBDBF" w:rsidR="001B37F2" w:rsidRDefault="001B37F2" w:rsidP="001B37F2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In calce al procedimento si evidenzia lo sbarramento sulla mediana</w:t>
      </w:r>
      <w:r w:rsidR="00491A40">
        <w:rPr>
          <w:rFonts w:ascii="DejaVu Sans" w:hAnsi="DejaVu Sans" w:cs="DejaVu Sans"/>
        </w:rPr>
        <w:t xml:space="preserve"> per le macrocategorie a benchmark</w:t>
      </w:r>
      <w:r>
        <w:rPr>
          <w:rFonts w:ascii="DejaVu Sans" w:hAnsi="DejaVu Sans" w:cs="DejaVu Sans"/>
        </w:rPr>
        <w:t xml:space="preserve"> e </w:t>
      </w:r>
      <w:r w:rsidR="00206838">
        <w:rPr>
          <w:rFonts w:ascii="DejaVu Sans" w:hAnsi="DejaVu Sans" w:cs="DejaVu Sans"/>
        </w:rPr>
        <w:t xml:space="preserve">per ciascun indicatore (corretto e non corretto, a 1 e 3 anni) </w:t>
      </w:r>
      <w:r>
        <w:rPr>
          <w:rFonts w:ascii="DejaVu Sans" w:hAnsi="DejaVu Sans" w:cs="DejaVu Sans"/>
        </w:rPr>
        <w:t xml:space="preserve">si individuano </w:t>
      </w:r>
      <w:r w:rsidR="00206838">
        <w:rPr>
          <w:rFonts w:ascii="DejaVu Sans" w:hAnsi="DejaVu Sans" w:cs="DejaVu Sans"/>
        </w:rPr>
        <w:t xml:space="preserve">gli ulteriori </w:t>
      </w:r>
      <w:proofErr w:type="spellStart"/>
      <w:r w:rsidR="00206838">
        <w:rPr>
          <w:rFonts w:ascii="DejaVu Sans" w:hAnsi="DejaVu Sans" w:cs="DejaVu Sans"/>
        </w:rPr>
        <w:t>cut</w:t>
      </w:r>
      <w:proofErr w:type="spellEnd"/>
      <w:r w:rsidR="00206838">
        <w:rPr>
          <w:rFonts w:ascii="DejaVu Sans" w:hAnsi="DejaVu Sans" w:cs="DejaVu Sans"/>
        </w:rPr>
        <w:t>-off</w:t>
      </w:r>
      <w:r>
        <w:rPr>
          <w:rFonts w:ascii="DejaVu Sans" w:hAnsi="DejaVu Sans" w:cs="DejaVu Sans"/>
        </w:rPr>
        <w:t xml:space="preserve"> </w:t>
      </w:r>
      <w:r w:rsidR="00206838">
        <w:rPr>
          <w:rFonts w:ascii="DejaVu Sans" w:hAnsi="DejaVu Sans" w:cs="DejaVu Sans"/>
        </w:rPr>
        <w:t xml:space="preserve">al primo </w:t>
      </w:r>
      <w:proofErr w:type="spellStart"/>
      <w:r w:rsidR="00206838">
        <w:rPr>
          <w:rFonts w:ascii="DejaVu Sans" w:hAnsi="DejaVu Sans" w:cs="DejaVu Sans"/>
        </w:rPr>
        <w:t>terzile</w:t>
      </w:r>
      <w:proofErr w:type="spellEnd"/>
      <w:r w:rsidR="00206838">
        <w:rPr>
          <w:rFonts w:ascii="DejaVu Sans" w:hAnsi="DejaVu Sans" w:cs="DejaVu Sans"/>
        </w:rPr>
        <w:t xml:space="preserve"> e al primo quartile (33% e 25%). Si noti come questi </w:t>
      </w:r>
      <w:proofErr w:type="spellStart"/>
      <w:r w:rsidR="00206838">
        <w:rPr>
          <w:rFonts w:ascii="DejaVu Sans" w:hAnsi="DejaVu Sans" w:cs="DejaVu Sans"/>
        </w:rPr>
        <w:t>cut</w:t>
      </w:r>
      <w:proofErr w:type="spellEnd"/>
      <w:r w:rsidR="00206838">
        <w:rPr>
          <w:rFonts w:ascii="DejaVu Sans" w:hAnsi="DejaVu Sans" w:cs="DejaVu Sans"/>
        </w:rPr>
        <w:t xml:space="preserve">-off siano definiti sul ranking finale dei fondi e non a livello di </w:t>
      </w:r>
      <w:proofErr w:type="spellStart"/>
      <w:r w:rsidR="00206838">
        <w:rPr>
          <w:rFonts w:ascii="DejaVu Sans" w:hAnsi="DejaVu Sans" w:cs="DejaVu Sans"/>
        </w:rPr>
        <w:t>microcategorie</w:t>
      </w:r>
      <w:proofErr w:type="spellEnd"/>
      <w:r w:rsidR="00206838">
        <w:rPr>
          <w:rFonts w:ascii="DejaVu Sans" w:hAnsi="DejaVu Sans" w:cs="DejaVu Sans"/>
        </w:rPr>
        <w:t>.</w:t>
      </w:r>
    </w:p>
    <w:p w14:paraId="29CBF3A2" w14:textId="09B48529" w:rsidR="00B50744" w:rsidRDefault="00B50744" w:rsidP="00B50744">
      <w:pPr>
        <w:pStyle w:val="Titolo1"/>
        <w:rPr>
          <w:rFonts w:ascii="DejaVu Sans" w:hAnsi="DejaVu Sans" w:cs="DejaVu Sans"/>
          <w:b/>
          <w:bCs/>
          <w:color w:val="auto"/>
          <w:sz w:val="22"/>
          <w:szCs w:val="22"/>
        </w:rPr>
      </w:pPr>
      <w:r>
        <w:rPr>
          <w:rFonts w:ascii="DejaVu Sans" w:hAnsi="DejaVu Sans" w:cs="DejaVu Sans"/>
          <w:b/>
          <w:bCs/>
          <w:color w:val="auto"/>
          <w:sz w:val="22"/>
          <w:szCs w:val="22"/>
        </w:rPr>
        <w:t>Esempio</w:t>
      </w:r>
      <w:r w:rsidR="00835E8C">
        <w:rPr>
          <w:rFonts w:ascii="DejaVu Sans" w:hAnsi="DejaVu Sans" w:cs="DejaVu Sans"/>
          <w:b/>
          <w:bCs/>
          <w:color w:val="auto"/>
          <w:sz w:val="22"/>
          <w:szCs w:val="22"/>
        </w:rPr>
        <w:t xml:space="preserve"> operativo</w:t>
      </w:r>
    </w:p>
    <w:p w14:paraId="166346DF" w14:textId="4A00AC95" w:rsidR="00B7191A" w:rsidRDefault="00B7191A" w:rsidP="00B7191A">
      <w:pPr>
        <w:spacing w:before="240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A titolo esemplificativo viene riportato il procedimento di </w:t>
      </w:r>
      <w:proofErr w:type="spellStart"/>
      <w:r>
        <w:rPr>
          <w:rFonts w:ascii="DejaVu Sans" w:hAnsi="DejaVu Sans" w:cs="DejaVu Sans"/>
        </w:rPr>
        <w:t>rankizzazione</w:t>
      </w:r>
      <w:proofErr w:type="spellEnd"/>
      <w:r>
        <w:rPr>
          <w:rFonts w:ascii="DejaVu Sans" w:hAnsi="DejaVu Sans" w:cs="DejaVu Sans"/>
        </w:rPr>
        <w:t xml:space="preserve"> </w:t>
      </w:r>
      <w:r w:rsidR="00835E8C">
        <w:rPr>
          <w:rFonts w:ascii="DejaVu Sans" w:hAnsi="DejaVu Sans" w:cs="DejaVu Sans"/>
        </w:rPr>
        <w:t>all’interno</w:t>
      </w:r>
      <w:r>
        <w:rPr>
          <w:rFonts w:ascii="DejaVu Sans" w:hAnsi="DejaVu Sans" w:cs="DejaVu Sans"/>
        </w:rPr>
        <w:t xml:space="preserve"> </w:t>
      </w:r>
      <w:r w:rsidR="00835E8C">
        <w:rPr>
          <w:rFonts w:ascii="DejaVu Sans" w:hAnsi="DejaVu Sans" w:cs="DejaVu Sans"/>
        </w:rPr>
        <w:t xml:space="preserve">della </w:t>
      </w:r>
      <w:r>
        <w:rPr>
          <w:rFonts w:ascii="DejaVu Sans" w:hAnsi="DejaVu Sans" w:cs="DejaVu Sans"/>
        </w:rPr>
        <w:t xml:space="preserve">macrocategoria “Azionario </w:t>
      </w:r>
      <w:r w:rsidR="005D5EA6">
        <w:rPr>
          <w:rFonts w:ascii="DejaVu Sans" w:hAnsi="DejaVu Sans" w:cs="DejaVu Sans"/>
        </w:rPr>
        <w:t>Nord</w:t>
      </w:r>
      <w:r w:rsidR="00D71045">
        <w:rPr>
          <w:rFonts w:ascii="DejaVu Sans" w:hAnsi="DejaVu Sans" w:cs="DejaVu Sans"/>
        </w:rPr>
        <w:t xml:space="preserve"> A</w:t>
      </w:r>
      <w:r w:rsidR="005D5EA6">
        <w:rPr>
          <w:rFonts w:ascii="DejaVu Sans" w:hAnsi="DejaVu Sans" w:cs="DejaVu Sans"/>
        </w:rPr>
        <w:t>merica</w:t>
      </w:r>
      <w:r>
        <w:rPr>
          <w:rFonts w:ascii="DejaVu Sans" w:hAnsi="DejaVu Sans" w:cs="DejaVu Sans"/>
        </w:rPr>
        <w:t>”.</w:t>
      </w:r>
    </w:p>
    <w:p w14:paraId="500EAC6D" w14:textId="7141259A" w:rsidR="005D5EA6" w:rsidRDefault="009E39AA" w:rsidP="00B7191A">
      <w:pPr>
        <w:spacing w:before="240"/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  <w:noProof/>
          <w:lang w:eastAsia="zh-CN" w:bidi="th-TH"/>
        </w:rPr>
        <w:drawing>
          <wp:anchor distT="0" distB="0" distL="114300" distR="114300" simplePos="0" relativeHeight="251658240" behindDoc="1" locked="0" layoutInCell="1" allowOverlap="1" wp14:anchorId="06888515" wp14:editId="6B4C69DF">
            <wp:simplePos x="0" y="0"/>
            <wp:positionH relativeFrom="margin">
              <wp:align>center</wp:align>
            </wp:positionH>
            <wp:positionV relativeFrom="paragraph">
              <wp:posOffset>1142365</wp:posOffset>
            </wp:positionV>
            <wp:extent cx="4687200" cy="2487600"/>
            <wp:effectExtent l="0" t="0" r="0" b="8255"/>
            <wp:wrapTight wrapText="bothSides">
              <wp:wrapPolygon edited="0">
                <wp:start x="0" y="0"/>
                <wp:lineTo x="0" y="21506"/>
                <wp:lineTo x="21509" y="21506"/>
                <wp:lineTo x="21509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2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EA6">
        <w:rPr>
          <w:rFonts w:ascii="DejaVu Sans" w:hAnsi="DejaVu Sans" w:cs="DejaVu Sans"/>
        </w:rPr>
        <w:t xml:space="preserve">Per prima cosa si </w:t>
      </w:r>
      <w:r>
        <w:rPr>
          <w:rFonts w:ascii="DejaVu Sans" w:hAnsi="DejaVu Sans" w:cs="DejaVu Sans"/>
        </w:rPr>
        <w:t>accorpano i fondi per</w:t>
      </w:r>
      <w:r w:rsidR="005D5EA6">
        <w:rPr>
          <w:rFonts w:ascii="DejaVu Sans" w:hAnsi="DejaVu Sans" w:cs="DejaVu Sans"/>
        </w:rPr>
        <w:t xml:space="preserve"> </w:t>
      </w:r>
      <w:proofErr w:type="spellStart"/>
      <w:r>
        <w:rPr>
          <w:rFonts w:ascii="DejaVu Sans" w:hAnsi="DejaVu Sans" w:cs="DejaVu Sans"/>
        </w:rPr>
        <w:t>microcategoria</w:t>
      </w:r>
      <w:proofErr w:type="spellEnd"/>
      <w:r w:rsidR="005D5EA6">
        <w:rPr>
          <w:rFonts w:ascii="DejaVu Sans" w:hAnsi="DejaVu Sans" w:cs="DejaVu Sans"/>
        </w:rPr>
        <w:t xml:space="preserve">: </w:t>
      </w:r>
      <w:r>
        <w:rPr>
          <w:rFonts w:ascii="DejaVu Sans" w:hAnsi="DejaVu Sans" w:cs="DejaVu Sans"/>
        </w:rPr>
        <w:t>come</w:t>
      </w:r>
      <w:r w:rsidR="005D5EA6">
        <w:rPr>
          <w:rFonts w:ascii="DejaVu Sans" w:hAnsi="DejaVu Sans" w:cs="DejaVu Sans"/>
        </w:rPr>
        <w:t xml:space="preserve"> esempio</w:t>
      </w:r>
      <w:r>
        <w:rPr>
          <w:rFonts w:ascii="DejaVu Sans" w:hAnsi="DejaVu Sans" w:cs="DejaVu Sans"/>
        </w:rPr>
        <w:t>,</w:t>
      </w:r>
      <w:r w:rsidR="005D5EA6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nella tabella seguente si è isolata</w:t>
      </w:r>
      <w:r w:rsidR="005D5EA6">
        <w:rPr>
          <w:rFonts w:ascii="DejaVu Sans" w:hAnsi="DejaVu Sans" w:cs="DejaVu Sans"/>
        </w:rPr>
        <w:t xml:space="preserve"> la </w:t>
      </w:r>
      <w:proofErr w:type="spellStart"/>
      <w:r w:rsidR="005D5EA6">
        <w:rPr>
          <w:rFonts w:ascii="DejaVu Sans" w:hAnsi="DejaVu Sans" w:cs="DejaVu Sans"/>
        </w:rPr>
        <w:t>microcategoria</w:t>
      </w:r>
      <w:proofErr w:type="spellEnd"/>
      <w:r w:rsidR="005D5EA6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“A</w:t>
      </w:r>
      <w:r w:rsidR="005D5EA6">
        <w:rPr>
          <w:rFonts w:ascii="DejaVu Sans" w:hAnsi="DejaVu Sans" w:cs="DejaVu Sans"/>
        </w:rPr>
        <w:t xml:space="preserve">zionario USA </w:t>
      </w:r>
      <w:proofErr w:type="spellStart"/>
      <w:r w:rsidR="005D5EA6">
        <w:rPr>
          <w:rFonts w:ascii="DejaVu Sans" w:hAnsi="DejaVu Sans" w:cs="DejaVu Sans"/>
        </w:rPr>
        <w:t>Growth</w:t>
      </w:r>
      <w:proofErr w:type="spellEnd"/>
      <w:r>
        <w:rPr>
          <w:rFonts w:ascii="DejaVu Sans" w:hAnsi="DejaVu Sans" w:cs="DejaVu Sans"/>
        </w:rPr>
        <w:t>.</w:t>
      </w:r>
      <w:r w:rsidR="005D5EA6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Si procede al calcolo del</w:t>
      </w:r>
      <w:r w:rsidR="005D5EA6">
        <w:rPr>
          <w:rFonts w:ascii="DejaVu Sans" w:hAnsi="DejaVu Sans" w:cs="DejaVu Sans"/>
        </w:rPr>
        <w:t>l’</w:t>
      </w:r>
      <w:r>
        <w:rPr>
          <w:rFonts w:ascii="DejaVu Sans" w:hAnsi="DejaVu Sans" w:cs="DejaVu Sans"/>
        </w:rPr>
        <w:t>I</w:t>
      </w:r>
      <w:r w:rsidR="005D5EA6">
        <w:rPr>
          <w:rFonts w:ascii="DejaVu Sans" w:hAnsi="DejaVu Sans" w:cs="DejaVu Sans"/>
        </w:rPr>
        <w:t xml:space="preserve">nformation </w:t>
      </w:r>
      <w:r>
        <w:rPr>
          <w:rFonts w:ascii="DejaVu Sans" w:hAnsi="DejaVu Sans" w:cs="DejaVu Sans"/>
        </w:rPr>
        <w:t>R</w:t>
      </w:r>
      <w:r w:rsidR="005D5EA6">
        <w:rPr>
          <w:rFonts w:ascii="DejaVu Sans" w:hAnsi="DejaVu Sans" w:cs="DejaVu Sans"/>
        </w:rPr>
        <w:t xml:space="preserve">atio con i dati a </w:t>
      </w:r>
      <w:proofErr w:type="gramStart"/>
      <w:r>
        <w:rPr>
          <w:rFonts w:ascii="DejaVu Sans" w:hAnsi="DejaVu Sans" w:cs="DejaVu Sans"/>
        </w:rPr>
        <w:t>3</w:t>
      </w:r>
      <w:proofErr w:type="gramEnd"/>
      <w:r w:rsidR="005D5EA6">
        <w:rPr>
          <w:rFonts w:ascii="DejaVu Sans" w:hAnsi="DejaVu Sans" w:cs="DejaVu Sans"/>
        </w:rPr>
        <w:t xml:space="preserve"> anni (per i fondi che ne dispongono)</w:t>
      </w:r>
      <w:r>
        <w:rPr>
          <w:rFonts w:ascii="DejaVu Sans" w:hAnsi="DejaVu Sans" w:cs="DejaVu Sans"/>
        </w:rPr>
        <w:t xml:space="preserve"> corretto per i costi di ingresso</w:t>
      </w:r>
      <w:r w:rsidR="005D5EA6">
        <w:rPr>
          <w:rFonts w:ascii="DejaVu Sans" w:hAnsi="DejaVu Sans" w:cs="DejaVu Sans"/>
        </w:rPr>
        <w:t xml:space="preserve"> e s</w:t>
      </w:r>
      <w:r>
        <w:rPr>
          <w:rFonts w:ascii="DejaVu Sans" w:hAnsi="DejaVu Sans" w:cs="DejaVu Sans"/>
        </w:rPr>
        <w:t>e ne</w:t>
      </w:r>
      <w:r w:rsidR="005D5EA6">
        <w:rPr>
          <w:rFonts w:ascii="DejaVu Sans" w:hAnsi="DejaVu Sans" w:cs="DejaVu Sans"/>
        </w:rPr>
        <w:t xml:space="preserve"> individua il valore mediano.</w:t>
      </w:r>
      <w:r>
        <w:rPr>
          <w:rFonts w:ascii="DejaVu Sans" w:hAnsi="DejaVu Sans" w:cs="DejaVu Sans"/>
        </w:rPr>
        <w:t xml:space="preserve"> Successivamente si etichetta come “Best” oppure “</w:t>
      </w:r>
      <w:proofErr w:type="spellStart"/>
      <w:r>
        <w:rPr>
          <w:rFonts w:ascii="DejaVu Sans" w:hAnsi="DejaVu Sans" w:cs="DejaVu Sans"/>
        </w:rPr>
        <w:t>Worst</w:t>
      </w:r>
      <w:proofErr w:type="spellEnd"/>
      <w:r>
        <w:rPr>
          <w:rFonts w:ascii="DejaVu Sans" w:hAnsi="DejaVu Sans" w:cs="DejaVu Sans"/>
        </w:rPr>
        <w:t>” i fondi che hanno un valore rispettivamente superiore o inferiore alla mediana.</w:t>
      </w:r>
    </w:p>
    <w:p w14:paraId="32CE44AC" w14:textId="7B9DD6AA" w:rsidR="005D5EA6" w:rsidRDefault="005D5EA6" w:rsidP="00B7191A">
      <w:pPr>
        <w:spacing w:before="240"/>
        <w:jc w:val="both"/>
        <w:rPr>
          <w:rFonts w:ascii="DejaVu Sans" w:hAnsi="DejaVu Sans" w:cs="DejaVu Sans"/>
        </w:rPr>
      </w:pPr>
    </w:p>
    <w:p w14:paraId="750F1524" w14:textId="77777777" w:rsidR="005D5EA6" w:rsidRPr="005D5EA6" w:rsidRDefault="005D5EA6" w:rsidP="005D5EA6">
      <w:pPr>
        <w:rPr>
          <w:rFonts w:ascii="DejaVu Sans" w:hAnsi="DejaVu Sans" w:cs="DejaVu Sans"/>
        </w:rPr>
      </w:pPr>
    </w:p>
    <w:p w14:paraId="5F81E7E8" w14:textId="77777777" w:rsidR="005D5EA6" w:rsidRPr="005D5EA6" w:rsidRDefault="005D5EA6" w:rsidP="005D5EA6">
      <w:pPr>
        <w:rPr>
          <w:rFonts w:ascii="DejaVu Sans" w:hAnsi="DejaVu Sans" w:cs="DejaVu Sans"/>
        </w:rPr>
      </w:pPr>
    </w:p>
    <w:p w14:paraId="4AE255DB" w14:textId="77777777" w:rsidR="005D5EA6" w:rsidRPr="005D5EA6" w:rsidRDefault="005D5EA6" w:rsidP="005D5EA6">
      <w:pPr>
        <w:rPr>
          <w:rFonts w:ascii="DejaVu Sans" w:hAnsi="DejaVu Sans" w:cs="DejaVu Sans"/>
        </w:rPr>
      </w:pPr>
    </w:p>
    <w:p w14:paraId="1131DABD" w14:textId="77777777" w:rsidR="005D5EA6" w:rsidRPr="005D5EA6" w:rsidRDefault="005D5EA6" w:rsidP="005D5EA6">
      <w:pPr>
        <w:rPr>
          <w:rFonts w:ascii="DejaVu Sans" w:hAnsi="DejaVu Sans" w:cs="DejaVu Sans"/>
        </w:rPr>
      </w:pPr>
    </w:p>
    <w:p w14:paraId="05C7F34F" w14:textId="77777777" w:rsidR="005D5EA6" w:rsidRPr="005D5EA6" w:rsidRDefault="005D5EA6" w:rsidP="005D5EA6">
      <w:pPr>
        <w:rPr>
          <w:rFonts w:ascii="DejaVu Sans" w:hAnsi="DejaVu Sans" w:cs="DejaVu Sans"/>
        </w:rPr>
      </w:pPr>
    </w:p>
    <w:p w14:paraId="0F9EBD57" w14:textId="77777777" w:rsidR="005D5EA6" w:rsidRPr="005D5EA6" w:rsidRDefault="005D5EA6" w:rsidP="005D5EA6">
      <w:pPr>
        <w:rPr>
          <w:rFonts w:ascii="DejaVu Sans" w:hAnsi="DejaVu Sans" w:cs="DejaVu Sans"/>
        </w:rPr>
      </w:pPr>
    </w:p>
    <w:p w14:paraId="3BBD3B28" w14:textId="77777777" w:rsidR="005D5EA6" w:rsidRPr="005D5EA6" w:rsidRDefault="005D5EA6" w:rsidP="005D5EA6">
      <w:pPr>
        <w:rPr>
          <w:rFonts w:ascii="DejaVu Sans" w:hAnsi="DejaVu Sans" w:cs="DejaVu Sans"/>
        </w:rPr>
      </w:pPr>
    </w:p>
    <w:p w14:paraId="3CE111FB" w14:textId="409F8809" w:rsidR="005D5EA6" w:rsidRDefault="005D5EA6" w:rsidP="005D5EA6">
      <w:pPr>
        <w:rPr>
          <w:rFonts w:ascii="DejaVu Sans" w:hAnsi="DejaVu Sans" w:cs="DejaVu Sans"/>
        </w:rPr>
      </w:pPr>
    </w:p>
    <w:p w14:paraId="1FA8D658" w14:textId="2C25A61B" w:rsidR="009E39AA" w:rsidRDefault="009E39AA" w:rsidP="009E39AA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Completato</w:t>
      </w:r>
      <w:r w:rsidR="005D5EA6">
        <w:rPr>
          <w:rFonts w:ascii="DejaVu Sans" w:hAnsi="DejaVu Sans" w:cs="DejaVu Sans"/>
        </w:rPr>
        <w:t xml:space="preserve"> il procedimento per ciascuna </w:t>
      </w:r>
      <w:proofErr w:type="spellStart"/>
      <w:r w:rsidR="005D5EA6">
        <w:rPr>
          <w:rFonts w:ascii="DejaVu Sans" w:hAnsi="DejaVu Sans" w:cs="DejaVu Sans"/>
        </w:rPr>
        <w:t>microcategoria</w:t>
      </w:r>
      <w:proofErr w:type="spellEnd"/>
      <w:r w:rsidR="005D5EA6">
        <w:rPr>
          <w:rFonts w:ascii="DejaVu Sans" w:hAnsi="DejaVu Sans" w:cs="DejaVu Sans"/>
        </w:rPr>
        <w:t xml:space="preserve"> si accorpano </w:t>
      </w:r>
      <w:r>
        <w:rPr>
          <w:rFonts w:ascii="DejaVu Sans" w:hAnsi="DejaVu Sans" w:cs="DejaVu Sans"/>
        </w:rPr>
        <w:t xml:space="preserve">poi </w:t>
      </w:r>
      <w:r w:rsidR="005D5EA6">
        <w:rPr>
          <w:rFonts w:ascii="DejaVu Sans" w:hAnsi="DejaVu Sans" w:cs="DejaVu Sans"/>
        </w:rPr>
        <w:t xml:space="preserve">tutti i fondi della macrocategoria e </w:t>
      </w:r>
      <w:r>
        <w:rPr>
          <w:rFonts w:ascii="DejaVu Sans" w:hAnsi="DejaVu Sans" w:cs="DejaVu Sans"/>
        </w:rPr>
        <w:t xml:space="preserve">se ne ricalcola </w:t>
      </w:r>
      <w:r w:rsidR="005D5EA6">
        <w:rPr>
          <w:rFonts w:ascii="DejaVu Sans" w:hAnsi="DejaVu Sans" w:cs="DejaVu Sans"/>
        </w:rPr>
        <w:t>l’</w:t>
      </w:r>
      <w:r>
        <w:rPr>
          <w:rFonts w:ascii="DejaVu Sans" w:hAnsi="DejaVu Sans" w:cs="DejaVu Sans"/>
        </w:rPr>
        <w:t>I</w:t>
      </w:r>
      <w:r w:rsidR="005D5EA6">
        <w:rPr>
          <w:rFonts w:ascii="DejaVu Sans" w:hAnsi="DejaVu Sans" w:cs="DejaVu Sans"/>
        </w:rPr>
        <w:t xml:space="preserve">nformation </w:t>
      </w:r>
      <w:r>
        <w:rPr>
          <w:rFonts w:ascii="DejaVu Sans" w:hAnsi="DejaVu Sans" w:cs="DejaVu Sans"/>
        </w:rPr>
        <w:t>R</w:t>
      </w:r>
      <w:r w:rsidR="005D5EA6">
        <w:rPr>
          <w:rFonts w:ascii="DejaVu Sans" w:hAnsi="DejaVu Sans" w:cs="DejaVu Sans"/>
        </w:rPr>
        <w:t>atio, questa volta relativ</w:t>
      </w:r>
      <w:r>
        <w:rPr>
          <w:rFonts w:ascii="DejaVu Sans" w:hAnsi="DejaVu Sans" w:cs="DejaVu Sans"/>
        </w:rPr>
        <w:t>amente</w:t>
      </w:r>
      <w:r w:rsidR="005D5EA6">
        <w:rPr>
          <w:rFonts w:ascii="DejaVu Sans" w:hAnsi="DejaVu Sans" w:cs="DejaVu Sans"/>
        </w:rPr>
        <w:t xml:space="preserve"> al benchmark della </w:t>
      </w:r>
      <w:r w:rsidR="005D5EA6">
        <w:rPr>
          <w:rFonts w:ascii="DejaVu Sans" w:hAnsi="DejaVu Sans" w:cs="DejaVu Sans"/>
        </w:rPr>
        <w:lastRenderedPageBreak/>
        <w:t>macrocategoria</w:t>
      </w:r>
      <w:r>
        <w:rPr>
          <w:rFonts w:ascii="DejaVu Sans" w:hAnsi="DejaVu Sans" w:cs="DejaVu Sans"/>
        </w:rPr>
        <w:t xml:space="preserve"> (in questo caso il MSCI USA)</w:t>
      </w:r>
      <w:r w:rsidR="005D5EA6">
        <w:rPr>
          <w:rFonts w:ascii="DejaVu Sans" w:hAnsi="DejaVu Sans" w:cs="DejaVu Sans"/>
        </w:rPr>
        <w:t xml:space="preserve">, </w:t>
      </w:r>
      <w:r>
        <w:rPr>
          <w:rFonts w:ascii="DejaVu Sans" w:hAnsi="DejaVu Sans" w:cs="DejaVu Sans"/>
        </w:rPr>
        <w:t xml:space="preserve">sempre </w:t>
      </w:r>
      <w:r w:rsidR="005D5EA6">
        <w:rPr>
          <w:rFonts w:ascii="DejaVu Sans" w:hAnsi="DejaVu Sans" w:cs="DejaVu Sans"/>
        </w:rPr>
        <w:t>a</w:t>
      </w:r>
      <w:r>
        <w:rPr>
          <w:rFonts w:ascii="DejaVu Sans" w:hAnsi="DejaVu Sans" w:cs="DejaVu Sans"/>
        </w:rPr>
        <w:t xml:space="preserve"> 1 </w:t>
      </w:r>
      <w:r w:rsidR="005D5EA6">
        <w:rPr>
          <w:rFonts w:ascii="DejaVu Sans" w:hAnsi="DejaVu Sans" w:cs="DejaVu Sans"/>
        </w:rPr>
        <w:t xml:space="preserve">e </w:t>
      </w:r>
      <w:r>
        <w:rPr>
          <w:rFonts w:ascii="DejaVu Sans" w:hAnsi="DejaVu Sans" w:cs="DejaVu Sans"/>
        </w:rPr>
        <w:t xml:space="preserve">3 </w:t>
      </w:r>
      <w:r w:rsidR="005D5EA6">
        <w:rPr>
          <w:rFonts w:ascii="DejaVu Sans" w:hAnsi="DejaVu Sans" w:cs="DejaVu Sans"/>
        </w:rPr>
        <w:t xml:space="preserve">anni, con </w:t>
      </w:r>
      <w:r w:rsidR="00963694">
        <w:rPr>
          <w:rFonts w:ascii="DejaVu Sans" w:hAnsi="DejaVu Sans" w:cs="DejaVu Sans"/>
        </w:rPr>
        <w:t xml:space="preserve">la </w:t>
      </w:r>
      <w:r w:rsidR="005D5EA6">
        <w:rPr>
          <w:rFonts w:ascii="DejaVu Sans" w:hAnsi="DejaVu Sans" w:cs="DejaVu Sans"/>
        </w:rPr>
        <w:t>correzione per i costi di ingresso.</w:t>
      </w:r>
      <w:r>
        <w:rPr>
          <w:rFonts w:ascii="DejaVu Sans" w:hAnsi="DejaVu Sans" w:cs="DejaVu Sans"/>
        </w:rPr>
        <w:t xml:space="preserve"> </w:t>
      </w:r>
      <w:r w:rsidR="005D5EA6">
        <w:rPr>
          <w:rFonts w:ascii="DejaVu Sans" w:hAnsi="DejaVu Sans" w:cs="DejaVu Sans"/>
        </w:rPr>
        <w:t xml:space="preserve">Si </w:t>
      </w:r>
      <w:r>
        <w:rPr>
          <w:rFonts w:ascii="DejaVu Sans" w:hAnsi="DejaVu Sans" w:cs="DejaVu Sans"/>
        </w:rPr>
        <w:t>effettuano</w:t>
      </w:r>
      <w:r w:rsidR="005D5EA6">
        <w:rPr>
          <w:rFonts w:ascii="DejaVu Sans" w:hAnsi="DejaVu Sans" w:cs="DejaVu Sans"/>
        </w:rPr>
        <w:t xml:space="preserve"> gli ordinamenti </w:t>
      </w:r>
      <w:r>
        <w:rPr>
          <w:rFonts w:ascii="DejaVu Sans" w:hAnsi="DejaVu Sans" w:cs="DejaVu Sans"/>
        </w:rPr>
        <w:t>descritti nel precedente</w:t>
      </w:r>
      <w:r w:rsidR="005D5EA6">
        <w:rPr>
          <w:rFonts w:ascii="DejaVu Sans" w:hAnsi="DejaVu Sans" w:cs="DejaVu Sans"/>
        </w:rPr>
        <w:t xml:space="preserve"> paragrafo </w:t>
      </w:r>
      <w:r>
        <w:rPr>
          <w:rFonts w:ascii="DejaVu Sans" w:hAnsi="DejaVu Sans" w:cs="DejaVu Sans"/>
        </w:rPr>
        <w:t xml:space="preserve">individuando il ranking finale e successivamente </w:t>
      </w:r>
      <w:r w:rsidR="00F144DA">
        <w:rPr>
          <w:rFonts w:ascii="DejaVu Sans" w:hAnsi="DejaVu Sans" w:cs="DejaVu Sans"/>
        </w:rPr>
        <w:t xml:space="preserve">si aggiungono i criteri di </w:t>
      </w:r>
      <w:r>
        <w:rPr>
          <w:rFonts w:ascii="DejaVu Sans" w:hAnsi="DejaVu Sans" w:cs="DejaVu Sans"/>
        </w:rPr>
        <w:t>“B</w:t>
      </w:r>
      <w:r w:rsidR="00F144DA">
        <w:rPr>
          <w:rFonts w:ascii="DejaVu Sans" w:hAnsi="DejaVu Sans" w:cs="DejaVu Sans"/>
        </w:rPr>
        <w:t>est</w:t>
      </w:r>
      <w:r>
        <w:rPr>
          <w:rFonts w:ascii="DejaVu Sans" w:hAnsi="DejaVu Sans" w:cs="DejaVu Sans"/>
        </w:rPr>
        <w:t>”</w:t>
      </w:r>
      <w:r w:rsidR="00F144DA">
        <w:rPr>
          <w:rFonts w:ascii="DejaVu Sans" w:hAnsi="DejaVu Sans" w:cs="DejaVu Sans"/>
        </w:rPr>
        <w:t xml:space="preserve"> e </w:t>
      </w:r>
      <w:r>
        <w:rPr>
          <w:rFonts w:ascii="DejaVu Sans" w:hAnsi="DejaVu Sans" w:cs="DejaVu Sans"/>
        </w:rPr>
        <w:t>“</w:t>
      </w:r>
      <w:proofErr w:type="spellStart"/>
      <w:r>
        <w:rPr>
          <w:rFonts w:ascii="DejaVu Sans" w:hAnsi="DejaVu Sans" w:cs="DejaVu Sans"/>
        </w:rPr>
        <w:t>W</w:t>
      </w:r>
      <w:r w:rsidR="00F144DA">
        <w:rPr>
          <w:rFonts w:ascii="DejaVu Sans" w:hAnsi="DejaVu Sans" w:cs="DejaVu Sans"/>
        </w:rPr>
        <w:t>orst</w:t>
      </w:r>
      <w:proofErr w:type="spellEnd"/>
      <w:r>
        <w:rPr>
          <w:rFonts w:ascii="DejaVu Sans" w:hAnsi="DejaVu Sans" w:cs="DejaVu Sans"/>
        </w:rPr>
        <w:t xml:space="preserve">” sull’intera macrocategoria col </w:t>
      </w:r>
      <w:proofErr w:type="spellStart"/>
      <w:r>
        <w:rPr>
          <w:rFonts w:ascii="DejaVu Sans" w:hAnsi="DejaVu Sans" w:cs="DejaVu Sans"/>
        </w:rPr>
        <w:t>cut</w:t>
      </w:r>
      <w:proofErr w:type="spellEnd"/>
      <w:r>
        <w:rPr>
          <w:rFonts w:ascii="DejaVu Sans" w:hAnsi="DejaVu Sans" w:cs="DejaVu Sans"/>
        </w:rPr>
        <w:t>-off</w:t>
      </w:r>
      <w:r w:rsidR="00F144DA">
        <w:rPr>
          <w:rFonts w:ascii="DejaVu Sans" w:hAnsi="DejaVu Sans" w:cs="DejaVu Sans"/>
        </w:rPr>
        <w:t xml:space="preserve"> al primo quartile e </w:t>
      </w:r>
      <w:r>
        <w:rPr>
          <w:rFonts w:ascii="DejaVu Sans" w:hAnsi="DejaVu Sans" w:cs="DejaVu Sans"/>
        </w:rPr>
        <w:t xml:space="preserve">al primo </w:t>
      </w:r>
      <w:proofErr w:type="spellStart"/>
      <w:r w:rsidR="00F144DA">
        <w:rPr>
          <w:rFonts w:ascii="DejaVu Sans" w:hAnsi="DejaVu Sans" w:cs="DejaVu Sans"/>
        </w:rPr>
        <w:t>terzile</w:t>
      </w:r>
      <w:proofErr w:type="spellEnd"/>
      <w:r w:rsidR="00F144DA">
        <w:rPr>
          <w:rFonts w:ascii="DejaVu Sans" w:hAnsi="DejaVu Sans" w:cs="DejaVu Sans"/>
        </w:rPr>
        <w:t xml:space="preserve">. </w:t>
      </w:r>
    </w:p>
    <w:p w14:paraId="433B37F5" w14:textId="4286436E" w:rsidR="00F144DA" w:rsidRDefault="009E39AA" w:rsidP="009E39AA">
      <w:pPr>
        <w:jc w:val="both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Nella pagina successiva viene riportato il foglio finale per la macrocategoria. </w:t>
      </w:r>
      <w:r w:rsidR="00F144DA">
        <w:rPr>
          <w:rFonts w:ascii="DejaVu Sans" w:hAnsi="DejaVu Sans" w:cs="DejaVu Sans"/>
        </w:rPr>
        <w:t xml:space="preserve">Il ranking e i criteri di </w:t>
      </w:r>
      <w:proofErr w:type="spellStart"/>
      <w:r w:rsidR="00F144DA">
        <w:rPr>
          <w:rFonts w:ascii="DejaVu Sans" w:hAnsi="DejaVu Sans" w:cs="DejaVu Sans"/>
        </w:rPr>
        <w:t>cut</w:t>
      </w:r>
      <w:proofErr w:type="spellEnd"/>
      <w:r w:rsidR="00F144DA">
        <w:rPr>
          <w:rFonts w:ascii="DejaVu Sans" w:hAnsi="DejaVu Sans" w:cs="DejaVu Sans"/>
        </w:rPr>
        <w:t xml:space="preserve">-off dei due indicatori corretti (ad uno e tre anni) sono evidenziati </w:t>
      </w:r>
      <w:r>
        <w:rPr>
          <w:rFonts w:ascii="DejaVu Sans" w:hAnsi="DejaVu Sans" w:cs="DejaVu Sans"/>
        </w:rPr>
        <w:t>in</w:t>
      </w:r>
      <w:r w:rsidR="00F144DA">
        <w:rPr>
          <w:rFonts w:ascii="DejaVu Sans" w:hAnsi="DejaVu Sans" w:cs="DejaVu Sans"/>
        </w:rPr>
        <w:t xml:space="preserve"> verde</w:t>
      </w:r>
      <w:r>
        <w:rPr>
          <w:rFonts w:ascii="DejaVu Sans" w:hAnsi="DejaVu Sans" w:cs="DejaVu Sans"/>
        </w:rPr>
        <w:t>,</w:t>
      </w:r>
      <w:r w:rsidR="00F144DA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m</w:t>
      </w:r>
      <w:r w:rsidR="00F144DA">
        <w:rPr>
          <w:rFonts w:ascii="DejaVu Sans" w:hAnsi="DejaVu Sans" w:cs="DejaVu Sans"/>
        </w:rPr>
        <w:t xml:space="preserve">entre gli </w:t>
      </w:r>
      <w:r>
        <w:rPr>
          <w:rFonts w:ascii="DejaVu Sans" w:hAnsi="DejaVu Sans" w:cs="DejaVu Sans"/>
        </w:rPr>
        <w:t>omologhi</w:t>
      </w:r>
      <w:r w:rsidR="00F144DA">
        <w:rPr>
          <w:rFonts w:ascii="DejaVu Sans" w:hAnsi="DejaVu Sans" w:cs="DejaVu Sans"/>
        </w:rPr>
        <w:t xml:space="preserve"> per gli indicatori non corretti compaiono in rosa.</w:t>
      </w:r>
      <w:r>
        <w:rPr>
          <w:rFonts w:ascii="DejaVu Sans" w:hAnsi="DejaVu Sans" w:cs="DejaVu Sans"/>
        </w:rPr>
        <w:t xml:space="preserve"> </w:t>
      </w:r>
      <w:r w:rsidR="00F144DA">
        <w:rPr>
          <w:rFonts w:ascii="DejaVu Sans" w:hAnsi="DejaVu Sans" w:cs="DejaVu Sans"/>
        </w:rPr>
        <w:t xml:space="preserve">La colonna arancione individua la </w:t>
      </w:r>
      <w:proofErr w:type="spellStart"/>
      <w:r w:rsidR="00F144DA">
        <w:rPr>
          <w:rFonts w:ascii="DejaVu Sans" w:hAnsi="DejaVu Sans" w:cs="DejaVu Sans"/>
        </w:rPr>
        <w:t>rankizzazione</w:t>
      </w:r>
      <w:proofErr w:type="spellEnd"/>
      <w:r w:rsidR="00F144DA">
        <w:rPr>
          <w:rFonts w:ascii="DejaVu Sans" w:hAnsi="DejaVu Sans" w:cs="DejaVu Sans"/>
        </w:rPr>
        <w:t xml:space="preserve"> finale e con lo stesso colore si </w:t>
      </w:r>
      <w:r>
        <w:rPr>
          <w:rFonts w:ascii="DejaVu Sans" w:hAnsi="DejaVu Sans" w:cs="DejaVu Sans"/>
        </w:rPr>
        <w:t>evidenziano</w:t>
      </w:r>
      <w:r w:rsidR="00F144DA">
        <w:rPr>
          <w:rFonts w:ascii="DejaVu Sans" w:hAnsi="DejaVu Sans" w:cs="DejaVu Sans"/>
        </w:rPr>
        <w:t xml:space="preserve"> i fondi appartenenti alla </w:t>
      </w:r>
      <w:proofErr w:type="spellStart"/>
      <w:r w:rsidR="00F144DA">
        <w:rPr>
          <w:rFonts w:ascii="DejaVu Sans" w:hAnsi="DejaVu Sans" w:cs="DejaVu Sans"/>
        </w:rPr>
        <w:t>microcategoria</w:t>
      </w:r>
      <w:proofErr w:type="spellEnd"/>
      <w:r w:rsidR="00F144DA">
        <w:rPr>
          <w:rFonts w:ascii="DejaVu Sans" w:hAnsi="DejaVu Sans" w:cs="DejaVu Sans"/>
        </w:rPr>
        <w:t xml:space="preserve"> </w:t>
      </w:r>
      <w:r w:rsidR="00F144DA" w:rsidRPr="009E39AA">
        <w:rPr>
          <w:rFonts w:ascii="DejaVu Sans" w:hAnsi="DejaVu Sans" w:cs="DejaVu Sans"/>
          <w:i/>
          <w:iCs/>
        </w:rPr>
        <w:t>blend</w:t>
      </w:r>
      <w:r w:rsidR="00F144DA">
        <w:rPr>
          <w:rFonts w:ascii="DejaVu Sans" w:hAnsi="DejaVu Sans" w:cs="DejaVu Sans"/>
        </w:rPr>
        <w:t xml:space="preserve"> (</w:t>
      </w:r>
      <w:r>
        <w:rPr>
          <w:rFonts w:ascii="DejaVu Sans" w:hAnsi="DejaVu Sans" w:cs="DejaVu Sans"/>
        </w:rPr>
        <w:t>“A</w:t>
      </w:r>
      <w:r w:rsidR="00F144DA">
        <w:rPr>
          <w:rFonts w:ascii="DejaVu Sans" w:hAnsi="DejaVu Sans" w:cs="DejaVu Sans"/>
        </w:rPr>
        <w:t>zionario USA</w:t>
      </w:r>
      <w:r>
        <w:rPr>
          <w:rFonts w:ascii="DejaVu Sans" w:hAnsi="DejaVu Sans" w:cs="DejaVu Sans"/>
        </w:rPr>
        <w:t>”</w:t>
      </w:r>
      <w:r w:rsidR="00F144DA">
        <w:rPr>
          <w:rFonts w:ascii="DejaVu Sans" w:hAnsi="DejaVu Sans" w:cs="DejaVu Sans"/>
        </w:rPr>
        <w:t xml:space="preserve">). In fondo alla lista in grigio scuro compaiono i fondi con </w:t>
      </w:r>
      <w:r w:rsidR="004A0320">
        <w:rPr>
          <w:rFonts w:ascii="DejaVu Sans" w:hAnsi="DejaVu Sans" w:cs="DejaVu Sans"/>
        </w:rPr>
        <w:t>dati a</w:t>
      </w:r>
      <w:r w:rsidR="00F144DA">
        <w:rPr>
          <w:rFonts w:ascii="DejaVu Sans" w:hAnsi="DejaVu Sans" w:cs="DejaVu Sans"/>
        </w:rPr>
        <w:t xml:space="preserve"> </w:t>
      </w:r>
      <w:r w:rsidR="004A0320">
        <w:rPr>
          <w:rFonts w:ascii="DejaVu Sans" w:hAnsi="DejaVu Sans" w:cs="DejaVu Sans"/>
        </w:rPr>
        <w:t>1</w:t>
      </w:r>
      <w:r w:rsidR="00F144DA">
        <w:rPr>
          <w:rFonts w:ascii="DejaVu Sans" w:hAnsi="DejaVu Sans" w:cs="DejaVu Sans"/>
        </w:rPr>
        <w:t xml:space="preserve"> anno ma </w:t>
      </w:r>
      <w:r w:rsidR="004A0320">
        <w:rPr>
          <w:rFonts w:ascii="DejaVu Sans" w:hAnsi="DejaVu Sans" w:cs="DejaVu Sans"/>
        </w:rPr>
        <w:t>non a 3 anni</w:t>
      </w:r>
      <w:r w:rsidR="00F144DA">
        <w:rPr>
          <w:rFonts w:ascii="DejaVu Sans" w:hAnsi="DejaVu Sans" w:cs="DejaVu Sans"/>
        </w:rPr>
        <w:t>, mentre in grigio chiaro sono segnalati i fondi senza storico oppure con dati non utilizzabili (</w:t>
      </w:r>
      <w:r w:rsidR="004A0320">
        <w:rPr>
          <w:rFonts w:ascii="DejaVu Sans" w:hAnsi="DejaVu Sans" w:cs="DejaVu Sans"/>
        </w:rPr>
        <w:t>la cui</w:t>
      </w:r>
      <w:r w:rsidR="00F144DA">
        <w:rPr>
          <w:rFonts w:ascii="DejaVu Sans" w:hAnsi="DejaVu Sans" w:cs="DejaVu Sans"/>
        </w:rPr>
        <w:t xml:space="preserve"> motivazione </w:t>
      </w:r>
      <w:r w:rsidR="004A0320">
        <w:rPr>
          <w:rFonts w:ascii="DejaVu Sans" w:hAnsi="DejaVu Sans" w:cs="DejaVu Sans"/>
        </w:rPr>
        <w:t xml:space="preserve">è </w:t>
      </w:r>
      <w:r w:rsidR="00F144DA">
        <w:rPr>
          <w:rFonts w:ascii="DejaVu Sans" w:hAnsi="DejaVu Sans" w:cs="DejaVu Sans"/>
        </w:rPr>
        <w:t>fornita nelle note).</w:t>
      </w:r>
    </w:p>
    <w:p w14:paraId="0A3AE270" w14:textId="437CDE32" w:rsidR="00F144DA" w:rsidRDefault="00F144DA" w:rsidP="005D5EA6">
      <w:pPr>
        <w:rPr>
          <w:rFonts w:ascii="DejaVu Sans" w:hAnsi="DejaVu Sans" w:cs="DejaVu Sans"/>
        </w:rPr>
        <w:sectPr w:rsidR="00F144DA" w:rsidSect="00F144DA">
          <w:footerReference w:type="default" r:id="rId10"/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50C2CE8" w14:textId="2B33BAC6" w:rsidR="00F144DA" w:rsidRPr="005D5EA6" w:rsidRDefault="007264A2" w:rsidP="005D5EA6">
      <w:pPr>
        <w:rPr>
          <w:rFonts w:ascii="DejaVu Sans" w:hAnsi="DejaVu Sans" w:cs="DejaVu Sans"/>
        </w:rPr>
      </w:pPr>
      <w:r w:rsidRPr="007264A2">
        <w:rPr>
          <w:noProof/>
        </w:rPr>
        <w:lastRenderedPageBreak/>
        <w:drawing>
          <wp:inline distT="0" distB="0" distL="0" distR="0" wp14:anchorId="1DFC87EF" wp14:editId="58B7EA48">
            <wp:extent cx="9071610" cy="6012180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4DA" w:rsidRPr="005D5EA6" w:rsidSect="00F144DA">
      <w:type w:val="continuous"/>
      <w:pgSz w:w="16838" w:h="11906" w:orient="landscape" w:code="9"/>
      <w:pgMar w:top="1134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6B172" w14:textId="77777777" w:rsidR="00C773F5" w:rsidRDefault="00C773F5" w:rsidP="006E4AEE">
      <w:pPr>
        <w:spacing w:after="0" w:line="240" w:lineRule="auto"/>
      </w:pPr>
      <w:r>
        <w:separator/>
      </w:r>
    </w:p>
  </w:endnote>
  <w:endnote w:type="continuationSeparator" w:id="0">
    <w:p w14:paraId="3C5B7557" w14:textId="77777777" w:rsidR="00C773F5" w:rsidRDefault="00C773F5" w:rsidP="006E4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DejaVu Math TeX Gyre">
    <w:altName w:val="Cambria Math"/>
    <w:charset w:val="00"/>
    <w:family w:val="auto"/>
    <w:pitch w:val="variable"/>
    <w:sig w:usb0="A10000EF" w:usb1="4201F9EE" w:usb2="02000000" w:usb3="00000000" w:csb0="000001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2457450"/>
      <w:docPartObj>
        <w:docPartGallery w:val="Page Numbers (Bottom of Page)"/>
        <w:docPartUnique/>
      </w:docPartObj>
    </w:sdtPr>
    <w:sdtEndPr/>
    <w:sdtContent>
      <w:p w14:paraId="6E93A7DE" w14:textId="6CA641B8" w:rsidR="006E4AEE" w:rsidRDefault="006E4AE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4A2">
          <w:rPr>
            <w:noProof/>
          </w:rPr>
          <w:t>6</w:t>
        </w:r>
        <w:r>
          <w:fldChar w:fldCharType="end"/>
        </w:r>
      </w:p>
    </w:sdtContent>
  </w:sdt>
  <w:p w14:paraId="53F8496A" w14:textId="77777777" w:rsidR="006E4AEE" w:rsidRDefault="006E4AE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2F004" w14:textId="77777777" w:rsidR="00C773F5" w:rsidRDefault="00C773F5" w:rsidP="006E4AEE">
      <w:pPr>
        <w:spacing w:after="0" w:line="240" w:lineRule="auto"/>
      </w:pPr>
      <w:r>
        <w:separator/>
      </w:r>
    </w:p>
  </w:footnote>
  <w:footnote w:type="continuationSeparator" w:id="0">
    <w:p w14:paraId="3588FD62" w14:textId="77777777" w:rsidR="00C773F5" w:rsidRDefault="00C773F5" w:rsidP="006E4AEE">
      <w:pPr>
        <w:spacing w:after="0" w:line="240" w:lineRule="auto"/>
      </w:pPr>
      <w:r>
        <w:continuationSeparator/>
      </w:r>
    </w:p>
  </w:footnote>
  <w:footnote w:id="1">
    <w:p w14:paraId="1E1B92B7" w14:textId="07613988" w:rsidR="00E615FF" w:rsidRDefault="00E615FF" w:rsidP="00E615FF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</w:t>
      </w:r>
      <w:r w:rsidRPr="00491A40">
        <w:rPr>
          <w:rFonts w:ascii="DejaVu Sans" w:hAnsi="DejaVu Sans" w:cs="DejaVu Sans"/>
          <w:sz w:val="18"/>
          <w:szCs w:val="18"/>
        </w:rPr>
        <w:t>Uno studio sulle operazioni di liquidazione e reinvestimento all’interno d</w:t>
      </w:r>
      <w:r w:rsidR="00963694">
        <w:rPr>
          <w:rFonts w:ascii="DejaVu Sans" w:hAnsi="DejaVu Sans" w:cs="DejaVu Sans"/>
          <w:sz w:val="18"/>
          <w:szCs w:val="18"/>
        </w:rPr>
        <w:t xml:space="preserve">ella SIM </w:t>
      </w:r>
      <w:r w:rsidRPr="00491A40">
        <w:rPr>
          <w:rFonts w:ascii="DejaVu Sans" w:hAnsi="DejaVu Sans" w:cs="DejaVu Sans"/>
          <w:sz w:val="18"/>
          <w:szCs w:val="18"/>
        </w:rPr>
        <w:t>negli ultimi 6 anni ha mostrato come non vi sia tendenza a sfruttare il turnover di portafoglio e che</w:t>
      </w:r>
      <w:r w:rsidR="00963694">
        <w:rPr>
          <w:rFonts w:ascii="DejaVu Sans" w:hAnsi="DejaVu Sans" w:cs="DejaVu Sans"/>
          <w:sz w:val="18"/>
          <w:szCs w:val="18"/>
        </w:rPr>
        <w:t>,</w:t>
      </w:r>
      <w:r w:rsidRPr="00491A40">
        <w:rPr>
          <w:rFonts w:ascii="DejaVu Sans" w:hAnsi="DejaVu Sans" w:cs="DejaVu Sans"/>
          <w:sz w:val="18"/>
          <w:szCs w:val="18"/>
        </w:rPr>
        <w:t xml:space="preserve"> dunque</w:t>
      </w:r>
      <w:r w:rsidR="00963694">
        <w:rPr>
          <w:rFonts w:ascii="DejaVu Sans" w:hAnsi="DejaVu Sans" w:cs="DejaVu Sans"/>
          <w:sz w:val="18"/>
          <w:szCs w:val="18"/>
        </w:rPr>
        <w:t xml:space="preserve">, </w:t>
      </w:r>
      <w:r w:rsidRPr="00491A40">
        <w:rPr>
          <w:rFonts w:ascii="DejaVu Sans" w:hAnsi="DejaVu Sans" w:cs="DejaVu Sans"/>
          <w:sz w:val="18"/>
          <w:szCs w:val="18"/>
        </w:rPr>
        <w:t>l’utilizzo di un orizzonte di 5 anni per la diluizione delle front fee sia perfettamente giustificato.</w:t>
      </w:r>
    </w:p>
  </w:footnote>
  <w:footnote w:id="2">
    <w:p w14:paraId="1AA747A7" w14:textId="37E8DA4B" w:rsidR="00714A46" w:rsidRPr="00491A40" w:rsidRDefault="00714A46" w:rsidP="00491A40">
      <w:pPr>
        <w:pStyle w:val="Testonotaapidipagina"/>
        <w:jc w:val="both"/>
        <w:rPr>
          <w:rFonts w:ascii="DejaVu Sans" w:hAnsi="DejaVu Sans" w:cs="DejaVu Sans"/>
          <w:sz w:val="18"/>
          <w:szCs w:val="18"/>
        </w:rPr>
      </w:pPr>
      <w:r>
        <w:rPr>
          <w:rStyle w:val="Rimandonotaapidipagina"/>
        </w:rPr>
        <w:footnoteRef/>
      </w:r>
      <w:r>
        <w:t xml:space="preserve"> </w:t>
      </w:r>
      <w:r w:rsidRPr="00491A40">
        <w:rPr>
          <w:rFonts w:ascii="DejaVu Sans" w:hAnsi="DejaVu Sans" w:cs="DejaVu Sans"/>
          <w:sz w:val="18"/>
          <w:szCs w:val="18"/>
        </w:rPr>
        <w:t>La TEV viene ottenuta</w:t>
      </w:r>
      <w:r w:rsidR="00E85E27" w:rsidRPr="00491A40">
        <w:rPr>
          <w:rFonts w:ascii="DejaVu Sans" w:hAnsi="DejaVu Sans" w:cs="DejaVu Sans"/>
          <w:sz w:val="18"/>
          <w:szCs w:val="18"/>
        </w:rPr>
        <w:t xml:space="preserve"> dai dati Quantalys dividendo </w:t>
      </w:r>
      <w:r w:rsidR="007E49F5">
        <w:rPr>
          <w:rFonts w:ascii="DejaVu Sans" w:hAnsi="DejaVu Sans" w:cs="DejaVu Sans"/>
          <w:sz w:val="18"/>
          <w:szCs w:val="18"/>
        </w:rPr>
        <w:t>la</w:t>
      </w:r>
      <w:r w:rsidR="00E85E27" w:rsidRPr="00491A40">
        <w:rPr>
          <w:rFonts w:ascii="DejaVu Sans" w:hAnsi="DejaVu Sans" w:cs="DejaVu Sans"/>
          <w:sz w:val="18"/>
          <w:szCs w:val="18"/>
        </w:rPr>
        <w:t xml:space="preserve"> extra</w:t>
      </w:r>
      <w:r w:rsidR="00963694">
        <w:rPr>
          <w:rFonts w:ascii="DejaVu Sans" w:hAnsi="DejaVu Sans" w:cs="DejaVu Sans"/>
          <w:sz w:val="18"/>
          <w:szCs w:val="18"/>
        </w:rPr>
        <w:t>-</w:t>
      </w:r>
      <w:r w:rsidR="00E85E27" w:rsidRPr="00491A40">
        <w:rPr>
          <w:rFonts w:ascii="DejaVu Sans" w:hAnsi="DejaVu Sans" w:cs="DejaVu Sans"/>
          <w:sz w:val="18"/>
          <w:szCs w:val="18"/>
        </w:rPr>
        <w:t>performance per l’Information Ratio.</w:t>
      </w:r>
    </w:p>
  </w:footnote>
  <w:footnote w:id="3">
    <w:p w14:paraId="4EFDDF96" w14:textId="0A0C9567" w:rsidR="001246B5" w:rsidRDefault="001246B5" w:rsidP="00491A40">
      <w:pPr>
        <w:pStyle w:val="Testonotaapidipagina"/>
        <w:jc w:val="both"/>
      </w:pPr>
      <w:r w:rsidRPr="00491A40">
        <w:rPr>
          <w:rStyle w:val="Rimandonotaapidipagina"/>
          <w:rFonts w:ascii="DejaVu Sans" w:hAnsi="DejaVu Sans" w:cs="DejaVu Sans"/>
          <w:sz w:val="18"/>
          <w:szCs w:val="18"/>
        </w:rPr>
        <w:footnoteRef/>
      </w:r>
      <w:r w:rsidRPr="00491A40">
        <w:rPr>
          <w:rFonts w:ascii="DejaVu Sans" w:hAnsi="DejaVu Sans" w:cs="DejaVu Sans"/>
          <w:sz w:val="18"/>
          <w:szCs w:val="18"/>
        </w:rPr>
        <w:t xml:space="preserve"> In questo e negli ordinamenti successivi per le macrocategorie a benchmark si utilizza l’IR relativo al benchmark della macrocategoria.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C7204"/>
    <w:multiLevelType w:val="hybridMultilevel"/>
    <w:tmpl w:val="98A81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47115"/>
    <w:multiLevelType w:val="hybridMultilevel"/>
    <w:tmpl w:val="131A17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00EEF"/>
    <w:multiLevelType w:val="hybridMultilevel"/>
    <w:tmpl w:val="282CA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C0C8B"/>
    <w:multiLevelType w:val="hybridMultilevel"/>
    <w:tmpl w:val="BD32A5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420AD"/>
    <w:multiLevelType w:val="hybridMultilevel"/>
    <w:tmpl w:val="B008A0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51310"/>
    <w:multiLevelType w:val="hybridMultilevel"/>
    <w:tmpl w:val="2946B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D5CF4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47803B1"/>
    <w:multiLevelType w:val="hybridMultilevel"/>
    <w:tmpl w:val="A91C2B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648"/>
    <w:rsid w:val="00044846"/>
    <w:rsid w:val="0009180F"/>
    <w:rsid w:val="000C3A10"/>
    <w:rsid w:val="001246B5"/>
    <w:rsid w:val="0013561C"/>
    <w:rsid w:val="00156951"/>
    <w:rsid w:val="00170DF5"/>
    <w:rsid w:val="001B37F2"/>
    <w:rsid w:val="00206838"/>
    <w:rsid w:val="002469EE"/>
    <w:rsid w:val="003F4B7A"/>
    <w:rsid w:val="004134B3"/>
    <w:rsid w:val="00417F21"/>
    <w:rsid w:val="0046497E"/>
    <w:rsid w:val="00491A40"/>
    <w:rsid w:val="004A0320"/>
    <w:rsid w:val="005053D6"/>
    <w:rsid w:val="00510A80"/>
    <w:rsid w:val="00523BC8"/>
    <w:rsid w:val="005C5F12"/>
    <w:rsid w:val="005D093D"/>
    <w:rsid w:val="005D5EA6"/>
    <w:rsid w:val="00635829"/>
    <w:rsid w:val="0065242F"/>
    <w:rsid w:val="00665E84"/>
    <w:rsid w:val="006D052A"/>
    <w:rsid w:val="006D2AA5"/>
    <w:rsid w:val="006E4AEE"/>
    <w:rsid w:val="00714A46"/>
    <w:rsid w:val="007230EB"/>
    <w:rsid w:val="00724076"/>
    <w:rsid w:val="007264A2"/>
    <w:rsid w:val="0075157A"/>
    <w:rsid w:val="007E127D"/>
    <w:rsid w:val="007E49F5"/>
    <w:rsid w:val="00835E8C"/>
    <w:rsid w:val="00963694"/>
    <w:rsid w:val="009E39AA"/>
    <w:rsid w:val="00A1398C"/>
    <w:rsid w:val="00A22ABF"/>
    <w:rsid w:val="00A33494"/>
    <w:rsid w:val="00A6021F"/>
    <w:rsid w:val="00A8252C"/>
    <w:rsid w:val="00AE6648"/>
    <w:rsid w:val="00AF4989"/>
    <w:rsid w:val="00B50744"/>
    <w:rsid w:val="00B7191A"/>
    <w:rsid w:val="00B74722"/>
    <w:rsid w:val="00B95622"/>
    <w:rsid w:val="00BD16A9"/>
    <w:rsid w:val="00BF483E"/>
    <w:rsid w:val="00C120C1"/>
    <w:rsid w:val="00C303DA"/>
    <w:rsid w:val="00C773F5"/>
    <w:rsid w:val="00D173E8"/>
    <w:rsid w:val="00D54804"/>
    <w:rsid w:val="00D71045"/>
    <w:rsid w:val="00DD0F99"/>
    <w:rsid w:val="00DD1B9E"/>
    <w:rsid w:val="00DE4F22"/>
    <w:rsid w:val="00E06793"/>
    <w:rsid w:val="00E272AA"/>
    <w:rsid w:val="00E615FF"/>
    <w:rsid w:val="00E85E27"/>
    <w:rsid w:val="00E85F67"/>
    <w:rsid w:val="00EE4360"/>
    <w:rsid w:val="00F010AB"/>
    <w:rsid w:val="00F144DA"/>
    <w:rsid w:val="00FB1D10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BD5C"/>
  <w15:chartTrackingRefBased/>
  <w15:docId w15:val="{5E288A76-FE39-4B35-8949-07FE14BC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0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17F2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17F21"/>
    <w:rPr>
      <w:color w:val="0563C1" w:themeColor="hyperlink"/>
      <w:u w:val="single"/>
    </w:rPr>
  </w:style>
  <w:style w:type="character" w:customStyle="1" w:styleId="UnresolvedMention1">
    <w:name w:val="Unresolved Mention1"/>
    <w:basedOn w:val="Carpredefinitoparagrafo"/>
    <w:uiPriority w:val="99"/>
    <w:semiHidden/>
    <w:unhideWhenUsed/>
    <w:rsid w:val="00417F21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A22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E4A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E4AEE"/>
  </w:style>
  <w:style w:type="paragraph" w:styleId="Pidipagina">
    <w:name w:val="footer"/>
    <w:basedOn w:val="Normale"/>
    <w:link w:val="PidipaginaCarattere"/>
    <w:uiPriority w:val="99"/>
    <w:unhideWhenUsed/>
    <w:rsid w:val="006E4A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E4AEE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615F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615F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615FF"/>
    <w:rPr>
      <w:vertAlign w:val="superscript"/>
    </w:rPr>
  </w:style>
  <w:style w:type="character" w:styleId="Testosegnaposto">
    <w:name w:val="Placeholder Text"/>
    <w:basedOn w:val="Carpredefinitoparagrafo"/>
    <w:uiPriority w:val="99"/>
    <w:semiHidden/>
    <w:rsid w:val="0065242F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D0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D0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0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264A2"/>
    <w:rPr>
      <w:color w:val="954F72"/>
      <w:u w:val="single"/>
    </w:rPr>
  </w:style>
  <w:style w:type="paragraph" w:customStyle="1" w:styleId="msonormal0">
    <w:name w:val="msonormal"/>
    <w:basedOn w:val="Normale"/>
    <w:rsid w:val="00726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th-TH"/>
    </w:rPr>
  </w:style>
  <w:style w:type="paragraph" w:customStyle="1" w:styleId="xl67">
    <w:name w:val="xl67"/>
    <w:basedOn w:val="Normale"/>
    <w:rsid w:val="007264A2"/>
    <w:pP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Palatino Linotype" w:eastAsia="Times New Roman" w:hAnsi="Palatino Linotype" w:cs="Times New Roman"/>
      <w:b/>
      <w:bCs/>
      <w:i/>
      <w:iCs/>
      <w:sz w:val="24"/>
      <w:szCs w:val="24"/>
      <w:lang w:eastAsia="zh-CN" w:bidi="th-TH"/>
    </w:rPr>
  </w:style>
  <w:style w:type="paragraph" w:customStyle="1" w:styleId="xl68">
    <w:name w:val="xl68"/>
    <w:basedOn w:val="Normale"/>
    <w:rsid w:val="007264A2"/>
    <w:pPr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69">
    <w:name w:val="xl69"/>
    <w:basedOn w:val="Normale"/>
    <w:rsid w:val="007264A2"/>
    <w:pPr>
      <w:spacing w:before="100" w:beforeAutospacing="1" w:after="100" w:afterAutospacing="1" w:line="240" w:lineRule="auto"/>
      <w:jc w:val="center"/>
      <w:textAlignment w:val="center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70">
    <w:name w:val="xl70"/>
    <w:basedOn w:val="Normale"/>
    <w:rsid w:val="007264A2"/>
    <w:pPr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71">
    <w:name w:val="xl71"/>
    <w:basedOn w:val="Normale"/>
    <w:rsid w:val="007264A2"/>
    <w:pPr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72">
    <w:name w:val="xl72"/>
    <w:basedOn w:val="Normale"/>
    <w:rsid w:val="007264A2"/>
    <w:pPr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73">
    <w:name w:val="xl73"/>
    <w:basedOn w:val="Normale"/>
    <w:rsid w:val="007264A2"/>
    <w:pPr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74">
    <w:name w:val="xl74"/>
    <w:basedOn w:val="Normale"/>
    <w:rsid w:val="007264A2"/>
    <w:pPr>
      <w:shd w:val="clear" w:color="000000" w:fill="F4B084"/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75">
    <w:name w:val="xl75"/>
    <w:basedOn w:val="Normale"/>
    <w:rsid w:val="007264A2"/>
    <w:pPr>
      <w:shd w:val="clear" w:color="000000" w:fill="E2EFDA"/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76">
    <w:name w:val="xl76"/>
    <w:basedOn w:val="Normale"/>
    <w:rsid w:val="007264A2"/>
    <w:pPr>
      <w:shd w:val="clear" w:color="000000" w:fill="E2EFDA"/>
      <w:spacing w:before="100" w:beforeAutospacing="1" w:after="100" w:afterAutospacing="1" w:line="240" w:lineRule="auto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77">
    <w:name w:val="xl77"/>
    <w:basedOn w:val="Normale"/>
    <w:rsid w:val="007264A2"/>
    <w:pPr>
      <w:shd w:val="clear" w:color="000000" w:fill="FCE4D6"/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78">
    <w:name w:val="xl78"/>
    <w:basedOn w:val="Normale"/>
    <w:rsid w:val="007264A2"/>
    <w:pPr>
      <w:shd w:val="clear" w:color="000000" w:fill="FCE4D6"/>
      <w:spacing w:before="100" w:beforeAutospacing="1" w:after="100" w:afterAutospacing="1" w:line="240" w:lineRule="auto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79">
    <w:name w:val="xl79"/>
    <w:basedOn w:val="Normale"/>
    <w:rsid w:val="007264A2"/>
    <w:pPr>
      <w:spacing w:before="100" w:beforeAutospacing="1" w:after="100" w:afterAutospacing="1" w:line="240" w:lineRule="auto"/>
      <w:jc w:val="center"/>
      <w:textAlignment w:val="center"/>
    </w:pPr>
    <w:rPr>
      <w:rFonts w:ascii="Palatino Linotype" w:eastAsia="Times New Roman" w:hAnsi="Palatino Linotype" w:cs="Times New Roman"/>
      <w:color w:val="808080"/>
      <w:sz w:val="24"/>
      <w:szCs w:val="24"/>
      <w:lang w:eastAsia="zh-CN" w:bidi="th-TH"/>
    </w:rPr>
  </w:style>
  <w:style w:type="paragraph" w:customStyle="1" w:styleId="xl80">
    <w:name w:val="xl80"/>
    <w:basedOn w:val="Normale"/>
    <w:rsid w:val="007264A2"/>
    <w:pPr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color w:val="808080"/>
      <w:sz w:val="24"/>
      <w:szCs w:val="24"/>
      <w:lang w:eastAsia="zh-CN" w:bidi="th-TH"/>
    </w:rPr>
  </w:style>
  <w:style w:type="paragraph" w:customStyle="1" w:styleId="xl81">
    <w:name w:val="xl81"/>
    <w:basedOn w:val="Normale"/>
    <w:rsid w:val="007264A2"/>
    <w:pPr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color w:val="808080"/>
      <w:sz w:val="24"/>
      <w:szCs w:val="24"/>
      <w:lang w:eastAsia="zh-CN" w:bidi="th-TH"/>
    </w:rPr>
  </w:style>
  <w:style w:type="paragraph" w:customStyle="1" w:styleId="xl82">
    <w:name w:val="xl82"/>
    <w:basedOn w:val="Normale"/>
    <w:rsid w:val="007264A2"/>
    <w:pPr>
      <w:spacing w:before="100" w:beforeAutospacing="1" w:after="100" w:afterAutospacing="1" w:line="240" w:lineRule="auto"/>
      <w:jc w:val="center"/>
      <w:textAlignment w:val="center"/>
    </w:pPr>
    <w:rPr>
      <w:rFonts w:ascii="Palatino Linotype" w:eastAsia="Times New Roman" w:hAnsi="Palatino Linotype" w:cs="Times New Roman"/>
      <w:color w:val="BFBFBF"/>
      <w:sz w:val="24"/>
      <w:szCs w:val="24"/>
      <w:lang w:eastAsia="zh-CN" w:bidi="th-TH"/>
    </w:rPr>
  </w:style>
  <w:style w:type="paragraph" w:customStyle="1" w:styleId="xl83">
    <w:name w:val="xl83"/>
    <w:basedOn w:val="Normale"/>
    <w:rsid w:val="007264A2"/>
    <w:pPr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color w:val="BFBFBF"/>
      <w:sz w:val="24"/>
      <w:szCs w:val="24"/>
      <w:lang w:eastAsia="zh-CN" w:bidi="th-TH"/>
    </w:rPr>
  </w:style>
  <w:style w:type="paragraph" w:customStyle="1" w:styleId="xl84">
    <w:name w:val="xl84"/>
    <w:basedOn w:val="Normale"/>
    <w:rsid w:val="007264A2"/>
    <w:pPr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color w:val="BFBFBF"/>
      <w:sz w:val="24"/>
      <w:szCs w:val="24"/>
      <w:lang w:eastAsia="zh-CN" w:bidi="th-TH"/>
    </w:rPr>
  </w:style>
  <w:style w:type="paragraph" w:customStyle="1" w:styleId="xl85">
    <w:name w:val="xl85"/>
    <w:basedOn w:val="Normale"/>
    <w:rsid w:val="007264A2"/>
    <w:pPr>
      <w:spacing w:before="100" w:beforeAutospacing="1" w:after="100" w:afterAutospacing="1" w:line="240" w:lineRule="auto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86">
    <w:name w:val="xl86"/>
    <w:basedOn w:val="Normale"/>
    <w:rsid w:val="007264A2"/>
    <w:pPr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color w:val="808080"/>
      <w:sz w:val="24"/>
      <w:szCs w:val="24"/>
      <w:lang w:eastAsia="zh-CN" w:bidi="th-TH"/>
    </w:rPr>
  </w:style>
  <w:style w:type="paragraph" w:customStyle="1" w:styleId="xl87">
    <w:name w:val="xl87"/>
    <w:basedOn w:val="Normale"/>
    <w:rsid w:val="007264A2"/>
    <w:pPr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color w:val="808080"/>
      <w:sz w:val="24"/>
      <w:szCs w:val="24"/>
      <w:lang w:eastAsia="zh-CN" w:bidi="th-TH"/>
    </w:rPr>
  </w:style>
  <w:style w:type="paragraph" w:customStyle="1" w:styleId="xl88">
    <w:name w:val="xl88"/>
    <w:basedOn w:val="Normale"/>
    <w:rsid w:val="007264A2"/>
    <w:pPr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color w:val="808080"/>
      <w:sz w:val="24"/>
      <w:szCs w:val="24"/>
      <w:lang w:eastAsia="zh-CN" w:bidi="th-TH"/>
    </w:rPr>
  </w:style>
  <w:style w:type="paragraph" w:customStyle="1" w:styleId="xl89">
    <w:name w:val="xl89"/>
    <w:basedOn w:val="Normale"/>
    <w:rsid w:val="007264A2"/>
    <w:pPr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color w:val="BFBFBF"/>
      <w:sz w:val="24"/>
      <w:szCs w:val="24"/>
      <w:lang w:eastAsia="zh-CN" w:bidi="th-TH"/>
    </w:rPr>
  </w:style>
  <w:style w:type="paragraph" w:customStyle="1" w:styleId="xl90">
    <w:name w:val="xl90"/>
    <w:basedOn w:val="Normale"/>
    <w:rsid w:val="007264A2"/>
    <w:pPr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color w:val="BFBFBF"/>
      <w:sz w:val="24"/>
      <w:szCs w:val="24"/>
      <w:lang w:eastAsia="zh-CN" w:bidi="th-TH"/>
    </w:rPr>
  </w:style>
  <w:style w:type="paragraph" w:customStyle="1" w:styleId="xl91">
    <w:name w:val="xl91"/>
    <w:basedOn w:val="Normale"/>
    <w:rsid w:val="007264A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th-TH"/>
    </w:rPr>
  </w:style>
  <w:style w:type="paragraph" w:customStyle="1" w:styleId="xl92">
    <w:name w:val="xl92"/>
    <w:basedOn w:val="Normale"/>
    <w:rsid w:val="007264A2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93">
    <w:name w:val="xl93"/>
    <w:basedOn w:val="Normale"/>
    <w:rsid w:val="007264A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94">
    <w:name w:val="xl94"/>
    <w:basedOn w:val="Normale"/>
    <w:rsid w:val="007264A2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95">
    <w:name w:val="xl95"/>
    <w:basedOn w:val="Normale"/>
    <w:rsid w:val="007264A2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96">
    <w:name w:val="xl96"/>
    <w:basedOn w:val="Normale"/>
    <w:rsid w:val="007264A2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97">
    <w:name w:val="xl97"/>
    <w:basedOn w:val="Normale"/>
    <w:rsid w:val="007264A2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98">
    <w:name w:val="xl98"/>
    <w:basedOn w:val="Normale"/>
    <w:rsid w:val="007264A2"/>
    <w:pPr>
      <w:pBdr>
        <w:bottom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99">
    <w:name w:val="xl99"/>
    <w:basedOn w:val="Normale"/>
    <w:rsid w:val="007264A2"/>
    <w:pPr>
      <w:pBdr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100">
    <w:name w:val="xl100"/>
    <w:basedOn w:val="Normale"/>
    <w:rsid w:val="007264A2"/>
    <w:pPr>
      <w:pBdr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101">
    <w:name w:val="xl101"/>
    <w:basedOn w:val="Normale"/>
    <w:rsid w:val="007264A2"/>
    <w:pPr>
      <w:pBdr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  <w:style w:type="paragraph" w:customStyle="1" w:styleId="xl102">
    <w:name w:val="xl102"/>
    <w:basedOn w:val="Normale"/>
    <w:rsid w:val="007264A2"/>
    <w:pPr>
      <w:pBdr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Palatino Linotype" w:eastAsia="Times New Roman" w:hAnsi="Palatino Linotype" w:cs="Times New Roman"/>
      <w:sz w:val="24"/>
      <w:szCs w:val="24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ntalys.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E6E0C-3006-4D94-A02D-A1769F7EE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1236</Words>
  <Characters>7046</Characters>
  <Application>Microsoft Office Word</Application>
  <DocSecurity>0</DocSecurity>
  <Lines>58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 TD. Dondè</dc:creator>
  <cp:keywords/>
  <dc:description/>
  <cp:lastModifiedBy>Emanuele Maria Carluccio</cp:lastModifiedBy>
  <cp:revision>2</cp:revision>
  <dcterms:created xsi:type="dcterms:W3CDTF">2021-04-04T08:48:00Z</dcterms:created>
  <dcterms:modified xsi:type="dcterms:W3CDTF">2021-04-04T08:48:00Z</dcterms:modified>
</cp:coreProperties>
</file>