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6E5" w:rsidRDefault="00E63DA2" w:rsidP="003710BD">
      <w:pPr>
        <w:spacing w:line="360" w:lineRule="auto"/>
        <w:jc w:val="both"/>
        <w:rPr>
          <w:rFonts w:asciiTheme="minorHAnsi" w:hAnsiTheme="minorHAnsi" w:cstheme="minorHAnsi"/>
          <w:sz w:val="24"/>
          <w:szCs w:val="24"/>
        </w:rPr>
      </w:pPr>
      <w:bookmarkStart w:id="0" w:name="_Toc373916051"/>
      <w:bookmarkStart w:id="1" w:name="_GoBack"/>
      <w:bookmarkEnd w:id="1"/>
      <w:r>
        <w:rPr>
          <w:rFonts w:ascii="Calibri" w:hAnsi="Calibri"/>
          <w:b/>
          <w:bCs/>
          <w:sz w:val="48"/>
          <w:szCs w:val="48"/>
        </w:rPr>
        <w:t>Documento Metodologico Portafoglio Modello</w:t>
      </w:r>
    </w:p>
    <w:p w:rsidR="002546EB" w:rsidRPr="000376E5" w:rsidRDefault="000376E5" w:rsidP="003710BD">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1</w:t>
      </w:r>
      <w:r w:rsidR="008E5C3C">
        <w:rPr>
          <w:rFonts w:asciiTheme="minorHAnsi" w:hAnsiTheme="minorHAnsi" w:cstheme="minorHAnsi"/>
          <w:sz w:val="24"/>
          <w:szCs w:val="24"/>
        </w:rPr>
        <w:t>8</w:t>
      </w:r>
      <w:r w:rsidRPr="000376E5">
        <w:rPr>
          <w:rFonts w:asciiTheme="minorHAnsi" w:hAnsiTheme="minorHAnsi" w:cstheme="minorHAnsi"/>
          <w:sz w:val="24"/>
          <w:szCs w:val="24"/>
        </w:rPr>
        <w:t xml:space="preserve"> Luglio 2015</w:t>
      </w:r>
    </w:p>
    <w:sdt>
      <w:sdtPr>
        <w:rPr>
          <w:rFonts w:asciiTheme="minorHAnsi" w:eastAsia="Times New Roman" w:hAnsiTheme="minorHAnsi" w:cstheme="minorHAnsi"/>
          <w:b w:val="0"/>
          <w:bCs w:val="0"/>
          <w:color w:val="auto"/>
          <w:sz w:val="20"/>
          <w:szCs w:val="20"/>
        </w:rPr>
        <w:id w:val="3734898"/>
        <w:docPartObj>
          <w:docPartGallery w:val="Table of Contents"/>
          <w:docPartUnique/>
        </w:docPartObj>
      </w:sdtPr>
      <w:sdtEndPr/>
      <w:sdtContent>
        <w:p w:rsidR="006E1163" w:rsidRPr="000376E5" w:rsidRDefault="000376E5" w:rsidP="003710BD">
          <w:pPr>
            <w:pStyle w:val="Titolosommario"/>
            <w:spacing w:line="360" w:lineRule="auto"/>
            <w:jc w:val="both"/>
            <w:rPr>
              <w:rFonts w:asciiTheme="minorHAnsi" w:hAnsiTheme="minorHAnsi" w:cstheme="minorHAnsi"/>
            </w:rPr>
          </w:pPr>
          <w:r>
            <w:rPr>
              <w:rFonts w:asciiTheme="minorHAnsi" w:hAnsiTheme="minorHAnsi" w:cstheme="minorHAnsi"/>
            </w:rPr>
            <w:t>Indice</w:t>
          </w:r>
        </w:p>
        <w:p w:rsidR="004E01DF" w:rsidRDefault="00EB77A6">
          <w:pPr>
            <w:pStyle w:val="Sommario1"/>
            <w:tabs>
              <w:tab w:val="right" w:leader="dot" w:pos="9628"/>
            </w:tabs>
            <w:rPr>
              <w:rFonts w:asciiTheme="minorHAnsi" w:eastAsiaTheme="minorEastAsia" w:hAnsiTheme="minorHAnsi" w:cstheme="minorBidi"/>
              <w:noProof/>
              <w:sz w:val="22"/>
              <w:szCs w:val="22"/>
              <w:lang w:eastAsia="it-IT"/>
            </w:rPr>
          </w:pPr>
          <w:r w:rsidRPr="000376E5">
            <w:rPr>
              <w:rFonts w:asciiTheme="minorHAnsi" w:hAnsiTheme="minorHAnsi" w:cstheme="minorHAnsi"/>
            </w:rPr>
            <w:fldChar w:fldCharType="begin"/>
          </w:r>
          <w:r w:rsidR="006E1163" w:rsidRPr="000376E5">
            <w:rPr>
              <w:rFonts w:asciiTheme="minorHAnsi" w:hAnsiTheme="minorHAnsi" w:cstheme="minorHAnsi"/>
            </w:rPr>
            <w:instrText xml:space="preserve"> TOC \o "1-3" \h \z \u </w:instrText>
          </w:r>
          <w:r w:rsidRPr="000376E5">
            <w:rPr>
              <w:rFonts w:asciiTheme="minorHAnsi" w:hAnsiTheme="minorHAnsi" w:cstheme="minorHAnsi"/>
            </w:rPr>
            <w:fldChar w:fldCharType="separate"/>
          </w:r>
          <w:hyperlink w:anchor="_Toc425154122" w:history="1">
            <w:r w:rsidR="004E01DF" w:rsidRPr="00C673B3">
              <w:rPr>
                <w:rStyle w:val="Collegamentoipertestuale"/>
                <w:rFonts w:ascii="Calibri" w:eastAsiaTheme="majorEastAsia" w:hAnsi="Calibri"/>
                <w:noProof/>
              </w:rPr>
              <w:t>PREMESSA</w:t>
            </w:r>
            <w:r w:rsidR="004E01DF">
              <w:rPr>
                <w:noProof/>
                <w:webHidden/>
              </w:rPr>
              <w:tab/>
            </w:r>
            <w:r w:rsidR="004E01DF">
              <w:rPr>
                <w:noProof/>
                <w:webHidden/>
              </w:rPr>
              <w:fldChar w:fldCharType="begin"/>
            </w:r>
            <w:r w:rsidR="004E01DF">
              <w:rPr>
                <w:noProof/>
                <w:webHidden/>
              </w:rPr>
              <w:instrText xml:space="preserve"> PAGEREF _Toc425154122 \h </w:instrText>
            </w:r>
            <w:r w:rsidR="004E01DF">
              <w:rPr>
                <w:noProof/>
                <w:webHidden/>
              </w:rPr>
            </w:r>
            <w:r w:rsidR="004E01DF">
              <w:rPr>
                <w:noProof/>
                <w:webHidden/>
              </w:rPr>
              <w:fldChar w:fldCharType="separate"/>
            </w:r>
            <w:r w:rsidR="004E01DF">
              <w:rPr>
                <w:noProof/>
                <w:webHidden/>
              </w:rPr>
              <w:t>2</w:t>
            </w:r>
            <w:r w:rsidR="004E01DF">
              <w:rPr>
                <w:noProof/>
                <w:webHidden/>
              </w:rPr>
              <w:fldChar w:fldCharType="end"/>
            </w:r>
          </w:hyperlink>
        </w:p>
        <w:p w:rsidR="004E01DF" w:rsidRDefault="003B4CCB">
          <w:pPr>
            <w:pStyle w:val="Sommario1"/>
            <w:tabs>
              <w:tab w:val="left" w:pos="400"/>
              <w:tab w:val="right" w:leader="dot" w:pos="9628"/>
            </w:tabs>
            <w:rPr>
              <w:rFonts w:asciiTheme="minorHAnsi" w:eastAsiaTheme="minorEastAsia" w:hAnsiTheme="minorHAnsi" w:cstheme="minorBidi"/>
              <w:noProof/>
              <w:sz w:val="22"/>
              <w:szCs w:val="22"/>
              <w:lang w:eastAsia="it-IT"/>
            </w:rPr>
          </w:pPr>
          <w:hyperlink w:anchor="_Toc425154123" w:history="1">
            <w:r w:rsidR="004E01DF" w:rsidRPr="00C673B3">
              <w:rPr>
                <w:rStyle w:val="Collegamentoipertestuale"/>
                <w:rFonts w:eastAsiaTheme="majorEastAsia" w:cstheme="minorHAnsi"/>
                <w:noProof/>
              </w:rPr>
              <w:t>1</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IL MODELLO UTILIZZATO DA CHEBANCA! PER LA COSTRUZIONE DEI PORTAFOGLI STRATEGICI</w:t>
            </w:r>
            <w:r w:rsidR="004E01DF">
              <w:rPr>
                <w:noProof/>
                <w:webHidden/>
              </w:rPr>
              <w:tab/>
            </w:r>
            <w:r w:rsidR="004E01DF">
              <w:rPr>
                <w:noProof/>
                <w:webHidden/>
              </w:rPr>
              <w:fldChar w:fldCharType="begin"/>
            </w:r>
            <w:r w:rsidR="004E01DF">
              <w:rPr>
                <w:noProof/>
                <w:webHidden/>
              </w:rPr>
              <w:instrText xml:space="preserve"> PAGEREF _Toc425154123 \h </w:instrText>
            </w:r>
            <w:r w:rsidR="004E01DF">
              <w:rPr>
                <w:noProof/>
                <w:webHidden/>
              </w:rPr>
            </w:r>
            <w:r w:rsidR="004E01DF">
              <w:rPr>
                <w:noProof/>
                <w:webHidden/>
              </w:rPr>
              <w:fldChar w:fldCharType="separate"/>
            </w:r>
            <w:r w:rsidR="004E01DF">
              <w:rPr>
                <w:noProof/>
                <w:webHidden/>
              </w:rPr>
              <w:t>4</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24" w:history="1">
            <w:r w:rsidR="004E01DF" w:rsidRPr="00C673B3">
              <w:rPr>
                <w:rStyle w:val="Collegamentoipertestuale"/>
                <w:rFonts w:eastAsiaTheme="majorEastAsia" w:cstheme="minorHAnsi"/>
                <w:noProof/>
              </w:rPr>
              <w:t>1.1</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LE ASSET CLASS</w:t>
            </w:r>
            <w:r w:rsidR="004E01DF">
              <w:rPr>
                <w:noProof/>
                <w:webHidden/>
              </w:rPr>
              <w:tab/>
            </w:r>
            <w:r w:rsidR="004E01DF">
              <w:rPr>
                <w:noProof/>
                <w:webHidden/>
              </w:rPr>
              <w:fldChar w:fldCharType="begin"/>
            </w:r>
            <w:r w:rsidR="004E01DF">
              <w:rPr>
                <w:noProof/>
                <w:webHidden/>
              </w:rPr>
              <w:instrText xml:space="preserve"> PAGEREF _Toc425154124 \h </w:instrText>
            </w:r>
            <w:r w:rsidR="004E01DF">
              <w:rPr>
                <w:noProof/>
                <w:webHidden/>
              </w:rPr>
            </w:r>
            <w:r w:rsidR="004E01DF">
              <w:rPr>
                <w:noProof/>
                <w:webHidden/>
              </w:rPr>
              <w:fldChar w:fldCharType="separate"/>
            </w:r>
            <w:r w:rsidR="004E01DF">
              <w:rPr>
                <w:noProof/>
                <w:webHidden/>
              </w:rPr>
              <w:t>7</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25" w:history="1">
            <w:r w:rsidR="004E01DF" w:rsidRPr="00C673B3">
              <w:rPr>
                <w:rStyle w:val="Collegamentoipertestuale"/>
                <w:rFonts w:eastAsiaTheme="majorEastAsia" w:cstheme="minorHAnsi"/>
                <w:noProof/>
              </w:rPr>
              <w:t>1.2</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LE SERIE STORICHE</w:t>
            </w:r>
            <w:r w:rsidR="004E01DF">
              <w:rPr>
                <w:noProof/>
                <w:webHidden/>
              </w:rPr>
              <w:tab/>
            </w:r>
            <w:r w:rsidR="004E01DF">
              <w:rPr>
                <w:noProof/>
                <w:webHidden/>
              </w:rPr>
              <w:fldChar w:fldCharType="begin"/>
            </w:r>
            <w:r w:rsidR="004E01DF">
              <w:rPr>
                <w:noProof/>
                <w:webHidden/>
              </w:rPr>
              <w:instrText xml:space="preserve"> PAGEREF _Toc425154125 \h </w:instrText>
            </w:r>
            <w:r w:rsidR="004E01DF">
              <w:rPr>
                <w:noProof/>
                <w:webHidden/>
              </w:rPr>
            </w:r>
            <w:r w:rsidR="004E01DF">
              <w:rPr>
                <w:noProof/>
                <w:webHidden/>
              </w:rPr>
              <w:fldChar w:fldCharType="separate"/>
            </w:r>
            <w:r w:rsidR="004E01DF">
              <w:rPr>
                <w:noProof/>
                <w:webHidden/>
              </w:rPr>
              <w:t>8</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26" w:history="1">
            <w:r w:rsidR="004E01DF" w:rsidRPr="00C673B3">
              <w:rPr>
                <w:rStyle w:val="Collegamentoipertestuale"/>
                <w:rFonts w:eastAsiaTheme="majorEastAsia" w:cstheme="minorHAnsi"/>
                <w:noProof/>
              </w:rPr>
              <w:t>1.3</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LA STIMA DELLE MISURE DI DEVIAZIONE STANDARD E CORRELAZIONE ATTESE</w:t>
            </w:r>
            <w:r w:rsidR="004E01DF">
              <w:rPr>
                <w:noProof/>
                <w:webHidden/>
              </w:rPr>
              <w:tab/>
            </w:r>
            <w:r w:rsidR="004E01DF">
              <w:rPr>
                <w:noProof/>
                <w:webHidden/>
              </w:rPr>
              <w:fldChar w:fldCharType="begin"/>
            </w:r>
            <w:r w:rsidR="004E01DF">
              <w:rPr>
                <w:noProof/>
                <w:webHidden/>
              </w:rPr>
              <w:instrText xml:space="preserve"> PAGEREF _Toc425154126 \h </w:instrText>
            </w:r>
            <w:r w:rsidR="004E01DF">
              <w:rPr>
                <w:noProof/>
                <w:webHidden/>
              </w:rPr>
            </w:r>
            <w:r w:rsidR="004E01DF">
              <w:rPr>
                <w:noProof/>
                <w:webHidden/>
              </w:rPr>
              <w:fldChar w:fldCharType="separate"/>
            </w:r>
            <w:r w:rsidR="004E01DF">
              <w:rPr>
                <w:noProof/>
                <w:webHidden/>
              </w:rPr>
              <w:t>9</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27" w:history="1">
            <w:r w:rsidR="004E01DF" w:rsidRPr="00C673B3">
              <w:rPr>
                <w:rStyle w:val="Collegamentoipertestuale"/>
                <w:rFonts w:eastAsiaTheme="majorEastAsia" w:cstheme="minorHAnsi"/>
                <w:noProof/>
              </w:rPr>
              <w:t>1.4</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 PESI DELLA CAPITALIZZAZIONE DEL MERCATO GLOBALE</w:t>
            </w:r>
            <w:r w:rsidR="004E01DF">
              <w:rPr>
                <w:noProof/>
                <w:webHidden/>
              </w:rPr>
              <w:tab/>
            </w:r>
            <w:r w:rsidR="004E01DF">
              <w:rPr>
                <w:noProof/>
                <w:webHidden/>
              </w:rPr>
              <w:fldChar w:fldCharType="begin"/>
            </w:r>
            <w:r w:rsidR="004E01DF">
              <w:rPr>
                <w:noProof/>
                <w:webHidden/>
              </w:rPr>
              <w:instrText xml:space="preserve"> PAGEREF _Toc425154127 \h </w:instrText>
            </w:r>
            <w:r w:rsidR="004E01DF">
              <w:rPr>
                <w:noProof/>
                <w:webHidden/>
              </w:rPr>
            </w:r>
            <w:r w:rsidR="004E01DF">
              <w:rPr>
                <w:noProof/>
                <w:webHidden/>
              </w:rPr>
              <w:fldChar w:fldCharType="separate"/>
            </w:r>
            <w:r w:rsidR="004E01DF">
              <w:rPr>
                <w:noProof/>
                <w:webHidden/>
              </w:rPr>
              <w:t>11</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28" w:history="1">
            <w:r w:rsidR="004E01DF" w:rsidRPr="00C673B3">
              <w:rPr>
                <w:rStyle w:val="Collegamentoipertestuale"/>
                <w:rFonts w:eastAsiaTheme="majorEastAsia" w:cstheme="minorHAnsi"/>
                <w:noProof/>
              </w:rPr>
              <w:t>1.5</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IL CALCOLO DEI RENDIMENTI DI MARKET NEUTRAL</w:t>
            </w:r>
            <w:r w:rsidR="004E01DF">
              <w:rPr>
                <w:noProof/>
                <w:webHidden/>
              </w:rPr>
              <w:tab/>
            </w:r>
            <w:r w:rsidR="004E01DF">
              <w:rPr>
                <w:noProof/>
                <w:webHidden/>
              </w:rPr>
              <w:fldChar w:fldCharType="begin"/>
            </w:r>
            <w:r w:rsidR="004E01DF">
              <w:rPr>
                <w:noProof/>
                <w:webHidden/>
              </w:rPr>
              <w:instrText xml:space="preserve"> PAGEREF _Toc425154128 \h </w:instrText>
            </w:r>
            <w:r w:rsidR="004E01DF">
              <w:rPr>
                <w:noProof/>
                <w:webHidden/>
              </w:rPr>
            </w:r>
            <w:r w:rsidR="004E01DF">
              <w:rPr>
                <w:noProof/>
                <w:webHidden/>
              </w:rPr>
              <w:fldChar w:fldCharType="separate"/>
            </w:r>
            <w:r w:rsidR="004E01DF">
              <w:rPr>
                <w:noProof/>
                <w:webHidden/>
              </w:rPr>
              <w:t>13</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29" w:history="1">
            <w:r w:rsidR="004E01DF" w:rsidRPr="00C673B3">
              <w:rPr>
                <w:rStyle w:val="Collegamentoipertestuale"/>
                <w:rFonts w:eastAsiaTheme="majorEastAsia" w:cstheme="minorHAnsi"/>
                <w:noProof/>
              </w:rPr>
              <w:t>1.6</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LA SPECIFICAZIONE DELLA VIEW</w:t>
            </w:r>
            <w:r w:rsidR="004E01DF">
              <w:rPr>
                <w:noProof/>
                <w:webHidden/>
              </w:rPr>
              <w:tab/>
            </w:r>
            <w:r w:rsidR="004E01DF">
              <w:rPr>
                <w:noProof/>
                <w:webHidden/>
              </w:rPr>
              <w:fldChar w:fldCharType="begin"/>
            </w:r>
            <w:r w:rsidR="004E01DF">
              <w:rPr>
                <w:noProof/>
                <w:webHidden/>
              </w:rPr>
              <w:instrText xml:space="preserve"> PAGEREF _Toc425154129 \h </w:instrText>
            </w:r>
            <w:r w:rsidR="004E01DF">
              <w:rPr>
                <w:noProof/>
                <w:webHidden/>
              </w:rPr>
            </w:r>
            <w:r w:rsidR="004E01DF">
              <w:rPr>
                <w:noProof/>
                <w:webHidden/>
              </w:rPr>
              <w:fldChar w:fldCharType="separate"/>
            </w:r>
            <w:r w:rsidR="004E01DF">
              <w:rPr>
                <w:noProof/>
                <w:webHidden/>
              </w:rPr>
              <w:t>14</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30" w:history="1">
            <w:r w:rsidR="004E01DF" w:rsidRPr="00C673B3">
              <w:rPr>
                <w:rStyle w:val="Collegamentoipertestuale"/>
                <w:rFonts w:eastAsiaTheme="majorEastAsia" w:cstheme="minorHAnsi"/>
                <w:noProof/>
              </w:rPr>
              <w:t>1.7</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LA GESTIONE ANALITICA DELLE VIEW STRATEGICHE</w:t>
            </w:r>
            <w:r w:rsidR="004E01DF">
              <w:rPr>
                <w:noProof/>
                <w:webHidden/>
              </w:rPr>
              <w:tab/>
            </w:r>
            <w:r w:rsidR="004E01DF">
              <w:rPr>
                <w:noProof/>
                <w:webHidden/>
              </w:rPr>
              <w:fldChar w:fldCharType="begin"/>
            </w:r>
            <w:r w:rsidR="004E01DF">
              <w:rPr>
                <w:noProof/>
                <w:webHidden/>
              </w:rPr>
              <w:instrText xml:space="preserve"> PAGEREF _Toc425154130 \h </w:instrText>
            </w:r>
            <w:r w:rsidR="004E01DF">
              <w:rPr>
                <w:noProof/>
                <w:webHidden/>
              </w:rPr>
            </w:r>
            <w:r w:rsidR="004E01DF">
              <w:rPr>
                <w:noProof/>
                <w:webHidden/>
              </w:rPr>
              <w:fldChar w:fldCharType="separate"/>
            </w:r>
            <w:r w:rsidR="004E01DF">
              <w:rPr>
                <w:noProof/>
                <w:webHidden/>
              </w:rPr>
              <w:t>15</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31" w:history="1">
            <w:r w:rsidR="004E01DF" w:rsidRPr="00C673B3">
              <w:rPr>
                <w:rStyle w:val="Collegamentoipertestuale"/>
                <w:rFonts w:eastAsiaTheme="majorEastAsia" w:cstheme="minorHAnsi"/>
                <w:noProof/>
              </w:rPr>
              <w:t>1.8</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LA CONFIDENZA DELLE VIEW</w:t>
            </w:r>
            <w:r w:rsidR="004E01DF">
              <w:rPr>
                <w:noProof/>
                <w:webHidden/>
              </w:rPr>
              <w:tab/>
            </w:r>
            <w:r w:rsidR="004E01DF">
              <w:rPr>
                <w:noProof/>
                <w:webHidden/>
              </w:rPr>
              <w:fldChar w:fldCharType="begin"/>
            </w:r>
            <w:r w:rsidR="004E01DF">
              <w:rPr>
                <w:noProof/>
                <w:webHidden/>
              </w:rPr>
              <w:instrText xml:space="preserve"> PAGEREF _Toc425154131 \h </w:instrText>
            </w:r>
            <w:r w:rsidR="004E01DF">
              <w:rPr>
                <w:noProof/>
                <w:webHidden/>
              </w:rPr>
            </w:r>
            <w:r w:rsidR="004E01DF">
              <w:rPr>
                <w:noProof/>
                <w:webHidden/>
              </w:rPr>
              <w:fldChar w:fldCharType="separate"/>
            </w:r>
            <w:r w:rsidR="004E01DF">
              <w:rPr>
                <w:noProof/>
                <w:webHidden/>
              </w:rPr>
              <w:t>17</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32" w:history="1">
            <w:r w:rsidR="004E01DF" w:rsidRPr="00C673B3">
              <w:rPr>
                <w:rStyle w:val="Collegamentoipertestuale"/>
                <w:rFonts w:eastAsiaTheme="majorEastAsia" w:cstheme="minorHAnsi"/>
                <w:noProof/>
              </w:rPr>
              <w:t>1.9</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IL CALCOLO DEI RENDIMENTI A POSTERIORI DI B&amp;L</w:t>
            </w:r>
            <w:r w:rsidR="004E01DF">
              <w:rPr>
                <w:noProof/>
                <w:webHidden/>
              </w:rPr>
              <w:tab/>
            </w:r>
            <w:r w:rsidR="004E01DF">
              <w:rPr>
                <w:noProof/>
                <w:webHidden/>
              </w:rPr>
              <w:fldChar w:fldCharType="begin"/>
            </w:r>
            <w:r w:rsidR="004E01DF">
              <w:rPr>
                <w:noProof/>
                <w:webHidden/>
              </w:rPr>
              <w:instrText xml:space="preserve"> PAGEREF _Toc425154132 \h </w:instrText>
            </w:r>
            <w:r w:rsidR="004E01DF">
              <w:rPr>
                <w:noProof/>
                <w:webHidden/>
              </w:rPr>
            </w:r>
            <w:r w:rsidR="004E01DF">
              <w:rPr>
                <w:noProof/>
                <w:webHidden/>
              </w:rPr>
              <w:fldChar w:fldCharType="separate"/>
            </w:r>
            <w:r w:rsidR="004E01DF">
              <w:rPr>
                <w:noProof/>
                <w:webHidden/>
              </w:rPr>
              <w:t>18</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33" w:history="1">
            <w:r w:rsidR="004E01DF" w:rsidRPr="00C673B3">
              <w:rPr>
                <w:rStyle w:val="Collegamentoipertestuale"/>
                <w:rFonts w:eastAsiaTheme="majorEastAsia" w:cstheme="minorHAnsi"/>
                <w:noProof/>
              </w:rPr>
              <w:t>1.10</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IL CALCOLO DELLE FRONTIERE EFFICIENTI EX-POST E L’INDIVIDUAZIONE DEI PORTAFOGLI ASSOCIATI AD OGNI PROFILO DI RISCHIO</w:t>
            </w:r>
            <w:r w:rsidR="004E01DF">
              <w:rPr>
                <w:noProof/>
                <w:webHidden/>
              </w:rPr>
              <w:tab/>
            </w:r>
            <w:r w:rsidR="004E01DF">
              <w:rPr>
                <w:noProof/>
                <w:webHidden/>
              </w:rPr>
              <w:fldChar w:fldCharType="begin"/>
            </w:r>
            <w:r w:rsidR="004E01DF">
              <w:rPr>
                <w:noProof/>
                <w:webHidden/>
              </w:rPr>
              <w:instrText xml:space="preserve"> PAGEREF _Toc425154133 \h </w:instrText>
            </w:r>
            <w:r w:rsidR="004E01DF">
              <w:rPr>
                <w:noProof/>
                <w:webHidden/>
              </w:rPr>
            </w:r>
            <w:r w:rsidR="004E01DF">
              <w:rPr>
                <w:noProof/>
                <w:webHidden/>
              </w:rPr>
              <w:fldChar w:fldCharType="separate"/>
            </w:r>
            <w:r w:rsidR="004E01DF">
              <w:rPr>
                <w:noProof/>
                <w:webHidden/>
              </w:rPr>
              <w:t>20</w:t>
            </w:r>
            <w:r w:rsidR="004E01DF">
              <w:rPr>
                <w:noProof/>
                <w:webHidden/>
              </w:rPr>
              <w:fldChar w:fldCharType="end"/>
            </w:r>
          </w:hyperlink>
        </w:p>
        <w:p w:rsidR="004E01DF" w:rsidRDefault="003B4CCB">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425154134" w:history="1">
            <w:r w:rsidR="004E01DF" w:rsidRPr="00C673B3">
              <w:rPr>
                <w:rStyle w:val="Collegamentoipertestuale"/>
                <w:rFonts w:eastAsiaTheme="majorEastAsia" w:cstheme="minorHAnsi"/>
                <w:noProof/>
              </w:rPr>
              <w:t>1.10.1</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LA FRONTIERA EFFICIENTE EX-POST</w:t>
            </w:r>
            <w:r w:rsidR="004E01DF">
              <w:rPr>
                <w:noProof/>
                <w:webHidden/>
              </w:rPr>
              <w:tab/>
            </w:r>
            <w:r w:rsidR="004E01DF">
              <w:rPr>
                <w:noProof/>
                <w:webHidden/>
              </w:rPr>
              <w:fldChar w:fldCharType="begin"/>
            </w:r>
            <w:r w:rsidR="004E01DF">
              <w:rPr>
                <w:noProof/>
                <w:webHidden/>
              </w:rPr>
              <w:instrText xml:space="preserve"> PAGEREF _Toc425154134 \h </w:instrText>
            </w:r>
            <w:r w:rsidR="004E01DF">
              <w:rPr>
                <w:noProof/>
                <w:webHidden/>
              </w:rPr>
            </w:r>
            <w:r w:rsidR="004E01DF">
              <w:rPr>
                <w:noProof/>
                <w:webHidden/>
              </w:rPr>
              <w:fldChar w:fldCharType="separate"/>
            </w:r>
            <w:r w:rsidR="004E01DF">
              <w:rPr>
                <w:noProof/>
                <w:webHidden/>
              </w:rPr>
              <w:t>20</w:t>
            </w:r>
            <w:r w:rsidR="004E01DF">
              <w:rPr>
                <w:noProof/>
                <w:webHidden/>
              </w:rPr>
              <w:fldChar w:fldCharType="end"/>
            </w:r>
          </w:hyperlink>
        </w:p>
        <w:p w:rsidR="004E01DF" w:rsidRDefault="003B4CCB">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425154135" w:history="1">
            <w:r w:rsidR="004E01DF" w:rsidRPr="00C673B3">
              <w:rPr>
                <w:rStyle w:val="Collegamentoipertestuale"/>
                <w:rFonts w:eastAsiaTheme="majorEastAsia" w:cstheme="minorHAnsi"/>
                <w:noProof/>
              </w:rPr>
              <w:t>1.10.2</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L’INDIVIDUAZIONE DEI PORTAFOGLI DI EQUILIBRIO SULLA FRONTIERA EFFICIENTE EX-POST</w:t>
            </w:r>
            <w:r w:rsidR="004E01DF">
              <w:rPr>
                <w:noProof/>
                <w:webHidden/>
              </w:rPr>
              <w:tab/>
            </w:r>
            <w:r w:rsidR="004E01DF">
              <w:rPr>
                <w:noProof/>
                <w:webHidden/>
              </w:rPr>
              <w:fldChar w:fldCharType="begin"/>
            </w:r>
            <w:r w:rsidR="004E01DF">
              <w:rPr>
                <w:noProof/>
                <w:webHidden/>
              </w:rPr>
              <w:instrText xml:space="preserve"> PAGEREF _Toc425154135 \h </w:instrText>
            </w:r>
            <w:r w:rsidR="004E01DF">
              <w:rPr>
                <w:noProof/>
                <w:webHidden/>
              </w:rPr>
            </w:r>
            <w:r w:rsidR="004E01DF">
              <w:rPr>
                <w:noProof/>
                <w:webHidden/>
              </w:rPr>
              <w:fldChar w:fldCharType="separate"/>
            </w:r>
            <w:r w:rsidR="004E01DF">
              <w:rPr>
                <w:noProof/>
                <w:webHidden/>
              </w:rPr>
              <w:t>21</w:t>
            </w:r>
            <w:r w:rsidR="004E01DF">
              <w:rPr>
                <w:noProof/>
                <w:webHidden/>
              </w:rPr>
              <w:fldChar w:fldCharType="end"/>
            </w:r>
          </w:hyperlink>
        </w:p>
        <w:p w:rsidR="004E01DF" w:rsidRDefault="003B4CCB">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425154136" w:history="1">
            <w:r w:rsidR="004E01DF" w:rsidRPr="00C673B3">
              <w:rPr>
                <w:rStyle w:val="Collegamentoipertestuale"/>
                <w:rFonts w:eastAsiaTheme="majorEastAsia" w:cstheme="minorHAnsi"/>
                <w:noProof/>
              </w:rPr>
              <w:t>1.10.3</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 PORTAFOGLI TOP (SUPERIORI A 100.000€)</w:t>
            </w:r>
            <w:r w:rsidR="004E01DF">
              <w:rPr>
                <w:noProof/>
                <w:webHidden/>
              </w:rPr>
              <w:tab/>
            </w:r>
            <w:r w:rsidR="004E01DF">
              <w:rPr>
                <w:noProof/>
                <w:webHidden/>
              </w:rPr>
              <w:fldChar w:fldCharType="begin"/>
            </w:r>
            <w:r w:rsidR="004E01DF">
              <w:rPr>
                <w:noProof/>
                <w:webHidden/>
              </w:rPr>
              <w:instrText xml:space="preserve"> PAGEREF _Toc425154136 \h </w:instrText>
            </w:r>
            <w:r w:rsidR="004E01DF">
              <w:rPr>
                <w:noProof/>
                <w:webHidden/>
              </w:rPr>
            </w:r>
            <w:r w:rsidR="004E01DF">
              <w:rPr>
                <w:noProof/>
                <w:webHidden/>
              </w:rPr>
              <w:fldChar w:fldCharType="separate"/>
            </w:r>
            <w:r w:rsidR="004E01DF">
              <w:rPr>
                <w:noProof/>
                <w:webHidden/>
              </w:rPr>
              <w:t>22</w:t>
            </w:r>
            <w:r w:rsidR="004E01DF">
              <w:rPr>
                <w:noProof/>
                <w:webHidden/>
              </w:rPr>
              <w:fldChar w:fldCharType="end"/>
            </w:r>
          </w:hyperlink>
        </w:p>
        <w:p w:rsidR="004E01DF" w:rsidRDefault="003B4CCB">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425154137" w:history="1">
            <w:r w:rsidR="004E01DF" w:rsidRPr="00C673B3">
              <w:rPr>
                <w:rStyle w:val="Collegamentoipertestuale"/>
                <w:rFonts w:eastAsiaTheme="majorEastAsia" w:cstheme="minorHAnsi"/>
                <w:noProof/>
              </w:rPr>
              <w:t>1.10.4</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 PORTAFOGLIMEDIUM (DA 20.000€ A 100.000€)</w:t>
            </w:r>
            <w:r w:rsidR="004E01DF">
              <w:rPr>
                <w:noProof/>
                <w:webHidden/>
              </w:rPr>
              <w:tab/>
            </w:r>
            <w:r w:rsidR="004E01DF">
              <w:rPr>
                <w:noProof/>
                <w:webHidden/>
              </w:rPr>
              <w:fldChar w:fldCharType="begin"/>
            </w:r>
            <w:r w:rsidR="004E01DF">
              <w:rPr>
                <w:noProof/>
                <w:webHidden/>
              </w:rPr>
              <w:instrText xml:space="preserve"> PAGEREF _Toc425154137 \h </w:instrText>
            </w:r>
            <w:r w:rsidR="004E01DF">
              <w:rPr>
                <w:noProof/>
                <w:webHidden/>
              </w:rPr>
            </w:r>
            <w:r w:rsidR="004E01DF">
              <w:rPr>
                <w:noProof/>
                <w:webHidden/>
              </w:rPr>
              <w:fldChar w:fldCharType="separate"/>
            </w:r>
            <w:r w:rsidR="004E01DF">
              <w:rPr>
                <w:noProof/>
                <w:webHidden/>
              </w:rPr>
              <w:t>24</w:t>
            </w:r>
            <w:r w:rsidR="004E01DF">
              <w:rPr>
                <w:noProof/>
                <w:webHidden/>
              </w:rPr>
              <w:fldChar w:fldCharType="end"/>
            </w:r>
          </w:hyperlink>
        </w:p>
        <w:p w:rsidR="004E01DF" w:rsidRDefault="003B4CCB">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425154138" w:history="1">
            <w:r w:rsidR="004E01DF" w:rsidRPr="00C673B3">
              <w:rPr>
                <w:rStyle w:val="Collegamentoipertestuale"/>
                <w:rFonts w:eastAsiaTheme="majorEastAsia" w:cstheme="minorHAnsi"/>
                <w:noProof/>
              </w:rPr>
              <w:t>1.10.5</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 PORTAFOGLI SMALL (&lt; 20.000€)</w:t>
            </w:r>
            <w:r w:rsidR="004E01DF">
              <w:rPr>
                <w:noProof/>
                <w:webHidden/>
              </w:rPr>
              <w:tab/>
            </w:r>
            <w:r w:rsidR="004E01DF">
              <w:rPr>
                <w:noProof/>
                <w:webHidden/>
              </w:rPr>
              <w:fldChar w:fldCharType="begin"/>
            </w:r>
            <w:r w:rsidR="004E01DF">
              <w:rPr>
                <w:noProof/>
                <w:webHidden/>
              </w:rPr>
              <w:instrText xml:space="preserve"> PAGEREF _Toc425154138 \h </w:instrText>
            </w:r>
            <w:r w:rsidR="004E01DF">
              <w:rPr>
                <w:noProof/>
                <w:webHidden/>
              </w:rPr>
            </w:r>
            <w:r w:rsidR="004E01DF">
              <w:rPr>
                <w:noProof/>
                <w:webHidden/>
              </w:rPr>
              <w:fldChar w:fldCharType="separate"/>
            </w:r>
            <w:r w:rsidR="004E01DF">
              <w:rPr>
                <w:noProof/>
                <w:webHidden/>
              </w:rPr>
              <w:t>26</w:t>
            </w:r>
            <w:r w:rsidR="004E01DF">
              <w:rPr>
                <w:noProof/>
                <w:webHidden/>
              </w:rPr>
              <w:fldChar w:fldCharType="end"/>
            </w:r>
          </w:hyperlink>
        </w:p>
        <w:p w:rsidR="004E01DF" w:rsidRDefault="003B4CCB">
          <w:pPr>
            <w:pStyle w:val="Sommario1"/>
            <w:tabs>
              <w:tab w:val="left" w:pos="400"/>
              <w:tab w:val="right" w:leader="dot" w:pos="9628"/>
            </w:tabs>
            <w:rPr>
              <w:rFonts w:asciiTheme="minorHAnsi" w:eastAsiaTheme="minorEastAsia" w:hAnsiTheme="minorHAnsi" w:cstheme="minorBidi"/>
              <w:noProof/>
              <w:sz w:val="22"/>
              <w:szCs w:val="22"/>
              <w:lang w:eastAsia="it-IT"/>
            </w:rPr>
          </w:pPr>
          <w:hyperlink w:anchor="_Toc425154139" w:history="1">
            <w:r w:rsidR="004E01DF" w:rsidRPr="00C673B3">
              <w:rPr>
                <w:rStyle w:val="Collegamentoipertestuale"/>
                <w:rFonts w:eastAsiaTheme="majorEastAsia" w:cstheme="minorHAnsi"/>
                <w:noProof/>
              </w:rPr>
              <w:t>2</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LA DEFINIZIONE DEI PORTAFOGLI TATTICI</w:t>
            </w:r>
            <w:r w:rsidR="004E01DF">
              <w:rPr>
                <w:noProof/>
                <w:webHidden/>
              </w:rPr>
              <w:tab/>
            </w:r>
            <w:r w:rsidR="004E01DF">
              <w:rPr>
                <w:noProof/>
                <w:webHidden/>
              </w:rPr>
              <w:fldChar w:fldCharType="begin"/>
            </w:r>
            <w:r w:rsidR="004E01DF">
              <w:rPr>
                <w:noProof/>
                <w:webHidden/>
              </w:rPr>
              <w:instrText xml:space="preserve"> PAGEREF _Toc425154139 \h </w:instrText>
            </w:r>
            <w:r w:rsidR="004E01DF">
              <w:rPr>
                <w:noProof/>
                <w:webHidden/>
              </w:rPr>
            </w:r>
            <w:r w:rsidR="004E01DF">
              <w:rPr>
                <w:noProof/>
                <w:webHidden/>
              </w:rPr>
              <w:fldChar w:fldCharType="separate"/>
            </w:r>
            <w:r w:rsidR="004E01DF">
              <w:rPr>
                <w:noProof/>
                <w:webHidden/>
              </w:rPr>
              <w:t>27</w:t>
            </w:r>
            <w:r w:rsidR="004E01DF">
              <w:rPr>
                <w:noProof/>
                <w:webHidden/>
              </w:rPr>
              <w:fldChar w:fldCharType="end"/>
            </w:r>
          </w:hyperlink>
        </w:p>
        <w:p w:rsidR="004E01DF" w:rsidRDefault="003B4CCB">
          <w:pPr>
            <w:pStyle w:val="Sommario1"/>
            <w:tabs>
              <w:tab w:val="left" w:pos="400"/>
              <w:tab w:val="right" w:leader="dot" w:pos="9628"/>
            </w:tabs>
            <w:rPr>
              <w:rFonts w:asciiTheme="minorHAnsi" w:eastAsiaTheme="minorEastAsia" w:hAnsiTheme="minorHAnsi" w:cstheme="minorBidi"/>
              <w:noProof/>
              <w:sz w:val="22"/>
              <w:szCs w:val="22"/>
              <w:lang w:eastAsia="it-IT"/>
            </w:rPr>
          </w:pPr>
          <w:hyperlink w:anchor="_Toc425154140" w:history="1">
            <w:r w:rsidR="004E01DF" w:rsidRPr="00C673B3">
              <w:rPr>
                <w:rStyle w:val="Collegamentoipertestuale"/>
                <w:rFonts w:eastAsiaTheme="majorEastAsia" w:cstheme="minorHAnsi"/>
                <w:noProof/>
              </w:rPr>
              <w:t>3</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LA DEFINIZIONE DEI PORTAFOGLI MODELLO PER LA FINALITA “DIFESA DEL RISPARMIO E PROTEZIONE”</w:t>
            </w:r>
            <w:r w:rsidR="004E01DF">
              <w:rPr>
                <w:noProof/>
                <w:webHidden/>
              </w:rPr>
              <w:tab/>
            </w:r>
            <w:r w:rsidR="004E01DF">
              <w:rPr>
                <w:noProof/>
                <w:webHidden/>
              </w:rPr>
              <w:fldChar w:fldCharType="begin"/>
            </w:r>
            <w:r w:rsidR="004E01DF">
              <w:rPr>
                <w:noProof/>
                <w:webHidden/>
              </w:rPr>
              <w:instrText xml:space="preserve"> PAGEREF _Toc425154140 \h </w:instrText>
            </w:r>
            <w:r w:rsidR="004E01DF">
              <w:rPr>
                <w:noProof/>
                <w:webHidden/>
              </w:rPr>
            </w:r>
            <w:r w:rsidR="004E01DF">
              <w:rPr>
                <w:noProof/>
                <w:webHidden/>
              </w:rPr>
              <w:fldChar w:fldCharType="separate"/>
            </w:r>
            <w:r w:rsidR="004E01DF">
              <w:rPr>
                <w:noProof/>
                <w:webHidden/>
              </w:rPr>
              <w:t>30</w:t>
            </w:r>
            <w:r w:rsidR="004E01DF">
              <w:rPr>
                <w:noProof/>
                <w:webHidden/>
              </w:rPr>
              <w:fldChar w:fldCharType="end"/>
            </w:r>
          </w:hyperlink>
        </w:p>
        <w:p w:rsidR="004E01DF" w:rsidRDefault="003B4CCB">
          <w:pPr>
            <w:pStyle w:val="Sommario1"/>
            <w:tabs>
              <w:tab w:val="right" w:leader="dot" w:pos="9628"/>
            </w:tabs>
            <w:rPr>
              <w:rFonts w:asciiTheme="minorHAnsi" w:eastAsiaTheme="minorEastAsia" w:hAnsiTheme="minorHAnsi" w:cstheme="minorBidi"/>
              <w:noProof/>
              <w:sz w:val="22"/>
              <w:szCs w:val="22"/>
              <w:lang w:eastAsia="it-IT"/>
            </w:rPr>
          </w:pPr>
          <w:hyperlink w:anchor="_Toc425154141" w:history="1">
            <w:r w:rsidR="004E01DF" w:rsidRPr="00C673B3">
              <w:rPr>
                <w:rStyle w:val="Collegamentoipertestuale"/>
                <w:rFonts w:eastAsiaTheme="majorEastAsia" w:cstheme="minorHAnsi"/>
                <w:noProof/>
              </w:rPr>
              <w:t>4. LE REGOLE DI MAPPATURA DEGLI STRUMENTI FINANZIARI E MODELLO DI SCORING</w:t>
            </w:r>
            <w:r w:rsidR="004E01DF">
              <w:rPr>
                <w:noProof/>
                <w:webHidden/>
              </w:rPr>
              <w:tab/>
            </w:r>
            <w:r w:rsidR="004E01DF">
              <w:rPr>
                <w:noProof/>
                <w:webHidden/>
              </w:rPr>
              <w:fldChar w:fldCharType="begin"/>
            </w:r>
            <w:r w:rsidR="004E01DF">
              <w:rPr>
                <w:noProof/>
                <w:webHidden/>
              </w:rPr>
              <w:instrText xml:space="preserve"> PAGEREF _Toc425154141 \h </w:instrText>
            </w:r>
            <w:r w:rsidR="004E01DF">
              <w:rPr>
                <w:noProof/>
                <w:webHidden/>
              </w:rPr>
            </w:r>
            <w:r w:rsidR="004E01DF">
              <w:rPr>
                <w:noProof/>
                <w:webHidden/>
              </w:rPr>
              <w:fldChar w:fldCharType="separate"/>
            </w:r>
            <w:r w:rsidR="004E01DF">
              <w:rPr>
                <w:noProof/>
                <w:webHidden/>
              </w:rPr>
              <w:t>35</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42" w:history="1">
            <w:r w:rsidR="004E01DF" w:rsidRPr="00C673B3">
              <w:rPr>
                <w:rStyle w:val="Collegamentoipertestuale"/>
                <w:rFonts w:eastAsiaTheme="majorEastAsia" w:cstheme="minorHAnsi"/>
                <w:noProof/>
              </w:rPr>
              <w:t>4.1</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LE METODOLOGIE DI MAPPATURA: HOLDINGS VERSUS RETURNS BASED STYLE ANALSIS</w:t>
            </w:r>
            <w:r w:rsidR="004E01DF">
              <w:rPr>
                <w:noProof/>
                <w:webHidden/>
              </w:rPr>
              <w:tab/>
            </w:r>
            <w:r w:rsidR="004E01DF">
              <w:rPr>
                <w:noProof/>
                <w:webHidden/>
              </w:rPr>
              <w:fldChar w:fldCharType="begin"/>
            </w:r>
            <w:r w:rsidR="004E01DF">
              <w:rPr>
                <w:noProof/>
                <w:webHidden/>
              </w:rPr>
              <w:instrText xml:space="preserve"> PAGEREF _Toc425154142 \h </w:instrText>
            </w:r>
            <w:r w:rsidR="004E01DF">
              <w:rPr>
                <w:noProof/>
                <w:webHidden/>
              </w:rPr>
            </w:r>
            <w:r w:rsidR="004E01DF">
              <w:rPr>
                <w:noProof/>
                <w:webHidden/>
              </w:rPr>
              <w:fldChar w:fldCharType="separate"/>
            </w:r>
            <w:r w:rsidR="004E01DF">
              <w:rPr>
                <w:noProof/>
                <w:webHidden/>
              </w:rPr>
              <w:t>36</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43" w:history="1">
            <w:r w:rsidR="004E01DF" w:rsidRPr="00C673B3">
              <w:rPr>
                <w:rStyle w:val="Collegamentoipertestuale"/>
                <w:rFonts w:eastAsiaTheme="majorEastAsia" w:cstheme="minorHAnsi"/>
                <w:noProof/>
              </w:rPr>
              <w:t>4.2 LA MAPPATURA DEL CATALOGO PRODOTTI</w:t>
            </w:r>
            <w:r w:rsidR="004E01DF">
              <w:rPr>
                <w:noProof/>
                <w:webHidden/>
              </w:rPr>
              <w:tab/>
            </w:r>
            <w:r w:rsidR="004E01DF">
              <w:rPr>
                <w:noProof/>
                <w:webHidden/>
              </w:rPr>
              <w:fldChar w:fldCharType="begin"/>
            </w:r>
            <w:r w:rsidR="004E01DF">
              <w:rPr>
                <w:noProof/>
                <w:webHidden/>
              </w:rPr>
              <w:instrText xml:space="preserve"> PAGEREF _Toc425154143 \h </w:instrText>
            </w:r>
            <w:r w:rsidR="004E01DF">
              <w:rPr>
                <w:noProof/>
                <w:webHidden/>
              </w:rPr>
            </w:r>
            <w:r w:rsidR="004E01DF">
              <w:rPr>
                <w:noProof/>
                <w:webHidden/>
              </w:rPr>
              <w:fldChar w:fldCharType="separate"/>
            </w:r>
            <w:r w:rsidR="004E01DF">
              <w:rPr>
                <w:noProof/>
                <w:webHidden/>
              </w:rPr>
              <w:t>39</w:t>
            </w:r>
            <w:r w:rsidR="004E01DF">
              <w:rPr>
                <w:noProof/>
                <w:webHidden/>
              </w:rPr>
              <w:fldChar w:fldCharType="end"/>
            </w:r>
          </w:hyperlink>
        </w:p>
        <w:p w:rsidR="004E01DF" w:rsidRDefault="003B4CCB">
          <w:pPr>
            <w:pStyle w:val="Sommario2"/>
            <w:rPr>
              <w:rFonts w:asciiTheme="minorHAnsi" w:eastAsiaTheme="minorEastAsia" w:hAnsiTheme="minorHAnsi" w:cstheme="minorBidi"/>
              <w:noProof/>
              <w:sz w:val="22"/>
              <w:szCs w:val="22"/>
              <w:lang w:eastAsia="it-IT"/>
            </w:rPr>
          </w:pPr>
          <w:hyperlink w:anchor="_Toc425154144" w:history="1">
            <w:r w:rsidR="004E01DF" w:rsidRPr="00C673B3">
              <w:rPr>
                <w:rStyle w:val="Collegamentoipertestuale"/>
                <w:rFonts w:eastAsiaTheme="majorEastAsia" w:cstheme="minorHAnsi"/>
                <w:noProof/>
              </w:rPr>
              <w:t>4.3</w:t>
            </w:r>
            <w:r w:rsidR="004E01DF">
              <w:rPr>
                <w:rFonts w:asciiTheme="minorHAnsi" w:eastAsiaTheme="minorEastAsia" w:hAnsiTheme="minorHAnsi" w:cstheme="minorBidi"/>
                <w:noProof/>
                <w:sz w:val="22"/>
                <w:szCs w:val="22"/>
                <w:lang w:eastAsia="it-IT"/>
              </w:rPr>
              <w:tab/>
            </w:r>
            <w:r w:rsidR="004E01DF" w:rsidRPr="00C673B3">
              <w:rPr>
                <w:rStyle w:val="Collegamentoipertestuale"/>
                <w:rFonts w:eastAsiaTheme="majorEastAsia" w:cstheme="minorHAnsi"/>
                <w:noProof/>
              </w:rPr>
              <w:t>IL RANKING DEL CATALOGO PRODOTTI</w:t>
            </w:r>
            <w:r w:rsidR="004E01DF">
              <w:rPr>
                <w:noProof/>
                <w:webHidden/>
              </w:rPr>
              <w:tab/>
            </w:r>
            <w:r w:rsidR="004E01DF">
              <w:rPr>
                <w:noProof/>
                <w:webHidden/>
              </w:rPr>
              <w:fldChar w:fldCharType="begin"/>
            </w:r>
            <w:r w:rsidR="004E01DF">
              <w:rPr>
                <w:noProof/>
                <w:webHidden/>
              </w:rPr>
              <w:instrText xml:space="preserve"> PAGEREF _Toc425154144 \h </w:instrText>
            </w:r>
            <w:r w:rsidR="004E01DF">
              <w:rPr>
                <w:noProof/>
                <w:webHidden/>
              </w:rPr>
            </w:r>
            <w:r w:rsidR="004E01DF">
              <w:rPr>
                <w:noProof/>
                <w:webHidden/>
              </w:rPr>
              <w:fldChar w:fldCharType="separate"/>
            </w:r>
            <w:r w:rsidR="004E01DF">
              <w:rPr>
                <w:noProof/>
                <w:webHidden/>
              </w:rPr>
              <w:t>43</w:t>
            </w:r>
            <w:r w:rsidR="004E01DF">
              <w:rPr>
                <w:noProof/>
                <w:webHidden/>
              </w:rPr>
              <w:fldChar w:fldCharType="end"/>
            </w:r>
          </w:hyperlink>
        </w:p>
        <w:p w:rsidR="006E1163" w:rsidRPr="000376E5" w:rsidRDefault="00EB77A6" w:rsidP="003710BD">
          <w:pPr>
            <w:spacing w:line="360" w:lineRule="auto"/>
            <w:jc w:val="both"/>
            <w:rPr>
              <w:rFonts w:asciiTheme="minorHAnsi" w:hAnsiTheme="minorHAnsi" w:cstheme="minorHAnsi"/>
            </w:rPr>
          </w:pPr>
          <w:r w:rsidRPr="000376E5">
            <w:rPr>
              <w:rFonts w:asciiTheme="minorHAnsi" w:hAnsiTheme="minorHAnsi" w:cstheme="minorHAnsi"/>
            </w:rPr>
            <w:fldChar w:fldCharType="end"/>
          </w:r>
        </w:p>
      </w:sdtContent>
    </w:sdt>
    <w:p w:rsidR="006E1163" w:rsidRPr="000376E5" w:rsidRDefault="006E1163" w:rsidP="003710BD">
      <w:pPr>
        <w:pStyle w:val="Titolo1"/>
        <w:numPr>
          <w:ilvl w:val="0"/>
          <w:numId w:val="0"/>
        </w:numPr>
        <w:spacing w:line="360" w:lineRule="auto"/>
        <w:ind w:left="432"/>
        <w:jc w:val="both"/>
        <w:rPr>
          <w:rFonts w:asciiTheme="minorHAnsi" w:hAnsiTheme="minorHAnsi" w:cstheme="minorHAnsi"/>
          <w:sz w:val="32"/>
          <w:szCs w:val="32"/>
        </w:rPr>
      </w:pPr>
    </w:p>
    <w:p w:rsidR="006E1163" w:rsidRPr="000376E5" w:rsidRDefault="006E1163" w:rsidP="003710BD">
      <w:pPr>
        <w:pStyle w:val="Titolo1"/>
        <w:numPr>
          <w:ilvl w:val="0"/>
          <w:numId w:val="0"/>
        </w:numPr>
        <w:spacing w:line="360" w:lineRule="auto"/>
        <w:ind w:left="432"/>
        <w:jc w:val="both"/>
        <w:rPr>
          <w:rFonts w:asciiTheme="minorHAnsi" w:hAnsiTheme="minorHAnsi" w:cstheme="minorHAnsi"/>
          <w:sz w:val="32"/>
          <w:szCs w:val="32"/>
        </w:rPr>
      </w:pPr>
    </w:p>
    <w:p w:rsidR="008050A9" w:rsidRDefault="008050A9">
      <w:pPr>
        <w:autoSpaceDE/>
        <w:autoSpaceDN/>
        <w:adjustRightInd/>
        <w:spacing w:after="200" w:line="276" w:lineRule="auto"/>
        <w:rPr>
          <w:rFonts w:asciiTheme="minorHAnsi" w:hAnsiTheme="minorHAnsi" w:cstheme="minorHAnsi"/>
          <w:b/>
          <w:bCs/>
          <w:sz w:val="32"/>
          <w:szCs w:val="32"/>
        </w:rPr>
      </w:pPr>
      <w:r>
        <w:rPr>
          <w:rFonts w:asciiTheme="minorHAnsi" w:hAnsiTheme="minorHAnsi" w:cstheme="minorHAnsi"/>
          <w:sz w:val="32"/>
          <w:szCs w:val="32"/>
        </w:rPr>
        <w:br w:type="page"/>
      </w:r>
    </w:p>
    <w:p w:rsidR="00E63DA2" w:rsidRPr="00C6229E" w:rsidRDefault="00E63DA2" w:rsidP="00E63DA2">
      <w:pPr>
        <w:pStyle w:val="Titolo1"/>
        <w:numPr>
          <w:ilvl w:val="0"/>
          <w:numId w:val="0"/>
        </w:numPr>
        <w:spacing w:before="120"/>
        <w:rPr>
          <w:rFonts w:ascii="Calibri" w:hAnsi="Calibri"/>
        </w:rPr>
      </w:pPr>
      <w:bookmarkStart w:id="2" w:name="_Toc390791109"/>
      <w:bookmarkStart w:id="3" w:name="_Toc425154122"/>
      <w:r w:rsidRPr="00C6229E">
        <w:rPr>
          <w:rFonts w:ascii="Calibri" w:hAnsi="Calibri"/>
        </w:rPr>
        <w:lastRenderedPageBreak/>
        <w:t>P</w:t>
      </w:r>
      <w:r w:rsidR="0093714F">
        <w:rPr>
          <w:rFonts w:ascii="Calibri" w:hAnsi="Calibri"/>
        </w:rPr>
        <w:t>REMESSA</w:t>
      </w:r>
      <w:bookmarkEnd w:id="2"/>
      <w:bookmarkEnd w:id="3"/>
    </w:p>
    <w:p w:rsidR="00E63DA2" w:rsidRPr="00C6229E" w:rsidRDefault="00E63DA2" w:rsidP="00E63DA2">
      <w:pPr>
        <w:rPr>
          <w:rFonts w:ascii="Calibri" w:hAnsi="Calibri"/>
          <w:sz w:val="22"/>
          <w:szCs w:val="22"/>
        </w:rPr>
      </w:pP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CheBanca! ha attivato uno specifico progetto volto ad offrire ai propri clienti un servizio di consulenza avanzata che si è tradotto nell'emanazione della Procedura Operativa Servizio di Consulenza Evoluta a cui si rimanda nello specifico e che descrive l'ambito operativo nel quale si inquadrano le attività oggetto di questo documento.</w:t>
      </w: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L’ambito della consulenza è focalizzato su un subset di prodotti definito “Perimetro di consulenza” contenente OICR</w:t>
      </w:r>
      <w:r w:rsidR="00990B8A">
        <w:rPr>
          <w:rFonts w:ascii="Calibri" w:hAnsi="Calibri"/>
          <w:sz w:val="24"/>
          <w:szCs w:val="24"/>
        </w:rPr>
        <w:t xml:space="preserve">/SICAV/polizze (sia branded, sia </w:t>
      </w:r>
      <w:r w:rsidRPr="003D2BBB">
        <w:rPr>
          <w:rFonts w:ascii="Calibri" w:hAnsi="Calibri"/>
          <w:sz w:val="24"/>
          <w:szCs w:val="24"/>
        </w:rPr>
        <w:t>di terzi) per i quali la banca ha stipulato specifici accordi di distribuzione.</w:t>
      </w: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La consulenza verrà fornita attraverso una proposta di investimento in portafogli modello specifici sulla base di tre finalità o bisogni:</w:t>
      </w:r>
    </w:p>
    <w:p w:rsidR="00E63DA2" w:rsidRPr="00A15D3B" w:rsidRDefault="006B7620" w:rsidP="00A15D3B">
      <w:pPr>
        <w:pStyle w:val="Paragrafoelenco"/>
        <w:numPr>
          <w:ilvl w:val="0"/>
          <w:numId w:val="49"/>
        </w:numPr>
        <w:spacing w:line="360" w:lineRule="auto"/>
        <w:jc w:val="both"/>
        <w:rPr>
          <w:rFonts w:ascii="Calibri" w:hAnsi="Calibri"/>
        </w:rPr>
      </w:pPr>
      <w:r>
        <w:rPr>
          <w:rFonts w:ascii="Calibri" w:hAnsi="Calibri"/>
        </w:rPr>
        <w:t>c</w:t>
      </w:r>
      <w:r w:rsidR="00E63DA2" w:rsidRPr="00A15D3B">
        <w:rPr>
          <w:rFonts w:ascii="Calibri" w:hAnsi="Calibri"/>
        </w:rPr>
        <w:t xml:space="preserve">rescita del </w:t>
      </w:r>
      <w:r>
        <w:rPr>
          <w:rFonts w:ascii="Calibri" w:hAnsi="Calibri"/>
        </w:rPr>
        <w:t>c</w:t>
      </w:r>
      <w:r w:rsidR="00E63DA2" w:rsidRPr="00A15D3B">
        <w:rPr>
          <w:rFonts w:ascii="Calibri" w:hAnsi="Calibri"/>
        </w:rPr>
        <w:t>apitale</w:t>
      </w:r>
      <w:r w:rsidR="00DF33DC" w:rsidRPr="00A15D3B">
        <w:rPr>
          <w:rFonts w:ascii="Calibri" w:hAnsi="Calibri"/>
        </w:rPr>
        <w:t>;</w:t>
      </w:r>
    </w:p>
    <w:p w:rsidR="00E63DA2" w:rsidRPr="00A15D3B" w:rsidRDefault="006B7620" w:rsidP="00A15D3B">
      <w:pPr>
        <w:pStyle w:val="Paragrafoelenco"/>
        <w:numPr>
          <w:ilvl w:val="0"/>
          <w:numId w:val="49"/>
        </w:numPr>
        <w:spacing w:line="360" w:lineRule="auto"/>
        <w:jc w:val="both"/>
        <w:rPr>
          <w:rFonts w:ascii="Calibri" w:hAnsi="Calibri"/>
        </w:rPr>
      </w:pPr>
      <w:r>
        <w:rPr>
          <w:rFonts w:ascii="Calibri" w:hAnsi="Calibri"/>
        </w:rPr>
        <w:t>i</w:t>
      </w:r>
      <w:r w:rsidR="00E63DA2" w:rsidRPr="00A15D3B">
        <w:rPr>
          <w:rFonts w:ascii="Calibri" w:hAnsi="Calibri"/>
        </w:rPr>
        <w:t xml:space="preserve">ntegrazione del </w:t>
      </w:r>
      <w:r>
        <w:rPr>
          <w:rFonts w:ascii="Calibri" w:hAnsi="Calibri"/>
        </w:rPr>
        <w:t>r</w:t>
      </w:r>
      <w:r w:rsidR="00E63DA2" w:rsidRPr="00A15D3B">
        <w:rPr>
          <w:rFonts w:ascii="Calibri" w:hAnsi="Calibri"/>
        </w:rPr>
        <w:t>eddito</w:t>
      </w:r>
      <w:r w:rsidR="00DF33DC" w:rsidRPr="00A15D3B">
        <w:rPr>
          <w:rFonts w:ascii="Calibri" w:hAnsi="Calibri"/>
        </w:rPr>
        <w:t>;</w:t>
      </w:r>
    </w:p>
    <w:p w:rsidR="00E63DA2" w:rsidRPr="00A15D3B" w:rsidRDefault="006B7620" w:rsidP="00A15D3B">
      <w:pPr>
        <w:pStyle w:val="Paragrafoelenco"/>
        <w:numPr>
          <w:ilvl w:val="0"/>
          <w:numId w:val="49"/>
        </w:numPr>
        <w:spacing w:line="360" w:lineRule="auto"/>
        <w:jc w:val="both"/>
        <w:rPr>
          <w:rFonts w:ascii="Calibri" w:hAnsi="Calibri"/>
        </w:rPr>
      </w:pPr>
      <w:r>
        <w:rPr>
          <w:rFonts w:ascii="Calibri" w:hAnsi="Calibri"/>
        </w:rPr>
        <w:t>d</w:t>
      </w:r>
      <w:r w:rsidR="00E63DA2" w:rsidRPr="00A15D3B">
        <w:rPr>
          <w:rFonts w:ascii="Calibri" w:hAnsi="Calibri"/>
        </w:rPr>
        <w:t xml:space="preserve">ifesa del </w:t>
      </w:r>
      <w:r>
        <w:rPr>
          <w:rFonts w:ascii="Calibri" w:hAnsi="Calibri"/>
        </w:rPr>
        <w:t>r</w:t>
      </w:r>
      <w:r w:rsidR="00E63DA2" w:rsidRPr="00A15D3B">
        <w:rPr>
          <w:rFonts w:ascii="Calibri" w:hAnsi="Calibri"/>
        </w:rPr>
        <w:t xml:space="preserve">isparmio e </w:t>
      </w:r>
      <w:r>
        <w:rPr>
          <w:rFonts w:ascii="Calibri" w:hAnsi="Calibri"/>
        </w:rPr>
        <w:t>p</w:t>
      </w:r>
      <w:r w:rsidR="00E63DA2" w:rsidRPr="00A15D3B">
        <w:rPr>
          <w:rFonts w:ascii="Calibri" w:hAnsi="Calibri"/>
        </w:rPr>
        <w:t>rotezione</w:t>
      </w:r>
      <w:r w:rsidR="00DF33DC" w:rsidRPr="00A15D3B">
        <w:rPr>
          <w:rFonts w:ascii="Calibri" w:hAnsi="Calibri"/>
        </w:rPr>
        <w:t>.</w:t>
      </w:r>
    </w:p>
    <w:p w:rsidR="006B7620" w:rsidRDefault="006B7620" w:rsidP="003D2BBB">
      <w:pPr>
        <w:spacing w:line="360" w:lineRule="auto"/>
        <w:jc w:val="both"/>
        <w:rPr>
          <w:rFonts w:ascii="Calibri" w:hAnsi="Calibri"/>
          <w:sz w:val="24"/>
          <w:szCs w:val="24"/>
        </w:rPr>
      </w:pP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 xml:space="preserve">Per ciascuna di queste finalità </w:t>
      </w:r>
      <w:r w:rsidR="00990B8A">
        <w:rPr>
          <w:rFonts w:ascii="Calibri" w:hAnsi="Calibri"/>
          <w:sz w:val="24"/>
          <w:szCs w:val="24"/>
        </w:rPr>
        <w:t xml:space="preserve">sono stati </w:t>
      </w:r>
      <w:r w:rsidRPr="003D2BBB">
        <w:rPr>
          <w:rFonts w:ascii="Calibri" w:hAnsi="Calibri"/>
          <w:sz w:val="24"/>
          <w:szCs w:val="24"/>
        </w:rPr>
        <w:t xml:space="preserve">predisposti portafogli modello declinati su quattro profili di rischio e </w:t>
      </w:r>
      <w:r w:rsidR="00990B8A">
        <w:rPr>
          <w:rFonts w:ascii="Calibri" w:hAnsi="Calibri"/>
          <w:sz w:val="24"/>
          <w:szCs w:val="24"/>
        </w:rPr>
        <w:t xml:space="preserve">su </w:t>
      </w:r>
      <w:r w:rsidRPr="003D2BBB">
        <w:rPr>
          <w:rFonts w:ascii="Calibri" w:hAnsi="Calibri"/>
          <w:sz w:val="24"/>
          <w:szCs w:val="24"/>
        </w:rPr>
        <w:t>tre orizzonti temporali.</w:t>
      </w: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Per la predisposizione dei portafogli modello funzionali alle prime due necessità si è</w:t>
      </w:r>
      <w:r w:rsidR="00DF33DC" w:rsidRPr="003D2BBB">
        <w:rPr>
          <w:rFonts w:ascii="Calibri" w:hAnsi="Calibri"/>
          <w:sz w:val="24"/>
          <w:szCs w:val="24"/>
        </w:rPr>
        <w:t xml:space="preserve"> fatto</w:t>
      </w:r>
      <w:r w:rsidRPr="003D2BBB">
        <w:rPr>
          <w:rFonts w:ascii="Calibri" w:hAnsi="Calibri"/>
          <w:sz w:val="24"/>
          <w:szCs w:val="24"/>
        </w:rPr>
        <w:t xml:space="preserve"> ricorso ad un modello di asset allocation che definisse portafogli m</w:t>
      </w:r>
      <w:r w:rsidR="00990B8A">
        <w:rPr>
          <w:rFonts w:ascii="Calibri" w:hAnsi="Calibri"/>
          <w:sz w:val="24"/>
          <w:szCs w:val="24"/>
        </w:rPr>
        <w:t xml:space="preserve">odello in asset class declinati, </w:t>
      </w:r>
      <w:r w:rsidRPr="003D2BBB">
        <w:rPr>
          <w:rFonts w:ascii="Calibri" w:hAnsi="Calibri"/>
          <w:sz w:val="24"/>
          <w:szCs w:val="24"/>
        </w:rPr>
        <w:t>oltre che per orizzonte temporale e profilo di rischio</w:t>
      </w:r>
      <w:r w:rsidR="00990B8A">
        <w:rPr>
          <w:rFonts w:ascii="Calibri" w:hAnsi="Calibri"/>
          <w:sz w:val="24"/>
          <w:szCs w:val="24"/>
        </w:rPr>
        <w:t>,</w:t>
      </w:r>
      <w:r w:rsidRPr="003D2BBB">
        <w:rPr>
          <w:rFonts w:ascii="Calibri" w:hAnsi="Calibri"/>
          <w:sz w:val="24"/>
          <w:szCs w:val="24"/>
        </w:rPr>
        <w:t xml:space="preserve"> anche per ammontare da investire nello specifico bisogno</w:t>
      </w:r>
      <w:r w:rsidR="00DC3219">
        <w:rPr>
          <w:rFonts w:ascii="Calibri" w:hAnsi="Calibri"/>
          <w:sz w:val="24"/>
          <w:szCs w:val="24"/>
        </w:rPr>
        <w:t>. Sono stati definiti</w:t>
      </w:r>
      <w:r w:rsidRPr="003D2BBB">
        <w:rPr>
          <w:rFonts w:ascii="Calibri" w:hAnsi="Calibri"/>
          <w:sz w:val="24"/>
          <w:szCs w:val="24"/>
        </w:rPr>
        <w:t xml:space="preserve"> tre </w:t>
      </w:r>
      <w:r w:rsidR="00990B8A">
        <w:rPr>
          <w:rFonts w:ascii="Calibri" w:hAnsi="Calibri"/>
          <w:sz w:val="24"/>
          <w:szCs w:val="24"/>
        </w:rPr>
        <w:t xml:space="preserve">scaglioni di importo investito: </w:t>
      </w:r>
      <w:r w:rsidRPr="003D2BBB">
        <w:rPr>
          <w:rFonts w:ascii="Calibri" w:hAnsi="Calibri"/>
          <w:sz w:val="24"/>
          <w:szCs w:val="24"/>
        </w:rPr>
        <w:t>0-20.000€; 20.000€</w:t>
      </w:r>
      <w:r w:rsidR="00990B8A">
        <w:rPr>
          <w:rFonts w:ascii="Calibri" w:hAnsi="Calibri"/>
          <w:sz w:val="24"/>
          <w:szCs w:val="24"/>
        </w:rPr>
        <w:t>-100.000€; maggiore di 100.000€</w:t>
      </w:r>
      <w:r w:rsidRPr="003D2BBB">
        <w:rPr>
          <w:rFonts w:ascii="Calibri" w:hAnsi="Calibri"/>
          <w:sz w:val="24"/>
          <w:szCs w:val="24"/>
        </w:rPr>
        <w:t>.</w:t>
      </w: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 xml:space="preserve">I portafogli in asset class così definiti </w:t>
      </w:r>
      <w:r w:rsidR="00DC3219">
        <w:rPr>
          <w:rFonts w:ascii="Calibri" w:hAnsi="Calibri"/>
          <w:sz w:val="24"/>
          <w:szCs w:val="24"/>
        </w:rPr>
        <w:t>sono</w:t>
      </w:r>
      <w:r w:rsidRPr="003D2BBB">
        <w:rPr>
          <w:rFonts w:ascii="Calibri" w:hAnsi="Calibri"/>
          <w:sz w:val="24"/>
          <w:szCs w:val="24"/>
        </w:rPr>
        <w:t xml:space="preserve"> poi declinati in prodotti ad accumul</w:t>
      </w:r>
      <w:r w:rsidR="00A15D3B">
        <w:rPr>
          <w:rFonts w:ascii="Calibri" w:hAnsi="Calibri"/>
          <w:sz w:val="24"/>
          <w:szCs w:val="24"/>
        </w:rPr>
        <w:t>azione nel caso della finalità “Crescita del Capitale”</w:t>
      </w:r>
      <w:r w:rsidR="00DC3219">
        <w:rPr>
          <w:rFonts w:ascii="Calibri" w:hAnsi="Calibri"/>
          <w:sz w:val="24"/>
          <w:szCs w:val="24"/>
        </w:rPr>
        <w:t>,</w:t>
      </w:r>
      <w:r w:rsidR="00800406">
        <w:rPr>
          <w:rFonts w:ascii="Calibri" w:hAnsi="Calibri"/>
          <w:sz w:val="24"/>
          <w:szCs w:val="24"/>
        </w:rPr>
        <w:t xml:space="preserve"> </w:t>
      </w:r>
      <w:r w:rsidRPr="003D2BBB">
        <w:rPr>
          <w:rFonts w:ascii="Calibri" w:hAnsi="Calibri"/>
          <w:sz w:val="24"/>
          <w:szCs w:val="24"/>
        </w:rPr>
        <w:t xml:space="preserve">ovvero in prodotti a distribuzione per la finalità </w:t>
      </w:r>
      <w:r w:rsidR="00A15D3B">
        <w:rPr>
          <w:rFonts w:ascii="Calibri" w:hAnsi="Calibri"/>
          <w:sz w:val="24"/>
          <w:szCs w:val="24"/>
        </w:rPr>
        <w:t>“Integrazione del Reddito”</w:t>
      </w:r>
      <w:r w:rsidRPr="003D2BBB">
        <w:rPr>
          <w:rFonts w:ascii="Calibri" w:hAnsi="Calibri"/>
          <w:sz w:val="24"/>
          <w:szCs w:val="24"/>
        </w:rPr>
        <w:t>.</w:t>
      </w: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Per la predisposizione dei portafogli mo</w:t>
      </w:r>
      <w:r w:rsidR="00A15D3B">
        <w:rPr>
          <w:rFonts w:ascii="Calibri" w:hAnsi="Calibri"/>
          <w:sz w:val="24"/>
          <w:szCs w:val="24"/>
        </w:rPr>
        <w:t>dello funzionali alla finalità “</w:t>
      </w:r>
      <w:r w:rsidRPr="003D2BBB">
        <w:rPr>
          <w:rFonts w:ascii="Calibri" w:hAnsi="Calibri"/>
          <w:sz w:val="24"/>
          <w:szCs w:val="24"/>
        </w:rPr>
        <w:t>Difesa del Rispar</w:t>
      </w:r>
      <w:r w:rsidR="00A15D3B">
        <w:rPr>
          <w:rFonts w:ascii="Calibri" w:hAnsi="Calibri"/>
          <w:sz w:val="24"/>
          <w:szCs w:val="24"/>
        </w:rPr>
        <w:t>mio e Protezione”</w:t>
      </w:r>
      <w:r w:rsidR="00990B8A">
        <w:rPr>
          <w:rFonts w:ascii="Calibri" w:hAnsi="Calibri"/>
          <w:sz w:val="24"/>
          <w:szCs w:val="24"/>
        </w:rPr>
        <w:t xml:space="preserve"> si è deciso d</w:t>
      </w:r>
      <w:r w:rsidRPr="003D2BBB">
        <w:rPr>
          <w:rFonts w:ascii="Calibri" w:hAnsi="Calibri"/>
          <w:sz w:val="24"/>
          <w:szCs w:val="24"/>
        </w:rPr>
        <w:t>i seguire criteri di calibrazione che portassero a soluzioni ottimali su un rapporto r</w:t>
      </w:r>
      <w:r w:rsidR="00465642">
        <w:rPr>
          <w:rFonts w:ascii="Calibri" w:hAnsi="Calibri"/>
          <w:sz w:val="24"/>
          <w:szCs w:val="24"/>
        </w:rPr>
        <w:t>endimento-rischio</w:t>
      </w:r>
      <w:r w:rsidRPr="003D2BBB">
        <w:rPr>
          <w:rFonts w:ascii="Calibri" w:hAnsi="Calibri"/>
          <w:sz w:val="24"/>
          <w:szCs w:val="24"/>
        </w:rPr>
        <w:t xml:space="preserve"> target facendo ricorso a prodotti specifici per la finalità stessa a cui si intende assolvere.</w:t>
      </w: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t xml:space="preserve">In questo ambito CheBanca! ha deciso di avvalersi della consulenza della società Benchmark and Style quale fornitore in outsourcing dei servizi di elaborazione e calcolo dei portafogli modello strategici e tattici alla luce delle view espresse dal </w:t>
      </w:r>
      <w:r w:rsidR="00DC3219">
        <w:rPr>
          <w:rFonts w:ascii="Calibri" w:hAnsi="Calibri"/>
          <w:sz w:val="24"/>
          <w:szCs w:val="24"/>
        </w:rPr>
        <w:t>C</w:t>
      </w:r>
      <w:r w:rsidRPr="003D2BBB">
        <w:rPr>
          <w:rFonts w:ascii="Calibri" w:hAnsi="Calibri"/>
          <w:sz w:val="24"/>
          <w:szCs w:val="24"/>
        </w:rPr>
        <w:t xml:space="preserve">omitato </w:t>
      </w:r>
      <w:r w:rsidR="00DC3219">
        <w:rPr>
          <w:rFonts w:ascii="Calibri" w:hAnsi="Calibri"/>
          <w:sz w:val="24"/>
          <w:szCs w:val="24"/>
        </w:rPr>
        <w:t>I</w:t>
      </w:r>
      <w:r w:rsidRPr="003D2BBB">
        <w:rPr>
          <w:rFonts w:ascii="Calibri" w:hAnsi="Calibri"/>
          <w:sz w:val="24"/>
          <w:szCs w:val="24"/>
        </w:rPr>
        <w:t xml:space="preserve">nvestimenti della </w:t>
      </w:r>
      <w:r w:rsidR="00DC3219">
        <w:rPr>
          <w:rFonts w:ascii="Calibri" w:hAnsi="Calibri"/>
          <w:sz w:val="24"/>
          <w:szCs w:val="24"/>
        </w:rPr>
        <w:t>B</w:t>
      </w:r>
      <w:r w:rsidRPr="003D2BBB">
        <w:rPr>
          <w:rFonts w:ascii="Calibri" w:hAnsi="Calibri"/>
          <w:sz w:val="24"/>
          <w:szCs w:val="24"/>
        </w:rPr>
        <w:t>anca.</w:t>
      </w:r>
    </w:p>
    <w:p w:rsidR="00E63DA2" w:rsidRPr="003D2BBB" w:rsidRDefault="00E63DA2" w:rsidP="003D2BBB">
      <w:pPr>
        <w:spacing w:line="360" w:lineRule="auto"/>
        <w:jc w:val="both"/>
        <w:rPr>
          <w:rFonts w:ascii="Calibri" w:hAnsi="Calibri"/>
          <w:sz w:val="24"/>
          <w:szCs w:val="24"/>
        </w:rPr>
      </w:pPr>
    </w:p>
    <w:p w:rsidR="00E63DA2" w:rsidRPr="003D2BBB" w:rsidRDefault="00E63DA2" w:rsidP="003D2BBB">
      <w:pPr>
        <w:spacing w:line="360" w:lineRule="auto"/>
        <w:jc w:val="both"/>
        <w:rPr>
          <w:rFonts w:ascii="Calibri" w:hAnsi="Calibri"/>
          <w:sz w:val="24"/>
          <w:szCs w:val="24"/>
        </w:rPr>
      </w:pPr>
      <w:r w:rsidRPr="003D2BBB">
        <w:rPr>
          <w:rFonts w:ascii="Calibri" w:hAnsi="Calibri"/>
          <w:sz w:val="24"/>
          <w:szCs w:val="24"/>
        </w:rPr>
        <w:lastRenderedPageBreak/>
        <w:t>Il presente documento si prefigge</w:t>
      </w:r>
      <w:r w:rsidR="00990B8A">
        <w:rPr>
          <w:rFonts w:ascii="Calibri" w:hAnsi="Calibri"/>
          <w:sz w:val="24"/>
          <w:szCs w:val="24"/>
        </w:rPr>
        <w:t>,</w:t>
      </w:r>
      <w:r w:rsidRPr="003D2BBB">
        <w:rPr>
          <w:rFonts w:ascii="Calibri" w:hAnsi="Calibri"/>
          <w:sz w:val="24"/>
          <w:szCs w:val="24"/>
        </w:rPr>
        <w:t xml:space="preserve"> quindi</w:t>
      </w:r>
      <w:r w:rsidR="00990B8A">
        <w:rPr>
          <w:rFonts w:ascii="Calibri" w:hAnsi="Calibri"/>
          <w:sz w:val="24"/>
          <w:szCs w:val="24"/>
        </w:rPr>
        <w:t>,</w:t>
      </w:r>
      <w:r w:rsidRPr="003D2BBB">
        <w:rPr>
          <w:rFonts w:ascii="Calibri" w:hAnsi="Calibri"/>
          <w:sz w:val="24"/>
          <w:szCs w:val="24"/>
        </w:rPr>
        <w:t xml:space="preserve"> i seguenti obiettivi:</w:t>
      </w:r>
    </w:p>
    <w:p w:rsidR="00E63DA2" w:rsidRPr="003D2BBB" w:rsidRDefault="00DC3219" w:rsidP="003D2BBB">
      <w:pPr>
        <w:numPr>
          <w:ilvl w:val="0"/>
          <w:numId w:val="40"/>
        </w:numPr>
        <w:autoSpaceDE/>
        <w:autoSpaceDN/>
        <w:adjustRightInd/>
        <w:spacing w:line="360" w:lineRule="auto"/>
        <w:jc w:val="both"/>
        <w:rPr>
          <w:rFonts w:ascii="Calibri" w:hAnsi="Calibri"/>
          <w:sz w:val="24"/>
          <w:szCs w:val="24"/>
        </w:rPr>
      </w:pPr>
      <w:r>
        <w:rPr>
          <w:rFonts w:ascii="Calibri" w:hAnsi="Calibri"/>
          <w:sz w:val="24"/>
          <w:szCs w:val="24"/>
        </w:rPr>
        <w:t>d</w:t>
      </w:r>
      <w:r w:rsidR="00E63DA2" w:rsidRPr="003D2BBB">
        <w:rPr>
          <w:rFonts w:ascii="Calibri" w:hAnsi="Calibri"/>
          <w:sz w:val="24"/>
          <w:szCs w:val="24"/>
        </w:rPr>
        <w:t>efinizione del modello teorico e dei processi per la costruzion</w:t>
      </w:r>
      <w:r w:rsidR="00990B8A">
        <w:rPr>
          <w:rFonts w:ascii="Calibri" w:hAnsi="Calibri"/>
          <w:sz w:val="24"/>
          <w:szCs w:val="24"/>
        </w:rPr>
        <w:t>e e manutenzione dei portafogli</w:t>
      </w:r>
      <w:r w:rsidR="00E63DA2" w:rsidRPr="003D2BBB">
        <w:rPr>
          <w:rFonts w:ascii="Calibri" w:hAnsi="Calibri"/>
          <w:sz w:val="24"/>
          <w:szCs w:val="24"/>
        </w:rPr>
        <w:t xml:space="preserve"> modello per le finalità </w:t>
      </w:r>
      <w:r>
        <w:rPr>
          <w:rFonts w:ascii="Calibri" w:hAnsi="Calibri"/>
          <w:sz w:val="24"/>
          <w:szCs w:val="24"/>
        </w:rPr>
        <w:t>“</w:t>
      </w:r>
      <w:r w:rsidR="00E63DA2" w:rsidRPr="003D2BBB">
        <w:rPr>
          <w:rFonts w:ascii="Calibri" w:hAnsi="Calibri"/>
          <w:sz w:val="24"/>
          <w:szCs w:val="24"/>
        </w:rPr>
        <w:t>Crescita del Capitale</w:t>
      </w:r>
      <w:r>
        <w:rPr>
          <w:rFonts w:ascii="Calibri" w:hAnsi="Calibri"/>
          <w:sz w:val="24"/>
          <w:szCs w:val="24"/>
        </w:rPr>
        <w:t>”</w:t>
      </w:r>
      <w:r w:rsidR="00E63DA2" w:rsidRPr="003D2BBB">
        <w:rPr>
          <w:rFonts w:ascii="Calibri" w:hAnsi="Calibri"/>
          <w:sz w:val="24"/>
          <w:szCs w:val="24"/>
        </w:rPr>
        <w:t xml:space="preserve"> e </w:t>
      </w:r>
      <w:r>
        <w:rPr>
          <w:rFonts w:ascii="Calibri" w:hAnsi="Calibri"/>
          <w:sz w:val="24"/>
          <w:szCs w:val="24"/>
        </w:rPr>
        <w:t>“</w:t>
      </w:r>
      <w:r w:rsidR="00E63DA2" w:rsidRPr="003D2BBB">
        <w:rPr>
          <w:rFonts w:ascii="Calibri" w:hAnsi="Calibri"/>
          <w:sz w:val="24"/>
          <w:szCs w:val="24"/>
        </w:rPr>
        <w:t>Integrazione del Reddito</w:t>
      </w:r>
      <w:r>
        <w:rPr>
          <w:rFonts w:ascii="Calibri" w:hAnsi="Calibri"/>
          <w:sz w:val="24"/>
          <w:szCs w:val="24"/>
        </w:rPr>
        <w:t>”</w:t>
      </w:r>
      <w:r w:rsidR="00E63DA2" w:rsidRPr="003D2BBB">
        <w:rPr>
          <w:rFonts w:ascii="Calibri" w:hAnsi="Calibri"/>
          <w:sz w:val="24"/>
          <w:szCs w:val="24"/>
        </w:rPr>
        <w:t>;</w:t>
      </w:r>
    </w:p>
    <w:p w:rsidR="00E63DA2" w:rsidRPr="003D2BBB" w:rsidRDefault="00990B8A" w:rsidP="003D2BBB">
      <w:pPr>
        <w:numPr>
          <w:ilvl w:val="0"/>
          <w:numId w:val="40"/>
        </w:numPr>
        <w:autoSpaceDE/>
        <w:autoSpaceDN/>
        <w:adjustRightInd/>
        <w:spacing w:line="360" w:lineRule="auto"/>
        <w:jc w:val="both"/>
        <w:rPr>
          <w:rFonts w:ascii="Calibri" w:hAnsi="Calibri"/>
          <w:sz w:val="24"/>
          <w:szCs w:val="24"/>
        </w:rPr>
      </w:pPr>
      <w:r>
        <w:rPr>
          <w:rFonts w:ascii="Calibri" w:hAnsi="Calibri"/>
          <w:sz w:val="24"/>
          <w:szCs w:val="24"/>
        </w:rPr>
        <w:t>d</w:t>
      </w:r>
      <w:r w:rsidR="00E63DA2" w:rsidRPr="003D2BBB">
        <w:rPr>
          <w:rFonts w:ascii="Calibri" w:hAnsi="Calibri"/>
          <w:sz w:val="24"/>
          <w:szCs w:val="24"/>
        </w:rPr>
        <w:t xml:space="preserve">efinizione del modello/criterio di costruzione dei portafogli modello per la finalità </w:t>
      </w:r>
      <w:r w:rsidR="00DC3219">
        <w:rPr>
          <w:rFonts w:ascii="Calibri" w:hAnsi="Calibri"/>
          <w:sz w:val="24"/>
          <w:szCs w:val="24"/>
        </w:rPr>
        <w:t>“</w:t>
      </w:r>
      <w:r w:rsidR="00E63DA2" w:rsidRPr="003D2BBB">
        <w:rPr>
          <w:rFonts w:ascii="Calibri" w:hAnsi="Calibri"/>
          <w:sz w:val="24"/>
          <w:szCs w:val="24"/>
        </w:rPr>
        <w:t>Difesa del Risparmio e Protezione</w:t>
      </w:r>
      <w:r w:rsidR="00DC3219">
        <w:rPr>
          <w:rFonts w:ascii="Calibri" w:hAnsi="Calibri"/>
          <w:sz w:val="24"/>
          <w:szCs w:val="24"/>
        </w:rPr>
        <w:t>”</w:t>
      </w:r>
      <w:r w:rsidR="00DF33DC" w:rsidRPr="003D2BBB">
        <w:rPr>
          <w:rFonts w:ascii="Calibri" w:hAnsi="Calibri"/>
          <w:sz w:val="24"/>
          <w:szCs w:val="24"/>
        </w:rPr>
        <w:t>;</w:t>
      </w:r>
    </w:p>
    <w:p w:rsidR="00E63DA2" w:rsidRPr="003D2BBB" w:rsidRDefault="00990B8A" w:rsidP="003D2BBB">
      <w:pPr>
        <w:numPr>
          <w:ilvl w:val="0"/>
          <w:numId w:val="40"/>
        </w:numPr>
        <w:autoSpaceDE/>
        <w:autoSpaceDN/>
        <w:adjustRightInd/>
        <w:spacing w:line="360" w:lineRule="auto"/>
        <w:jc w:val="both"/>
        <w:rPr>
          <w:rFonts w:ascii="Calibri" w:hAnsi="Calibri"/>
          <w:sz w:val="24"/>
          <w:szCs w:val="24"/>
        </w:rPr>
      </w:pPr>
      <w:r>
        <w:rPr>
          <w:rFonts w:ascii="Calibri" w:hAnsi="Calibri"/>
          <w:sz w:val="24"/>
          <w:szCs w:val="24"/>
        </w:rPr>
        <w:t>d</w:t>
      </w:r>
      <w:r w:rsidR="00E63DA2" w:rsidRPr="003D2BBB">
        <w:rPr>
          <w:rFonts w:ascii="Calibri" w:hAnsi="Calibri"/>
          <w:sz w:val="24"/>
          <w:szCs w:val="24"/>
        </w:rPr>
        <w:t xml:space="preserve">efinizione delle regole di mappatura degli strumenti finanziari ai fini della </w:t>
      </w:r>
      <w:r w:rsidR="00DC3219">
        <w:rPr>
          <w:rFonts w:ascii="Calibri" w:hAnsi="Calibri"/>
          <w:sz w:val="24"/>
          <w:szCs w:val="24"/>
        </w:rPr>
        <w:t>trasformazione</w:t>
      </w:r>
      <w:r w:rsidR="00E63DA2" w:rsidRPr="003D2BBB">
        <w:rPr>
          <w:rFonts w:ascii="Calibri" w:hAnsi="Calibri"/>
          <w:sz w:val="24"/>
          <w:szCs w:val="24"/>
        </w:rPr>
        <w:t xml:space="preserve"> de</w:t>
      </w:r>
      <w:r w:rsidR="00DC3219">
        <w:rPr>
          <w:rFonts w:ascii="Calibri" w:hAnsi="Calibri"/>
          <w:sz w:val="24"/>
          <w:szCs w:val="24"/>
        </w:rPr>
        <w:t>i</w:t>
      </w:r>
      <w:r>
        <w:rPr>
          <w:rFonts w:ascii="Calibri" w:hAnsi="Calibri"/>
          <w:sz w:val="24"/>
          <w:szCs w:val="24"/>
        </w:rPr>
        <w:t xml:space="preserve"> portafogli</w:t>
      </w:r>
      <w:r w:rsidR="00DC3219">
        <w:rPr>
          <w:rFonts w:ascii="Calibri" w:hAnsi="Calibri"/>
          <w:sz w:val="24"/>
          <w:szCs w:val="24"/>
        </w:rPr>
        <w:t xml:space="preserve"> in asset class in portafogli di prodotti</w:t>
      </w:r>
      <w:r w:rsidR="00E63DA2" w:rsidRPr="003D2BBB">
        <w:rPr>
          <w:rFonts w:ascii="Calibri" w:hAnsi="Calibri"/>
          <w:sz w:val="24"/>
          <w:szCs w:val="24"/>
        </w:rPr>
        <w:t>.</w:t>
      </w:r>
    </w:p>
    <w:p w:rsidR="002546EB" w:rsidRPr="000376E5" w:rsidRDefault="002546EB" w:rsidP="003710BD">
      <w:pPr>
        <w:autoSpaceDE/>
        <w:autoSpaceDN/>
        <w:adjustRightInd/>
        <w:spacing w:after="200" w:line="360" w:lineRule="auto"/>
        <w:jc w:val="both"/>
        <w:rPr>
          <w:rFonts w:asciiTheme="minorHAnsi" w:hAnsiTheme="minorHAnsi" w:cstheme="minorHAnsi"/>
          <w:b/>
          <w:bCs/>
          <w:sz w:val="32"/>
          <w:szCs w:val="32"/>
        </w:rPr>
      </w:pPr>
      <w:r w:rsidRPr="000376E5">
        <w:rPr>
          <w:rFonts w:asciiTheme="minorHAnsi" w:hAnsiTheme="minorHAnsi" w:cstheme="minorHAnsi"/>
          <w:sz w:val="32"/>
          <w:szCs w:val="32"/>
        </w:rPr>
        <w:br w:type="page"/>
      </w:r>
    </w:p>
    <w:p w:rsidR="00C557B4" w:rsidRPr="000376E5" w:rsidRDefault="009B6BA5" w:rsidP="003710BD">
      <w:pPr>
        <w:pStyle w:val="Titolo1"/>
        <w:spacing w:line="360" w:lineRule="auto"/>
        <w:jc w:val="both"/>
        <w:rPr>
          <w:rFonts w:asciiTheme="minorHAnsi" w:hAnsiTheme="minorHAnsi" w:cstheme="minorHAnsi"/>
          <w:sz w:val="32"/>
          <w:szCs w:val="32"/>
        </w:rPr>
      </w:pPr>
      <w:bookmarkStart w:id="4" w:name="_Toc373916052"/>
      <w:bookmarkStart w:id="5" w:name="_Toc425154123"/>
      <w:bookmarkEnd w:id="0"/>
      <w:r>
        <w:rPr>
          <w:rFonts w:asciiTheme="minorHAnsi" w:hAnsiTheme="minorHAnsi" w:cstheme="minorHAnsi"/>
          <w:sz w:val="32"/>
          <w:szCs w:val="32"/>
        </w:rPr>
        <w:lastRenderedPageBreak/>
        <w:t xml:space="preserve">IL </w:t>
      </w:r>
      <w:r w:rsidR="00C557B4" w:rsidRPr="000376E5">
        <w:rPr>
          <w:rFonts w:asciiTheme="minorHAnsi" w:hAnsiTheme="minorHAnsi" w:cstheme="minorHAnsi"/>
          <w:sz w:val="32"/>
          <w:szCs w:val="32"/>
        </w:rPr>
        <w:t xml:space="preserve">MODELLO </w:t>
      </w:r>
      <w:bookmarkEnd w:id="4"/>
      <w:r w:rsidR="00C557B4" w:rsidRPr="000376E5">
        <w:rPr>
          <w:rFonts w:asciiTheme="minorHAnsi" w:hAnsiTheme="minorHAnsi" w:cstheme="minorHAnsi"/>
          <w:sz w:val="32"/>
          <w:szCs w:val="32"/>
        </w:rPr>
        <w:t xml:space="preserve">UTILIZZATO DA </w:t>
      </w:r>
      <w:r w:rsidR="006B7620">
        <w:rPr>
          <w:rFonts w:asciiTheme="minorHAnsi" w:hAnsiTheme="minorHAnsi" w:cstheme="minorHAnsi"/>
          <w:sz w:val="32"/>
          <w:szCs w:val="32"/>
        </w:rPr>
        <w:t xml:space="preserve">B&amp;S PER </w:t>
      </w:r>
      <w:r w:rsidR="00C557B4" w:rsidRPr="000376E5">
        <w:rPr>
          <w:rFonts w:asciiTheme="minorHAnsi" w:hAnsiTheme="minorHAnsi" w:cstheme="minorHAnsi"/>
          <w:sz w:val="32"/>
          <w:szCs w:val="32"/>
        </w:rPr>
        <w:t>CHEBANCA!</w:t>
      </w:r>
      <w:r w:rsidR="002606A6">
        <w:rPr>
          <w:rFonts w:asciiTheme="minorHAnsi" w:hAnsiTheme="minorHAnsi" w:cstheme="minorHAnsi"/>
          <w:sz w:val="32"/>
          <w:szCs w:val="32"/>
        </w:rPr>
        <w:t xml:space="preserve"> PER LA COSTRUZIONE DEI PORTAFOGLI STRATEGICI</w:t>
      </w:r>
      <w:bookmarkEnd w:id="5"/>
    </w:p>
    <w:p w:rsidR="00C557B4" w:rsidRPr="000376E5" w:rsidRDefault="00C557B4" w:rsidP="003710BD">
      <w:pPr>
        <w:pStyle w:val="Titolo1"/>
        <w:numPr>
          <w:ilvl w:val="0"/>
          <w:numId w:val="0"/>
        </w:numPr>
        <w:spacing w:line="360" w:lineRule="auto"/>
        <w:ind w:left="720"/>
        <w:jc w:val="both"/>
        <w:rPr>
          <w:rFonts w:asciiTheme="minorHAnsi" w:hAnsiTheme="minorHAnsi" w:cstheme="minorHAnsi"/>
          <w:sz w:val="24"/>
          <w:szCs w:val="24"/>
        </w:rPr>
      </w:pPr>
    </w:p>
    <w:p w:rsidR="00E63DA2" w:rsidRDefault="00C557B4" w:rsidP="003710BD">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Ai fini della costruzione dei portafogli modello</w:t>
      </w:r>
      <w:r w:rsidR="00A15D3B">
        <w:rPr>
          <w:rFonts w:asciiTheme="minorHAnsi" w:hAnsiTheme="minorHAnsi" w:cstheme="minorHAnsi"/>
          <w:sz w:val="24"/>
          <w:szCs w:val="24"/>
        </w:rPr>
        <w:t xml:space="preserve"> funzionali ai bisogni “</w:t>
      </w:r>
      <w:r w:rsidR="00DF33DC">
        <w:rPr>
          <w:rFonts w:asciiTheme="minorHAnsi" w:hAnsiTheme="minorHAnsi" w:cstheme="minorHAnsi"/>
          <w:sz w:val="24"/>
          <w:szCs w:val="24"/>
        </w:rPr>
        <w:t>C</w:t>
      </w:r>
      <w:r w:rsidR="00E63DA2">
        <w:rPr>
          <w:rFonts w:asciiTheme="minorHAnsi" w:hAnsiTheme="minorHAnsi" w:cstheme="minorHAnsi"/>
          <w:sz w:val="24"/>
          <w:szCs w:val="24"/>
        </w:rPr>
        <w:t>rescita del Capitale</w:t>
      </w:r>
      <w:r w:rsidR="00A15D3B">
        <w:rPr>
          <w:rFonts w:asciiTheme="minorHAnsi" w:hAnsiTheme="minorHAnsi" w:cstheme="minorHAnsi"/>
          <w:sz w:val="24"/>
          <w:szCs w:val="24"/>
        </w:rPr>
        <w:t>”</w:t>
      </w:r>
      <w:r w:rsidR="00E63DA2">
        <w:rPr>
          <w:rFonts w:asciiTheme="minorHAnsi" w:hAnsiTheme="minorHAnsi" w:cstheme="minorHAnsi"/>
          <w:sz w:val="24"/>
          <w:szCs w:val="24"/>
        </w:rPr>
        <w:t xml:space="preserve"> e </w:t>
      </w:r>
      <w:r w:rsidR="00A15D3B">
        <w:rPr>
          <w:rFonts w:asciiTheme="minorHAnsi" w:hAnsiTheme="minorHAnsi" w:cstheme="minorHAnsi"/>
          <w:sz w:val="24"/>
          <w:szCs w:val="24"/>
        </w:rPr>
        <w:t>“</w:t>
      </w:r>
      <w:r w:rsidR="00E63DA2">
        <w:rPr>
          <w:rFonts w:asciiTheme="minorHAnsi" w:hAnsiTheme="minorHAnsi" w:cstheme="minorHAnsi"/>
          <w:sz w:val="24"/>
          <w:szCs w:val="24"/>
        </w:rPr>
        <w:t>Integrazione del Reddito</w:t>
      </w:r>
      <w:r w:rsidR="00A15D3B">
        <w:rPr>
          <w:rFonts w:asciiTheme="minorHAnsi" w:hAnsiTheme="minorHAnsi" w:cstheme="minorHAnsi"/>
          <w:sz w:val="24"/>
          <w:szCs w:val="24"/>
        </w:rPr>
        <w:t>”</w:t>
      </w:r>
      <w:r w:rsidRPr="000376E5">
        <w:rPr>
          <w:rFonts w:asciiTheme="minorHAnsi" w:hAnsiTheme="minorHAnsi" w:cstheme="minorHAnsi"/>
          <w:sz w:val="24"/>
          <w:szCs w:val="24"/>
        </w:rPr>
        <w:t>, CheBanca! ha deciso di utilizzare</w:t>
      </w:r>
      <w:r w:rsidR="004E1E05">
        <w:rPr>
          <w:rFonts w:asciiTheme="minorHAnsi" w:hAnsiTheme="minorHAnsi" w:cstheme="minorHAnsi"/>
          <w:sz w:val="24"/>
          <w:szCs w:val="24"/>
        </w:rPr>
        <w:t xml:space="preserve"> un modello capace di combinare modelli bayesiani e modelli euristici. Nello specifico, per la stima dei rendimenti attesi ci si è avvalsi</w:t>
      </w:r>
      <w:r w:rsidR="00800406">
        <w:rPr>
          <w:rFonts w:asciiTheme="minorHAnsi" w:hAnsiTheme="minorHAnsi" w:cstheme="minorHAnsi"/>
          <w:sz w:val="24"/>
          <w:szCs w:val="24"/>
        </w:rPr>
        <w:t xml:space="preserve"> </w:t>
      </w:r>
      <w:r w:rsidR="004E1E05">
        <w:rPr>
          <w:rFonts w:asciiTheme="minorHAnsi" w:hAnsiTheme="minorHAnsi" w:cstheme="minorHAnsi"/>
          <w:sz w:val="24"/>
          <w:szCs w:val="24"/>
        </w:rPr>
        <w:t>del modello</w:t>
      </w:r>
      <w:r w:rsidR="00800406">
        <w:rPr>
          <w:rFonts w:asciiTheme="minorHAnsi" w:hAnsiTheme="minorHAnsi" w:cstheme="minorHAnsi"/>
          <w:sz w:val="24"/>
          <w:szCs w:val="24"/>
        </w:rPr>
        <w:t xml:space="preserve"> </w:t>
      </w:r>
      <w:r w:rsidR="004E1E05">
        <w:rPr>
          <w:rFonts w:asciiTheme="minorHAnsi" w:hAnsiTheme="minorHAnsi" w:cstheme="minorHAnsi"/>
          <w:sz w:val="24"/>
          <w:szCs w:val="24"/>
        </w:rPr>
        <w:t xml:space="preserve">di </w:t>
      </w:r>
      <w:r w:rsidRPr="000376E5">
        <w:rPr>
          <w:rFonts w:asciiTheme="minorHAnsi" w:hAnsiTheme="minorHAnsi" w:cstheme="minorHAnsi"/>
          <w:sz w:val="24"/>
          <w:szCs w:val="24"/>
        </w:rPr>
        <w:t>Black</w:t>
      </w:r>
      <w:r w:rsidR="004E1E05">
        <w:rPr>
          <w:rFonts w:asciiTheme="minorHAnsi" w:hAnsiTheme="minorHAnsi" w:cstheme="minorHAnsi"/>
          <w:sz w:val="24"/>
          <w:szCs w:val="24"/>
        </w:rPr>
        <w:t>-</w:t>
      </w:r>
      <w:r w:rsidRPr="000376E5">
        <w:rPr>
          <w:rFonts w:asciiTheme="minorHAnsi" w:hAnsiTheme="minorHAnsi" w:cstheme="minorHAnsi"/>
          <w:sz w:val="24"/>
          <w:szCs w:val="24"/>
        </w:rPr>
        <w:t>Litterman</w:t>
      </w:r>
      <w:r w:rsidR="004E1E05">
        <w:rPr>
          <w:rFonts w:asciiTheme="minorHAnsi" w:hAnsiTheme="minorHAnsi" w:cstheme="minorHAnsi"/>
          <w:sz w:val="24"/>
          <w:szCs w:val="24"/>
        </w:rPr>
        <w:t>, mentre l’ottimizzazione implementata fa uso dei vincoli di peso infragruppo</w:t>
      </w:r>
      <w:r w:rsidRPr="000376E5">
        <w:rPr>
          <w:rFonts w:asciiTheme="minorHAnsi" w:hAnsiTheme="minorHAnsi" w:cstheme="minorHAnsi"/>
          <w:sz w:val="24"/>
          <w:szCs w:val="24"/>
        </w:rPr>
        <w:t>.</w:t>
      </w:r>
      <w:r w:rsidR="00D20056">
        <w:rPr>
          <w:rFonts w:asciiTheme="minorHAnsi" w:hAnsiTheme="minorHAnsi" w:cstheme="minorHAnsi"/>
          <w:sz w:val="24"/>
          <w:szCs w:val="24"/>
        </w:rPr>
        <w:t xml:space="preserve"> L’utilizzo congiunto di modelli bayesiani ed euristic</w:t>
      </w:r>
      <w:r w:rsidR="00DC3219">
        <w:rPr>
          <w:rFonts w:asciiTheme="minorHAnsi" w:hAnsiTheme="minorHAnsi" w:cstheme="minorHAnsi"/>
          <w:sz w:val="24"/>
          <w:szCs w:val="24"/>
        </w:rPr>
        <w:t>i</w:t>
      </w:r>
      <w:r w:rsidR="00D20056">
        <w:rPr>
          <w:rFonts w:asciiTheme="minorHAnsi" w:hAnsiTheme="minorHAnsi" w:cstheme="minorHAnsi"/>
          <w:sz w:val="24"/>
          <w:szCs w:val="24"/>
        </w:rPr>
        <w:t xml:space="preserve"> è giustificato dalla necessità di limitare il manifestarsi dei problemi operativi (</w:t>
      </w:r>
      <w:r w:rsidR="00D20056" w:rsidRPr="00DC3219">
        <w:rPr>
          <w:rFonts w:asciiTheme="minorHAnsi" w:hAnsiTheme="minorHAnsi" w:cstheme="minorHAnsi"/>
          <w:i/>
          <w:sz w:val="24"/>
          <w:szCs w:val="24"/>
        </w:rPr>
        <w:t>irragionevolezza</w:t>
      </w:r>
      <w:r w:rsidR="00D20056">
        <w:rPr>
          <w:rFonts w:asciiTheme="minorHAnsi" w:hAnsiTheme="minorHAnsi" w:cstheme="minorHAnsi"/>
          <w:sz w:val="24"/>
          <w:szCs w:val="24"/>
        </w:rPr>
        <w:t xml:space="preserve"> della composizione dei portafogli, </w:t>
      </w:r>
      <w:r w:rsidR="00D20056" w:rsidRPr="00DC3219">
        <w:rPr>
          <w:rFonts w:asciiTheme="minorHAnsi" w:hAnsiTheme="minorHAnsi" w:cstheme="minorHAnsi"/>
          <w:i/>
          <w:sz w:val="24"/>
          <w:szCs w:val="24"/>
        </w:rPr>
        <w:t>instabilità</w:t>
      </w:r>
      <w:r w:rsidR="00D20056">
        <w:rPr>
          <w:rFonts w:asciiTheme="minorHAnsi" w:hAnsiTheme="minorHAnsi" w:cstheme="minorHAnsi"/>
          <w:sz w:val="24"/>
          <w:szCs w:val="24"/>
        </w:rPr>
        <w:t xml:space="preserve"> dei portafogli, elevata </w:t>
      </w:r>
      <w:r w:rsidR="00D20056" w:rsidRPr="00DC3219">
        <w:rPr>
          <w:rFonts w:asciiTheme="minorHAnsi" w:hAnsiTheme="minorHAnsi" w:cstheme="minorHAnsi"/>
          <w:i/>
          <w:sz w:val="24"/>
          <w:szCs w:val="24"/>
        </w:rPr>
        <w:t>esposizione agli errori di stima</w:t>
      </w:r>
      <w:r w:rsidR="00D20056">
        <w:rPr>
          <w:rFonts w:asciiTheme="minorHAnsi" w:hAnsiTheme="minorHAnsi" w:cstheme="minorHAnsi"/>
          <w:sz w:val="24"/>
          <w:szCs w:val="24"/>
        </w:rPr>
        <w:t>) che affliggono il modello classico di Markowitz</w:t>
      </w:r>
      <w:r w:rsidR="00DC3219">
        <w:rPr>
          <w:rFonts w:asciiTheme="minorHAnsi" w:hAnsiTheme="minorHAnsi" w:cstheme="minorHAnsi"/>
          <w:sz w:val="24"/>
          <w:szCs w:val="24"/>
        </w:rPr>
        <w:t>.</w:t>
      </w:r>
    </w:p>
    <w:p w:rsidR="00E63DA2" w:rsidRPr="000376E5" w:rsidRDefault="00E63DA2" w:rsidP="00E63DA2">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Il modello Black</w:t>
      </w:r>
      <w:r w:rsidR="004E1E05">
        <w:rPr>
          <w:rFonts w:asciiTheme="minorHAnsi" w:hAnsiTheme="minorHAnsi" w:cstheme="minorHAnsi"/>
          <w:sz w:val="24"/>
          <w:szCs w:val="24"/>
        </w:rPr>
        <w:t>-</w:t>
      </w:r>
      <w:r w:rsidRPr="000376E5">
        <w:rPr>
          <w:rFonts w:asciiTheme="minorHAnsi" w:hAnsiTheme="minorHAnsi" w:cstheme="minorHAnsi"/>
          <w:sz w:val="24"/>
          <w:szCs w:val="24"/>
        </w:rPr>
        <w:t xml:space="preserve">Litterman, </w:t>
      </w:r>
      <w:r w:rsidR="004E1E05">
        <w:rPr>
          <w:rFonts w:asciiTheme="minorHAnsi" w:hAnsiTheme="minorHAnsi" w:cstheme="minorHAnsi"/>
          <w:sz w:val="24"/>
          <w:szCs w:val="24"/>
        </w:rPr>
        <w:t xml:space="preserve">originariamente </w:t>
      </w:r>
      <w:r w:rsidRPr="000376E5">
        <w:rPr>
          <w:rFonts w:asciiTheme="minorHAnsi" w:hAnsiTheme="minorHAnsi" w:cstheme="minorHAnsi"/>
          <w:sz w:val="24"/>
          <w:szCs w:val="24"/>
        </w:rPr>
        <w:t>pubblicato da Fisher Black e Robert Litterman sotto forma di documento interno della s</w:t>
      </w:r>
      <w:r>
        <w:rPr>
          <w:rFonts w:asciiTheme="minorHAnsi" w:hAnsiTheme="minorHAnsi" w:cstheme="minorHAnsi"/>
          <w:sz w:val="24"/>
          <w:szCs w:val="24"/>
        </w:rPr>
        <w:t xml:space="preserve">ocietà Goldman Sachs nel 1990, </w:t>
      </w:r>
      <w:r w:rsidRPr="000376E5">
        <w:rPr>
          <w:rFonts w:asciiTheme="minorHAnsi" w:hAnsiTheme="minorHAnsi" w:cstheme="minorHAnsi"/>
          <w:sz w:val="24"/>
          <w:szCs w:val="24"/>
        </w:rPr>
        <w:t xml:space="preserve">ha comportato l’introduzione di </w:t>
      </w:r>
      <w:r w:rsidR="00465642">
        <w:rPr>
          <w:rFonts w:asciiTheme="minorHAnsi" w:hAnsiTheme="minorHAnsi" w:cstheme="minorHAnsi"/>
          <w:sz w:val="24"/>
          <w:szCs w:val="24"/>
        </w:rPr>
        <w:t xml:space="preserve">alcune significative </w:t>
      </w:r>
      <w:r w:rsidRPr="000376E5">
        <w:rPr>
          <w:rFonts w:asciiTheme="minorHAnsi" w:hAnsiTheme="minorHAnsi" w:cstheme="minorHAnsi"/>
          <w:sz w:val="24"/>
          <w:szCs w:val="24"/>
        </w:rPr>
        <w:t xml:space="preserve">novità in tema di asset allocation. </w:t>
      </w:r>
      <w:r w:rsidR="004E1E05">
        <w:rPr>
          <w:rFonts w:asciiTheme="minorHAnsi" w:hAnsiTheme="minorHAnsi" w:cstheme="minorHAnsi"/>
          <w:sz w:val="24"/>
          <w:szCs w:val="24"/>
        </w:rPr>
        <w:t>Il modello</w:t>
      </w:r>
      <w:r w:rsidRPr="000376E5">
        <w:rPr>
          <w:rFonts w:asciiTheme="minorHAnsi" w:hAnsiTheme="minorHAnsi" w:cstheme="minorHAnsi"/>
          <w:sz w:val="24"/>
          <w:szCs w:val="24"/>
        </w:rPr>
        <w:t xml:space="preserve"> considera, come punto di partenza, il portafoglio di equilibrio</w:t>
      </w:r>
      <w:r w:rsidR="005743FA">
        <w:rPr>
          <w:rFonts w:asciiTheme="minorHAnsi" w:hAnsiTheme="minorHAnsi" w:cstheme="minorHAnsi"/>
          <w:sz w:val="24"/>
          <w:szCs w:val="24"/>
        </w:rPr>
        <w:t>. Nello specifico</w:t>
      </w:r>
      <w:r w:rsidR="00990B8A">
        <w:rPr>
          <w:rFonts w:asciiTheme="minorHAnsi" w:hAnsiTheme="minorHAnsi" w:cstheme="minorHAnsi"/>
          <w:sz w:val="24"/>
          <w:szCs w:val="24"/>
        </w:rPr>
        <w:t>,</w:t>
      </w:r>
      <w:r w:rsidR="005743FA">
        <w:rPr>
          <w:rFonts w:asciiTheme="minorHAnsi" w:hAnsiTheme="minorHAnsi" w:cstheme="minorHAnsi"/>
          <w:sz w:val="24"/>
          <w:szCs w:val="24"/>
        </w:rPr>
        <w:t xml:space="preserve"> il modello</w:t>
      </w:r>
      <w:r w:rsidR="00800406">
        <w:rPr>
          <w:rFonts w:asciiTheme="minorHAnsi" w:hAnsiTheme="minorHAnsi" w:cstheme="minorHAnsi"/>
          <w:sz w:val="24"/>
          <w:szCs w:val="24"/>
        </w:rPr>
        <w:t xml:space="preserve"> </w:t>
      </w:r>
      <w:r w:rsidR="004E1E05">
        <w:rPr>
          <w:rFonts w:asciiTheme="minorHAnsi" w:hAnsiTheme="minorHAnsi" w:cstheme="minorHAnsi"/>
          <w:sz w:val="24"/>
          <w:szCs w:val="24"/>
        </w:rPr>
        <w:t>prevede</w:t>
      </w:r>
      <w:r w:rsidRPr="000376E5">
        <w:rPr>
          <w:rFonts w:asciiTheme="minorHAnsi" w:hAnsiTheme="minorHAnsi" w:cstheme="minorHAnsi"/>
          <w:sz w:val="24"/>
          <w:szCs w:val="24"/>
        </w:rPr>
        <w:t xml:space="preserve"> l’utilizzo del processo di ottimizzazione inversa</w:t>
      </w:r>
      <w:r w:rsidR="004E1E05">
        <w:rPr>
          <w:rFonts w:asciiTheme="minorHAnsi" w:hAnsiTheme="minorHAnsi" w:cstheme="minorHAnsi"/>
          <w:sz w:val="24"/>
          <w:szCs w:val="24"/>
        </w:rPr>
        <w:t xml:space="preserve"> (</w:t>
      </w:r>
      <w:r w:rsidR="004E1E05" w:rsidRPr="004E1E05">
        <w:rPr>
          <w:rFonts w:asciiTheme="minorHAnsi" w:hAnsiTheme="minorHAnsi" w:cstheme="minorHAnsi"/>
          <w:i/>
          <w:sz w:val="24"/>
          <w:szCs w:val="24"/>
        </w:rPr>
        <w:t>reverse optimization</w:t>
      </w:r>
      <w:r w:rsidR="004E1E05">
        <w:rPr>
          <w:rFonts w:asciiTheme="minorHAnsi" w:hAnsiTheme="minorHAnsi" w:cstheme="minorHAnsi"/>
          <w:sz w:val="24"/>
          <w:szCs w:val="24"/>
        </w:rPr>
        <w:t>)</w:t>
      </w:r>
      <w:r w:rsidRPr="000376E5">
        <w:rPr>
          <w:rFonts w:asciiTheme="minorHAnsi" w:hAnsiTheme="minorHAnsi" w:cstheme="minorHAnsi"/>
          <w:sz w:val="24"/>
          <w:szCs w:val="24"/>
        </w:rPr>
        <w:t xml:space="preserve"> per il calcolo di una distribuzione dei rendimenti </w:t>
      </w:r>
      <w:r w:rsidR="004E1E05">
        <w:rPr>
          <w:rFonts w:asciiTheme="minorHAnsi" w:hAnsiTheme="minorHAnsi" w:cstheme="minorHAnsi"/>
          <w:sz w:val="24"/>
          <w:szCs w:val="24"/>
        </w:rPr>
        <w:t>attesi iniziale</w:t>
      </w:r>
      <w:r w:rsidR="005743FA">
        <w:rPr>
          <w:rFonts w:asciiTheme="minorHAnsi" w:hAnsiTheme="minorHAnsi" w:cstheme="minorHAnsi"/>
          <w:sz w:val="24"/>
          <w:szCs w:val="24"/>
        </w:rPr>
        <w:t>. Tali rendimenti attesi iniziali sono definiti neutrali perché</w:t>
      </w:r>
      <w:r w:rsidR="00800406">
        <w:rPr>
          <w:rFonts w:asciiTheme="minorHAnsi" w:hAnsiTheme="minorHAnsi" w:cstheme="minorHAnsi"/>
          <w:sz w:val="24"/>
          <w:szCs w:val="24"/>
        </w:rPr>
        <w:t xml:space="preserve"> </w:t>
      </w:r>
      <w:r w:rsidR="005743FA">
        <w:rPr>
          <w:rFonts w:asciiTheme="minorHAnsi" w:hAnsiTheme="minorHAnsi" w:cstheme="minorHAnsi"/>
          <w:sz w:val="24"/>
          <w:szCs w:val="24"/>
        </w:rPr>
        <w:t>coerenti con il</w:t>
      </w:r>
      <w:r w:rsidRPr="000376E5">
        <w:rPr>
          <w:rFonts w:asciiTheme="minorHAnsi" w:hAnsiTheme="minorHAnsi" w:cstheme="minorHAnsi"/>
          <w:sz w:val="24"/>
          <w:szCs w:val="24"/>
        </w:rPr>
        <w:t xml:space="preserve"> portafoglio </w:t>
      </w:r>
      <w:r w:rsidR="004E1E05" w:rsidRPr="004E1E05">
        <w:rPr>
          <w:rFonts w:asciiTheme="minorHAnsi" w:hAnsiTheme="minorHAnsi" w:cstheme="minorHAnsi"/>
          <w:i/>
          <w:sz w:val="24"/>
          <w:szCs w:val="24"/>
        </w:rPr>
        <w:t>market neutral</w:t>
      </w:r>
      <w:r w:rsidR="004E1E05">
        <w:rPr>
          <w:rFonts w:asciiTheme="minorHAnsi" w:hAnsiTheme="minorHAnsi" w:cstheme="minorHAnsi"/>
          <w:sz w:val="24"/>
          <w:szCs w:val="24"/>
        </w:rPr>
        <w:t xml:space="preserve"> (ovvero coerent</w:t>
      </w:r>
      <w:r w:rsidR="005743FA">
        <w:rPr>
          <w:rFonts w:asciiTheme="minorHAnsi" w:hAnsiTheme="minorHAnsi" w:cstheme="minorHAnsi"/>
          <w:sz w:val="24"/>
          <w:szCs w:val="24"/>
        </w:rPr>
        <w:t>i</w:t>
      </w:r>
      <w:r w:rsidR="004E1E05">
        <w:rPr>
          <w:rFonts w:asciiTheme="minorHAnsi" w:hAnsiTheme="minorHAnsi" w:cstheme="minorHAnsi"/>
          <w:sz w:val="24"/>
          <w:szCs w:val="24"/>
        </w:rPr>
        <w:t xml:space="preserve"> con i pesi che i mercati assumono a livello mondiale)</w:t>
      </w:r>
      <w:r w:rsidRPr="000376E5">
        <w:rPr>
          <w:rFonts w:asciiTheme="minorHAnsi" w:hAnsiTheme="minorHAnsi" w:cstheme="minorHAnsi"/>
          <w:sz w:val="24"/>
          <w:szCs w:val="24"/>
        </w:rPr>
        <w:t xml:space="preserve">. </w:t>
      </w:r>
      <w:r w:rsidR="004E1E05">
        <w:rPr>
          <w:rFonts w:asciiTheme="minorHAnsi" w:hAnsiTheme="minorHAnsi" w:cstheme="minorHAnsi"/>
          <w:sz w:val="24"/>
          <w:szCs w:val="24"/>
        </w:rPr>
        <w:t>I</w:t>
      </w:r>
      <w:r w:rsidRPr="000376E5">
        <w:rPr>
          <w:rFonts w:asciiTheme="minorHAnsi" w:hAnsiTheme="minorHAnsi" w:cstheme="minorHAnsi"/>
          <w:sz w:val="24"/>
          <w:szCs w:val="24"/>
        </w:rPr>
        <w:t xml:space="preserve">l concetto di </w:t>
      </w:r>
      <w:r w:rsidR="004E1E05">
        <w:rPr>
          <w:rFonts w:asciiTheme="minorHAnsi" w:hAnsiTheme="minorHAnsi" w:cstheme="minorHAnsi"/>
          <w:sz w:val="24"/>
          <w:szCs w:val="24"/>
        </w:rPr>
        <w:t xml:space="preserve">rendimenti attesi di </w:t>
      </w:r>
      <w:r w:rsidRPr="000376E5">
        <w:rPr>
          <w:rFonts w:asciiTheme="minorHAnsi" w:hAnsiTheme="minorHAnsi" w:cstheme="minorHAnsi"/>
          <w:sz w:val="24"/>
          <w:szCs w:val="24"/>
        </w:rPr>
        <w:t xml:space="preserve">equilibrio </w:t>
      </w:r>
      <w:r w:rsidR="004E1E05">
        <w:rPr>
          <w:rFonts w:asciiTheme="minorHAnsi" w:hAnsiTheme="minorHAnsi" w:cstheme="minorHAnsi"/>
          <w:sz w:val="24"/>
          <w:szCs w:val="24"/>
        </w:rPr>
        <w:t xml:space="preserve">rispetto </w:t>
      </w:r>
      <w:r w:rsidRPr="000376E5">
        <w:rPr>
          <w:rFonts w:asciiTheme="minorHAnsi" w:hAnsiTheme="minorHAnsi" w:cstheme="minorHAnsi"/>
          <w:sz w:val="24"/>
          <w:szCs w:val="24"/>
        </w:rPr>
        <w:t xml:space="preserve">al mercato </w:t>
      </w:r>
      <w:r w:rsidR="004E1E05">
        <w:rPr>
          <w:rFonts w:asciiTheme="minorHAnsi" w:hAnsiTheme="minorHAnsi" w:cstheme="minorHAnsi"/>
          <w:sz w:val="24"/>
          <w:szCs w:val="24"/>
        </w:rPr>
        <w:t xml:space="preserve">rappresenta </w:t>
      </w:r>
      <w:r w:rsidRPr="000376E5">
        <w:rPr>
          <w:rFonts w:asciiTheme="minorHAnsi" w:hAnsiTheme="minorHAnsi" w:cstheme="minorHAnsi"/>
          <w:sz w:val="24"/>
          <w:szCs w:val="24"/>
        </w:rPr>
        <w:t xml:space="preserve">l’elemento innovativo </w:t>
      </w:r>
      <w:r w:rsidR="005743FA">
        <w:rPr>
          <w:rFonts w:asciiTheme="minorHAnsi" w:hAnsiTheme="minorHAnsi" w:cstheme="minorHAnsi"/>
          <w:sz w:val="24"/>
          <w:szCs w:val="24"/>
        </w:rPr>
        <w:t>principale del modello di Black-Litterman</w:t>
      </w:r>
      <w:r w:rsidRPr="000376E5">
        <w:rPr>
          <w:rFonts w:asciiTheme="minorHAnsi" w:hAnsiTheme="minorHAnsi" w:cstheme="minorHAnsi"/>
          <w:sz w:val="24"/>
          <w:szCs w:val="24"/>
        </w:rPr>
        <w:t>. L’idea di fondo, infatti, consiste nell’assunzione che un investitore, in mancanza di view, ovvero di aspettative rispetto a</w:t>
      </w:r>
      <w:r w:rsidR="005743FA">
        <w:rPr>
          <w:rFonts w:asciiTheme="minorHAnsi" w:hAnsiTheme="minorHAnsi" w:cstheme="minorHAnsi"/>
          <w:sz w:val="24"/>
          <w:szCs w:val="24"/>
        </w:rPr>
        <w:t>i</w:t>
      </w:r>
      <w:r w:rsidRPr="000376E5">
        <w:rPr>
          <w:rFonts w:asciiTheme="minorHAnsi" w:hAnsiTheme="minorHAnsi" w:cstheme="minorHAnsi"/>
          <w:sz w:val="24"/>
          <w:szCs w:val="24"/>
        </w:rPr>
        <w:t xml:space="preserve"> mercato, </w:t>
      </w:r>
      <w:r w:rsidR="005743FA">
        <w:rPr>
          <w:rFonts w:asciiTheme="minorHAnsi" w:hAnsiTheme="minorHAnsi" w:cstheme="minorHAnsi"/>
          <w:sz w:val="24"/>
          <w:szCs w:val="24"/>
        </w:rPr>
        <w:t>dovrebbe</w:t>
      </w:r>
      <w:r w:rsidR="004E1E05">
        <w:rPr>
          <w:rFonts w:asciiTheme="minorHAnsi" w:hAnsiTheme="minorHAnsi" w:cstheme="minorHAnsi"/>
          <w:sz w:val="24"/>
          <w:szCs w:val="24"/>
        </w:rPr>
        <w:t xml:space="preserve"> per coerenza</w:t>
      </w:r>
      <w:r w:rsidRPr="000376E5">
        <w:rPr>
          <w:rFonts w:asciiTheme="minorHAnsi" w:hAnsiTheme="minorHAnsi" w:cstheme="minorHAnsi"/>
          <w:sz w:val="24"/>
          <w:szCs w:val="24"/>
        </w:rPr>
        <w:t xml:space="preserve"> replicare il portafoglio “</w:t>
      </w:r>
      <w:r w:rsidRPr="004E1E05">
        <w:rPr>
          <w:rFonts w:asciiTheme="minorHAnsi" w:hAnsiTheme="minorHAnsi" w:cstheme="minorHAnsi"/>
          <w:i/>
          <w:sz w:val="24"/>
          <w:szCs w:val="24"/>
        </w:rPr>
        <w:t>market neutral</w:t>
      </w:r>
      <w:r w:rsidRPr="000376E5">
        <w:rPr>
          <w:rFonts w:asciiTheme="minorHAnsi" w:hAnsiTheme="minorHAnsi" w:cstheme="minorHAnsi"/>
          <w:sz w:val="24"/>
          <w:szCs w:val="24"/>
        </w:rPr>
        <w:t xml:space="preserve">”, che </w:t>
      </w:r>
      <w:r w:rsidR="004E1E05">
        <w:rPr>
          <w:rFonts w:asciiTheme="minorHAnsi" w:hAnsiTheme="minorHAnsi" w:cstheme="minorHAnsi"/>
          <w:sz w:val="24"/>
          <w:szCs w:val="24"/>
        </w:rPr>
        <w:t xml:space="preserve">rappresenta </w:t>
      </w:r>
      <w:r w:rsidR="005743FA">
        <w:rPr>
          <w:rFonts w:asciiTheme="minorHAnsi" w:hAnsiTheme="minorHAnsi" w:cstheme="minorHAnsi"/>
          <w:sz w:val="24"/>
          <w:szCs w:val="24"/>
        </w:rPr>
        <w:t>un</w:t>
      </w:r>
      <w:r w:rsidR="004E1E05">
        <w:rPr>
          <w:rFonts w:asciiTheme="minorHAnsi" w:hAnsiTheme="minorHAnsi" w:cstheme="minorHAnsi"/>
          <w:sz w:val="24"/>
          <w:szCs w:val="24"/>
        </w:rPr>
        <w:t>a proxy del portafoglio modello del Capital Asset Pricing Model</w:t>
      </w:r>
      <w:r w:rsidRPr="000376E5">
        <w:rPr>
          <w:rFonts w:asciiTheme="minorHAnsi" w:hAnsiTheme="minorHAnsi" w:cstheme="minorHAnsi"/>
          <w:sz w:val="24"/>
          <w:szCs w:val="24"/>
        </w:rPr>
        <w:t>. Generalmente, tale portafoglio è un indice in cui il peso di ciascuna asset class considerata è pari alla capitalizzazione di borsa del mercato di riferimento</w:t>
      </w:r>
      <w:r w:rsidRPr="000376E5">
        <w:rPr>
          <w:rFonts w:asciiTheme="minorHAnsi" w:hAnsiTheme="minorHAnsi" w:cstheme="minorHAnsi"/>
          <w:sz w:val="24"/>
          <w:szCs w:val="24"/>
          <w:vertAlign w:val="superscript"/>
        </w:rPr>
        <w:footnoteReference w:id="1"/>
      </w:r>
      <w:r w:rsidRPr="000376E5">
        <w:rPr>
          <w:rFonts w:asciiTheme="minorHAnsi" w:hAnsiTheme="minorHAnsi" w:cstheme="minorHAnsi"/>
          <w:sz w:val="24"/>
          <w:szCs w:val="24"/>
        </w:rPr>
        <w:t>.</w:t>
      </w:r>
    </w:p>
    <w:p w:rsidR="00E63DA2" w:rsidRPr="000376E5" w:rsidRDefault="004E1E05" w:rsidP="00E63DA2">
      <w:pPr>
        <w:spacing w:line="360" w:lineRule="auto"/>
        <w:jc w:val="both"/>
        <w:rPr>
          <w:rFonts w:asciiTheme="minorHAnsi" w:hAnsiTheme="minorHAnsi" w:cstheme="minorHAnsi"/>
          <w:sz w:val="24"/>
          <w:szCs w:val="24"/>
        </w:rPr>
      </w:pPr>
      <w:r>
        <w:rPr>
          <w:rFonts w:asciiTheme="minorHAnsi" w:hAnsiTheme="minorHAnsi" w:cstheme="minorHAnsi"/>
          <w:sz w:val="24"/>
          <w:szCs w:val="24"/>
        </w:rPr>
        <w:t>Un</w:t>
      </w:r>
      <w:r w:rsidR="00E63DA2" w:rsidRPr="000376E5">
        <w:rPr>
          <w:rFonts w:asciiTheme="minorHAnsi" w:hAnsiTheme="minorHAnsi" w:cstheme="minorHAnsi"/>
          <w:sz w:val="24"/>
          <w:szCs w:val="24"/>
        </w:rPr>
        <w:t xml:space="preserve"> secondo aspetto innovativo</w:t>
      </w:r>
      <w:r>
        <w:rPr>
          <w:rFonts w:asciiTheme="minorHAnsi" w:hAnsiTheme="minorHAnsi" w:cstheme="minorHAnsi"/>
          <w:sz w:val="24"/>
          <w:szCs w:val="24"/>
        </w:rPr>
        <w:t xml:space="preserve"> introdotto dal modello di Black-Litterman</w:t>
      </w:r>
      <w:r w:rsidR="00E63DA2" w:rsidRPr="000376E5">
        <w:rPr>
          <w:rFonts w:asciiTheme="minorHAnsi" w:hAnsiTheme="minorHAnsi" w:cstheme="minorHAnsi"/>
          <w:sz w:val="24"/>
          <w:szCs w:val="24"/>
        </w:rPr>
        <w:t xml:space="preserve"> si riferisce alle </w:t>
      </w:r>
      <w:r w:rsidR="00E63DA2">
        <w:rPr>
          <w:rFonts w:asciiTheme="minorHAnsi" w:hAnsiTheme="minorHAnsi" w:cstheme="minorHAnsi"/>
          <w:sz w:val="24"/>
          <w:szCs w:val="24"/>
        </w:rPr>
        <w:t>view espresse</w:t>
      </w:r>
      <w:r>
        <w:rPr>
          <w:rFonts w:asciiTheme="minorHAnsi" w:hAnsiTheme="minorHAnsi" w:cstheme="minorHAnsi"/>
          <w:sz w:val="24"/>
          <w:szCs w:val="24"/>
        </w:rPr>
        <w:t xml:space="preserve"> dagli investitori o (concretamente) dagli analisti</w:t>
      </w:r>
      <w:r w:rsidR="00E63DA2">
        <w:rPr>
          <w:rFonts w:asciiTheme="minorHAnsi" w:hAnsiTheme="minorHAnsi" w:cstheme="minorHAnsi"/>
          <w:sz w:val="24"/>
          <w:szCs w:val="24"/>
        </w:rPr>
        <w:t>.</w:t>
      </w:r>
      <w:r w:rsidR="00E63DA2" w:rsidRPr="000376E5">
        <w:rPr>
          <w:rFonts w:asciiTheme="minorHAnsi" w:hAnsiTheme="minorHAnsi" w:cstheme="minorHAnsi"/>
          <w:sz w:val="24"/>
          <w:szCs w:val="24"/>
        </w:rPr>
        <w:t xml:space="preserve"> In particolare, </w:t>
      </w:r>
      <w:r>
        <w:rPr>
          <w:rFonts w:asciiTheme="minorHAnsi" w:hAnsiTheme="minorHAnsi" w:cstheme="minorHAnsi"/>
          <w:sz w:val="24"/>
          <w:szCs w:val="24"/>
        </w:rPr>
        <w:t>il</w:t>
      </w:r>
      <w:r w:rsidR="00E63DA2" w:rsidRPr="000376E5">
        <w:rPr>
          <w:rFonts w:asciiTheme="minorHAnsi" w:hAnsiTheme="minorHAnsi" w:cstheme="minorHAnsi"/>
          <w:sz w:val="24"/>
          <w:szCs w:val="24"/>
        </w:rPr>
        <w:t xml:space="preserve"> passaggio fondamentale è </w:t>
      </w:r>
      <w:r>
        <w:rPr>
          <w:rFonts w:asciiTheme="minorHAnsi" w:hAnsiTheme="minorHAnsi" w:cstheme="minorHAnsi"/>
          <w:sz w:val="24"/>
          <w:szCs w:val="24"/>
        </w:rPr>
        <w:t>rappresentato dal</w:t>
      </w:r>
      <w:r w:rsidR="00E63DA2" w:rsidRPr="000376E5">
        <w:rPr>
          <w:rFonts w:asciiTheme="minorHAnsi" w:hAnsiTheme="minorHAnsi" w:cstheme="minorHAnsi"/>
          <w:sz w:val="24"/>
          <w:szCs w:val="24"/>
        </w:rPr>
        <w:t xml:space="preserve"> processo che combina la “prior information” </w:t>
      </w:r>
      <w:r>
        <w:rPr>
          <w:rFonts w:asciiTheme="minorHAnsi" w:hAnsiTheme="minorHAnsi" w:cstheme="minorHAnsi"/>
          <w:sz w:val="24"/>
          <w:szCs w:val="24"/>
        </w:rPr>
        <w:t xml:space="preserve">(ovvero i rendimenti attesi neutrali al mercato) </w:t>
      </w:r>
      <w:r w:rsidR="00E63DA2" w:rsidRPr="000376E5">
        <w:rPr>
          <w:rFonts w:asciiTheme="minorHAnsi" w:hAnsiTheme="minorHAnsi" w:cstheme="minorHAnsi"/>
          <w:sz w:val="24"/>
          <w:szCs w:val="24"/>
        </w:rPr>
        <w:t xml:space="preserve">con le view; </w:t>
      </w:r>
      <w:r w:rsidR="00E63DA2" w:rsidRPr="00F73F72">
        <w:rPr>
          <w:rFonts w:asciiTheme="minorHAnsi" w:hAnsiTheme="minorHAnsi" w:cstheme="minorHAnsi"/>
          <w:sz w:val="24"/>
          <w:szCs w:val="24"/>
        </w:rPr>
        <w:t xml:space="preserve">queste ultime </w:t>
      </w:r>
      <w:r w:rsidR="00E63DA2" w:rsidRPr="000376E5">
        <w:rPr>
          <w:rFonts w:asciiTheme="minorHAnsi" w:hAnsiTheme="minorHAnsi" w:cstheme="minorHAnsi"/>
          <w:sz w:val="24"/>
          <w:szCs w:val="24"/>
        </w:rPr>
        <w:t xml:space="preserve">possono riguardare tutte le asset class considerate nella costruzione del portafoglio o solo </w:t>
      </w:r>
      <w:r w:rsidR="00F73F72">
        <w:rPr>
          <w:rFonts w:asciiTheme="minorHAnsi" w:hAnsiTheme="minorHAnsi" w:cstheme="minorHAnsi"/>
          <w:sz w:val="24"/>
          <w:szCs w:val="24"/>
        </w:rPr>
        <w:t>un sottoinsieme di esse</w:t>
      </w:r>
      <w:r w:rsidR="00E63DA2" w:rsidRPr="000376E5">
        <w:rPr>
          <w:rFonts w:asciiTheme="minorHAnsi" w:hAnsiTheme="minorHAnsi" w:cstheme="minorHAnsi"/>
          <w:sz w:val="24"/>
          <w:szCs w:val="24"/>
        </w:rPr>
        <w:t>. Infine, i rendimenti</w:t>
      </w:r>
      <w:r w:rsidR="00F73F72">
        <w:rPr>
          <w:rFonts w:asciiTheme="minorHAnsi" w:hAnsiTheme="minorHAnsi" w:cstheme="minorHAnsi"/>
          <w:sz w:val="24"/>
          <w:szCs w:val="24"/>
        </w:rPr>
        <w:t xml:space="preserve"> attesi</w:t>
      </w:r>
      <w:r w:rsidR="00E63DA2" w:rsidRPr="000376E5">
        <w:rPr>
          <w:rFonts w:asciiTheme="minorHAnsi" w:hAnsiTheme="minorHAnsi" w:cstheme="minorHAnsi"/>
          <w:sz w:val="24"/>
          <w:szCs w:val="24"/>
        </w:rPr>
        <w:t xml:space="preserve"> così </w:t>
      </w:r>
      <w:r w:rsidR="00E63DA2" w:rsidRPr="000376E5">
        <w:rPr>
          <w:rFonts w:asciiTheme="minorHAnsi" w:hAnsiTheme="minorHAnsi" w:cstheme="minorHAnsi"/>
          <w:sz w:val="24"/>
          <w:szCs w:val="24"/>
        </w:rPr>
        <w:lastRenderedPageBreak/>
        <w:t xml:space="preserve">ottenuti e le relative varianze e covarianze </w:t>
      </w:r>
      <w:r w:rsidR="00F73F72">
        <w:rPr>
          <w:rFonts w:asciiTheme="minorHAnsi" w:hAnsiTheme="minorHAnsi" w:cstheme="minorHAnsi"/>
          <w:sz w:val="24"/>
          <w:szCs w:val="24"/>
        </w:rPr>
        <w:t>sono</w:t>
      </w:r>
      <w:r w:rsidR="00800406">
        <w:rPr>
          <w:rFonts w:asciiTheme="minorHAnsi" w:hAnsiTheme="minorHAnsi" w:cstheme="minorHAnsi"/>
          <w:sz w:val="24"/>
          <w:szCs w:val="24"/>
        </w:rPr>
        <w:t xml:space="preserve"> </w:t>
      </w:r>
      <w:r w:rsidR="00E63DA2" w:rsidRPr="000376E5">
        <w:rPr>
          <w:rFonts w:asciiTheme="minorHAnsi" w:hAnsiTheme="minorHAnsi" w:cstheme="minorHAnsi"/>
          <w:sz w:val="24"/>
          <w:szCs w:val="24"/>
        </w:rPr>
        <w:t>utilizzati come fattori di input per un processo di ottimizzazione, al fine di ottenere la composizione dei portafogli efficienti</w:t>
      </w:r>
      <w:r w:rsidR="00F73F72">
        <w:rPr>
          <w:rFonts w:asciiTheme="minorHAnsi" w:hAnsiTheme="minorHAnsi" w:cstheme="minorHAnsi"/>
          <w:sz w:val="24"/>
          <w:szCs w:val="24"/>
        </w:rPr>
        <w:t xml:space="preserve"> ex-post</w:t>
      </w:r>
      <w:r w:rsidR="00A15D3B">
        <w:rPr>
          <w:rFonts w:asciiTheme="minorHAnsi" w:hAnsiTheme="minorHAnsi" w:cstheme="minorHAnsi"/>
          <w:sz w:val="24"/>
          <w:szCs w:val="24"/>
        </w:rPr>
        <w:t>.</w:t>
      </w:r>
    </w:p>
    <w:p w:rsidR="00E63DA2" w:rsidRPr="000376E5" w:rsidRDefault="00E63DA2" w:rsidP="00E63DA2">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Il modello matema</w:t>
      </w:r>
      <w:r>
        <w:rPr>
          <w:rFonts w:asciiTheme="minorHAnsi" w:hAnsiTheme="minorHAnsi" w:cstheme="minorHAnsi"/>
          <w:sz w:val="24"/>
          <w:szCs w:val="24"/>
        </w:rPr>
        <w:t>tico di B&amp;</w:t>
      </w:r>
      <w:r w:rsidRPr="000376E5">
        <w:rPr>
          <w:rFonts w:asciiTheme="minorHAnsi" w:hAnsiTheme="minorHAnsi" w:cstheme="minorHAnsi"/>
          <w:sz w:val="24"/>
          <w:szCs w:val="24"/>
        </w:rPr>
        <w:t>L, in sostanza, risulta essere un caso particolare di stima mista, come esplicitato da Brandt</w:t>
      </w:r>
      <w:r w:rsidRPr="000376E5">
        <w:rPr>
          <w:rFonts w:asciiTheme="minorHAnsi" w:hAnsiTheme="minorHAnsi" w:cstheme="minorHAnsi"/>
          <w:sz w:val="24"/>
          <w:szCs w:val="24"/>
          <w:vertAlign w:val="superscript"/>
        </w:rPr>
        <w:footnoteReference w:id="2"/>
      </w:r>
      <w:r w:rsidRPr="000376E5">
        <w:rPr>
          <w:rFonts w:asciiTheme="minorHAnsi" w:hAnsiTheme="minorHAnsi" w:cstheme="minorHAnsi"/>
          <w:sz w:val="24"/>
          <w:szCs w:val="24"/>
        </w:rPr>
        <w:t xml:space="preserve"> nel 1995, che, attraverso la combinazione di due tipologie di fonti alternative, ovvero la “prior information” (portafoglio “market neutral”) e le view, permette di determinare la “posterior distribution”</w:t>
      </w:r>
      <w:r w:rsidR="005743FA">
        <w:rPr>
          <w:rFonts w:asciiTheme="minorHAnsi" w:hAnsiTheme="minorHAnsi" w:cstheme="minorHAnsi"/>
          <w:sz w:val="24"/>
          <w:szCs w:val="24"/>
        </w:rPr>
        <w:t xml:space="preserve"> (i rendimenti attesi finali da utilizzare come input dell’ottimizzazione)</w:t>
      </w:r>
      <w:r w:rsidRPr="000376E5">
        <w:rPr>
          <w:rFonts w:asciiTheme="minorHAnsi" w:hAnsiTheme="minorHAnsi" w:cstheme="minorHAnsi"/>
          <w:sz w:val="24"/>
          <w:szCs w:val="24"/>
        </w:rPr>
        <w:t>.</w:t>
      </w:r>
    </w:p>
    <w:p w:rsidR="00E63DA2" w:rsidRPr="000376E5" w:rsidRDefault="00E63DA2" w:rsidP="00E63DA2">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L’obiettivo prefissato dai creatori del modello fu il superamento di alcune criticità del modello di Markowitz, che rendevano il processo di difficile applicazione da parte degli asset manager. Nella fattispecie, i problemi a cui il modello Black</w:t>
      </w:r>
      <w:r w:rsidR="005743FA">
        <w:rPr>
          <w:rFonts w:asciiTheme="minorHAnsi" w:hAnsiTheme="minorHAnsi" w:cstheme="minorHAnsi"/>
          <w:sz w:val="24"/>
          <w:szCs w:val="24"/>
        </w:rPr>
        <w:t>-</w:t>
      </w:r>
      <w:r w:rsidRPr="000376E5">
        <w:rPr>
          <w:rFonts w:asciiTheme="minorHAnsi" w:hAnsiTheme="minorHAnsi" w:cstheme="minorHAnsi"/>
          <w:sz w:val="24"/>
          <w:szCs w:val="24"/>
        </w:rPr>
        <w:t>Litterman ha cercato di dare risposta sono i seguenti:</w:t>
      </w:r>
    </w:p>
    <w:p w:rsidR="00E63DA2" w:rsidRPr="000376E5" w:rsidRDefault="00E63DA2" w:rsidP="00E63DA2">
      <w:pPr>
        <w:numPr>
          <w:ilvl w:val="0"/>
          <w:numId w:val="2"/>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l’eliminazione di “corner portfolio” come risultante del processo di ottimizzazione, a fronte della creazione di portafogli caratterizzati da</w:t>
      </w:r>
      <w:r w:rsidR="00F73F72">
        <w:rPr>
          <w:rFonts w:asciiTheme="minorHAnsi" w:hAnsiTheme="minorHAnsi" w:cstheme="minorHAnsi"/>
          <w:sz w:val="24"/>
          <w:szCs w:val="24"/>
        </w:rPr>
        <w:t xml:space="preserve"> adeguata</w:t>
      </w:r>
      <w:r w:rsidRPr="000376E5">
        <w:rPr>
          <w:rFonts w:asciiTheme="minorHAnsi" w:hAnsiTheme="minorHAnsi" w:cstheme="minorHAnsi"/>
          <w:sz w:val="24"/>
          <w:szCs w:val="24"/>
        </w:rPr>
        <w:t xml:space="preserve"> diversificazione;</w:t>
      </w:r>
    </w:p>
    <w:p w:rsidR="00E63DA2" w:rsidRPr="000376E5" w:rsidRDefault="00E63DA2" w:rsidP="00E63DA2">
      <w:pPr>
        <w:numPr>
          <w:ilvl w:val="0"/>
          <w:numId w:val="2"/>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 xml:space="preserve">la rilevanza delle capitalizzazioni di borsa dei mercati </w:t>
      </w:r>
      <w:r w:rsidR="00F73F72">
        <w:rPr>
          <w:rFonts w:asciiTheme="minorHAnsi" w:hAnsiTheme="minorHAnsi" w:cstheme="minorHAnsi"/>
          <w:sz w:val="24"/>
          <w:szCs w:val="24"/>
        </w:rPr>
        <w:t>ai fini d</w:t>
      </w:r>
      <w:r w:rsidRPr="000376E5">
        <w:rPr>
          <w:rFonts w:asciiTheme="minorHAnsi" w:hAnsiTheme="minorHAnsi" w:cstheme="minorHAnsi"/>
          <w:sz w:val="24"/>
          <w:szCs w:val="24"/>
        </w:rPr>
        <w:t>ella stim</w:t>
      </w:r>
      <w:r w:rsidR="00F73F72">
        <w:rPr>
          <w:rFonts w:asciiTheme="minorHAnsi" w:hAnsiTheme="minorHAnsi" w:cstheme="minorHAnsi"/>
          <w:sz w:val="24"/>
          <w:szCs w:val="24"/>
        </w:rPr>
        <w:t>a dei rendimenti attesi</w:t>
      </w:r>
      <w:r w:rsidR="00800406">
        <w:rPr>
          <w:rFonts w:asciiTheme="minorHAnsi" w:hAnsiTheme="minorHAnsi" w:cstheme="minorHAnsi"/>
          <w:sz w:val="24"/>
          <w:szCs w:val="24"/>
        </w:rPr>
        <w:t xml:space="preserve"> </w:t>
      </w:r>
      <w:r w:rsidR="00F73F72">
        <w:rPr>
          <w:rFonts w:asciiTheme="minorHAnsi" w:hAnsiTheme="minorHAnsi" w:cstheme="minorHAnsi"/>
          <w:sz w:val="24"/>
          <w:szCs w:val="24"/>
        </w:rPr>
        <w:t>delle asset class</w:t>
      </w:r>
      <w:r w:rsidRPr="000376E5">
        <w:rPr>
          <w:rFonts w:asciiTheme="minorHAnsi" w:hAnsiTheme="minorHAnsi" w:cstheme="minorHAnsi"/>
          <w:sz w:val="24"/>
          <w:szCs w:val="24"/>
        </w:rPr>
        <w:t>;</w:t>
      </w:r>
    </w:p>
    <w:p w:rsidR="00E63DA2" w:rsidRPr="000376E5" w:rsidRDefault="00E63DA2" w:rsidP="00E63DA2">
      <w:pPr>
        <w:numPr>
          <w:ilvl w:val="0"/>
          <w:numId w:val="2"/>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 xml:space="preserve">l’utilizzo nella stima dei parametri </w:t>
      </w:r>
      <w:r w:rsidR="00990B8A">
        <w:rPr>
          <w:rFonts w:asciiTheme="minorHAnsi" w:hAnsiTheme="minorHAnsi" w:cstheme="minorHAnsi"/>
          <w:sz w:val="24"/>
          <w:szCs w:val="24"/>
        </w:rPr>
        <w:t xml:space="preserve">di </w:t>
      </w:r>
      <w:r w:rsidRPr="000376E5">
        <w:rPr>
          <w:rFonts w:asciiTheme="minorHAnsi" w:hAnsiTheme="minorHAnsi" w:cstheme="minorHAnsi"/>
          <w:sz w:val="24"/>
          <w:szCs w:val="24"/>
        </w:rPr>
        <w:t>input del modello (</w:t>
      </w:r>
      <w:r w:rsidR="00F73F72">
        <w:rPr>
          <w:rFonts w:asciiTheme="minorHAnsi" w:hAnsiTheme="minorHAnsi" w:cstheme="minorHAnsi"/>
          <w:sz w:val="24"/>
          <w:szCs w:val="24"/>
        </w:rPr>
        <w:t xml:space="preserve">soprattutto dei </w:t>
      </w:r>
      <w:r w:rsidRPr="000376E5">
        <w:rPr>
          <w:rFonts w:asciiTheme="minorHAnsi" w:hAnsiTheme="minorHAnsi" w:cstheme="minorHAnsi"/>
          <w:sz w:val="24"/>
          <w:szCs w:val="24"/>
        </w:rPr>
        <w:t>rendiment</w:t>
      </w:r>
      <w:r w:rsidR="00F73F72">
        <w:rPr>
          <w:rFonts w:asciiTheme="minorHAnsi" w:hAnsiTheme="minorHAnsi" w:cstheme="minorHAnsi"/>
          <w:sz w:val="24"/>
          <w:szCs w:val="24"/>
        </w:rPr>
        <w:t>i</w:t>
      </w:r>
      <w:r w:rsidRPr="000376E5">
        <w:rPr>
          <w:rFonts w:asciiTheme="minorHAnsi" w:hAnsiTheme="minorHAnsi" w:cstheme="minorHAnsi"/>
          <w:sz w:val="24"/>
          <w:szCs w:val="24"/>
        </w:rPr>
        <w:t xml:space="preserve"> attes</w:t>
      </w:r>
      <w:r w:rsidR="00F73F72">
        <w:rPr>
          <w:rFonts w:asciiTheme="minorHAnsi" w:hAnsiTheme="minorHAnsi" w:cstheme="minorHAnsi"/>
          <w:sz w:val="24"/>
          <w:szCs w:val="24"/>
        </w:rPr>
        <w:t>i</w:t>
      </w:r>
      <w:r w:rsidRPr="000376E5">
        <w:rPr>
          <w:rFonts w:asciiTheme="minorHAnsi" w:hAnsiTheme="minorHAnsi" w:cstheme="minorHAnsi"/>
          <w:sz w:val="24"/>
          <w:szCs w:val="24"/>
        </w:rPr>
        <w:t>) non solo di dati storici, ma anche delle aspettative degli asset manager;</w:t>
      </w:r>
    </w:p>
    <w:p w:rsidR="00E63DA2" w:rsidRPr="000376E5" w:rsidRDefault="00E63DA2" w:rsidP="00E63DA2">
      <w:pPr>
        <w:numPr>
          <w:ilvl w:val="0"/>
          <w:numId w:val="2"/>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la possibilità di inserire view prospettiche ponderate per i gradi di fiducia associati a ciascuna di esse;</w:t>
      </w:r>
    </w:p>
    <w:p w:rsidR="00E63DA2" w:rsidRPr="000376E5" w:rsidRDefault="00E63DA2" w:rsidP="00E63DA2">
      <w:pPr>
        <w:numPr>
          <w:ilvl w:val="0"/>
          <w:numId w:val="2"/>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la facoltà di esprimere previsioni solo su determinati mercati e non</w:t>
      </w:r>
      <w:r w:rsidR="005743FA">
        <w:rPr>
          <w:rFonts w:asciiTheme="minorHAnsi" w:hAnsiTheme="minorHAnsi" w:cstheme="minorHAnsi"/>
          <w:sz w:val="24"/>
          <w:szCs w:val="24"/>
        </w:rPr>
        <w:t xml:space="preserve"> necessariamente</w:t>
      </w:r>
      <w:r w:rsidRPr="000376E5">
        <w:rPr>
          <w:rFonts w:asciiTheme="minorHAnsi" w:hAnsiTheme="minorHAnsi" w:cstheme="minorHAnsi"/>
          <w:sz w:val="24"/>
          <w:szCs w:val="24"/>
        </w:rPr>
        <w:t xml:space="preserve"> sulla totalità delle asset class </w:t>
      </w:r>
      <w:r w:rsidR="005743FA">
        <w:rPr>
          <w:rFonts w:asciiTheme="minorHAnsi" w:hAnsiTheme="minorHAnsi" w:cstheme="minorHAnsi"/>
          <w:sz w:val="24"/>
          <w:szCs w:val="24"/>
        </w:rPr>
        <w:t>selezionate</w:t>
      </w:r>
      <w:r w:rsidRPr="000376E5">
        <w:rPr>
          <w:rFonts w:asciiTheme="minorHAnsi" w:hAnsiTheme="minorHAnsi" w:cstheme="minorHAnsi"/>
          <w:sz w:val="24"/>
          <w:szCs w:val="24"/>
        </w:rPr>
        <w:t>.</w:t>
      </w:r>
    </w:p>
    <w:p w:rsidR="00E63DA2" w:rsidRDefault="00E63DA2" w:rsidP="003710BD">
      <w:pPr>
        <w:spacing w:line="360" w:lineRule="auto"/>
        <w:jc w:val="both"/>
        <w:rPr>
          <w:rFonts w:asciiTheme="minorHAnsi" w:hAnsiTheme="minorHAnsi" w:cstheme="minorHAnsi"/>
          <w:sz w:val="24"/>
          <w:szCs w:val="24"/>
        </w:rPr>
      </w:pPr>
    </w:p>
    <w:p w:rsidR="00C557B4" w:rsidRPr="000376E5" w:rsidRDefault="00C557B4" w:rsidP="003710BD">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Per analizzare il modello utilizzato dalla Banca per l’implementazione dell’asset allocation</w:t>
      </w:r>
      <w:r w:rsidR="00F73F72">
        <w:rPr>
          <w:rFonts w:asciiTheme="minorHAnsi" w:hAnsiTheme="minorHAnsi" w:cstheme="minorHAnsi"/>
          <w:sz w:val="24"/>
          <w:szCs w:val="24"/>
        </w:rPr>
        <w:t xml:space="preserve"> strategica</w:t>
      </w:r>
      <w:r w:rsidRPr="000376E5">
        <w:rPr>
          <w:rFonts w:asciiTheme="minorHAnsi" w:hAnsiTheme="minorHAnsi" w:cstheme="minorHAnsi"/>
          <w:sz w:val="24"/>
          <w:szCs w:val="24"/>
        </w:rPr>
        <w:t>, vengono</w:t>
      </w:r>
      <w:r w:rsidR="00800406">
        <w:rPr>
          <w:rFonts w:asciiTheme="minorHAnsi" w:hAnsiTheme="minorHAnsi" w:cstheme="minorHAnsi"/>
          <w:sz w:val="24"/>
          <w:szCs w:val="24"/>
        </w:rPr>
        <w:t xml:space="preserve"> </w:t>
      </w:r>
      <w:r w:rsidR="002E4F5C">
        <w:rPr>
          <w:rFonts w:asciiTheme="minorHAnsi" w:hAnsiTheme="minorHAnsi" w:cstheme="minorHAnsi"/>
          <w:sz w:val="24"/>
          <w:szCs w:val="24"/>
        </w:rPr>
        <w:t>descritti qui di seguito</w:t>
      </w:r>
      <w:r w:rsidR="00800406">
        <w:rPr>
          <w:rFonts w:asciiTheme="minorHAnsi" w:hAnsiTheme="minorHAnsi" w:cstheme="minorHAnsi"/>
          <w:sz w:val="24"/>
          <w:szCs w:val="24"/>
        </w:rPr>
        <w:t xml:space="preserve"> </w:t>
      </w:r>
      <w:r w:rsidR="002E4F5C">
        <w:rPr>
          <w:rFonts w:asciiTheme="minorHAnsi" w:hAnsiTheme="minorHAnsi" w:cstheme="minorHAnsi"/>
          <w:sz w:val="24"/>
          <w:szCs w:val="24"/>
        </w:rPr>
        <w:t>i</w:t>
      </w:r>
      <w:r w:rsidRPr="000376E5">
        <w:rPr>
          <w:rFonts w:asciiTheme="minorHAnsi" w:hAnsiTheme="minorHAnsi" w:cstheme="minorHAnsi"/>
          <w:sz w:val="24"/>
          <w:szCs w:val="24"/>
        </w:rPr>
        <w:t xml:space="preserve"> dati di input del modello</w:t>
      </w:r>
      <w:r w:rsidR="00F73F72">
        <w:rPr>
          <w:rFonts w:asciiTheme="minorHAnsi" w:hAnsiTheme="minorHAnsi" w:cstheme="minorHAnsi"/>
          <w:sz w:val="24"/>
          <w:szCs w:val="24"/>
        </w:rPr>
        <w:t xml:space="preserve"> di</w:t>
      </w:r>
      <w:r w:rsidR="00800406">
        <w:rPr>
          <w:rFonts w:asciiTheme="minorHAnsi" w:hAnsiTheme="minorHAnsi" w:cstheme="minorHAnsi"/>
          <w:sz w:val="24"/>
          <w:szCs w:val="24"/>
        </w:rPr>
        <w:t xml:space="preserve"> </w:t>
      </w:r>
      <w:r w:rsidR="000376E5" w:rsidRPr="000376E5">
        <w:rPr>
          <w:rFonts w:asciiTheme="minorHAnsi" w:hAnsiTheme="minorHAnsi" w:cstheme="minorHAnsi"/>
          <w:sz w:val="24"/>
          <w:szCs w:val="24"/>
        </w:rPr>
        <w:t>Black</w:t>
      </w:r>
      <w:r w:rsidR="00AB7CAC">
        <w:rPr>
          <w:rFonts w:asciiTheme="minorHAnsi" w:hAnsiTheme="minorHAnsi" w:cstheme="minorHAnsi"/>
          <w:sz w:val="24"/>
          <w:szCs w:val="24"/>
        </w:rPr>
        <w:t>-</w:t>
      </w:r>
      <w:r w:rsidR="000376E5" w:rsidRPr="000376E5">
        <w:rPr>
          <w:rFonts w:asciiTheme="minorHAnsi" w:hAnsiTheme="minorHAnsi" w:cstheme="minorHAnsi"/>
          <w:sz w:val="24"/>
          <w:szCs w:val="24"/>
        </w:rPr>
        <w:t>Litterman</w:t>
      </w:r>
      <w:r w:rsidRPr="000376E5">
        <w:rPr>
          <w:rFonts w:asciiTheme="minorHAnsi" w:hAnsiTheme="minorHAnsi" w:cstheme="minorHAnsi"/>
          <w:sz w:val="24"/>
          <w:szCs w:val="24"/>
        </w:rPr>
        <w:t>:</w:t>
      </w:r>
    </w:p>
    <w:p w:rsidR="00C557B4" w:rsidRPr="000376E5" w:rsidRDefault="00C557B4" w:rsidP="003710BD">
      <w:pPr>
        <w:numPr>
          <w:ilvl w:val="0"/>
          <w:numId w:val="3"/>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le asset class;</w:t>
      </w:r>
    </w:p>
    <w:p w:rsidR="00C557B4" w:rsidRPr="000376E5" w:rsidRDefault="00C557B4" w:rsidP="003710BD">
      <w:pPr>
        <w:numPr>
          <w:ilvl w:val="0"/>
          <w:numId w:val="3"/>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le serie storiche</w:t>
      </w:r>
      <w:r w:rsidR="00F73F72">
        <w:rPr>
          <w:rFonts w:asciiTheme="minorHAnsi" w:hAnsiTheme="minorHAnsi" w:cstheme="minorHAnsi"/>
          <w:sz w:val="24"/>
          <w:szCs w:val="24"/>
        </w:rPr>
        <w:t xml:space="preserve"> dei rendimenti</w:t>
      </w:r>
      <w:r w:rsidRPr="000376E5">
        <w:rPr>
          <w:rFonts w:asciiTheme="minorHAnsi" w:hAnsiTheme="minorHAnsi" w:cstheme="minorHAnsi"/>
          <w:sz w:val="24"/>
          <w:szCs w:val="24"/>
        </w:rPr>
        <w:t xml:space="preserve"> utilizzate;</w:t>
      </w:r>
    </w:p>
    <w:p w:rsidR="00C557B4" w:rsidRPr="000376E5" w:rsidRDefault="00C557B4" w:rsidP="003710BD">
      <w:pPr>
        <w:numPr>
          <w:ilvl w:val="0"/>
          <w:numId w:val="3"/>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la capitalizzazione di mercato;</w:t>
      </w:r>
    </w:p>
    <w:p w:rsidR="00C557B4" w:rsidRPr="000376E5" w:rsidRDefault="00C557B4" w:rsidP="003710BD">
      <w:pPr>
        <w:numPr>
          <w:ilvl w:val="0"/>
          <w:numId w:val="3"/>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le view;</w:t>
      </w:r>
    </w:p>
    <w:p w:rsidR="00C557B4" w:rsidRPr="000376E5" w:rsidRDefault="00C557B4" w:rsidP="003710BD">
      <w:pPr>
        <w:numPr>
          <w:ilvl w:val="0"/>
          <w:numId w:val="3"/>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la matrice delle covarianze dei rendimenti;</w:t>
      </w:r>
    </w:p>
    <w:p w:rsidR="00C557B4" w:rsidRPr="000376E5" w:rsidRDefault="00C557B4" w:rsidP="003710BD">
      <w:pPr>
        <w:numPr>
          <w:ilvl w:val="0"/>
          <w:numId w:val="3"/>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gli ulteriori parametri di implementazione del modello Black</w:t>
      </w:r>
      <w:r w:rsidR="00AB7CAC">
        <w:rPr>
          <w:rFonts w:asciiTheme="minorHAnsi" w:hAnsiTheme="minorHAnsi" w:cstheme="minorHAnsi"/>
          <w:sz w:val="24"/>
          <w:szCs w:val="24"/>
        </w:rPr>
        <w:t>-</w:t>
      </w:r>
      <w:r w:rsidRPr="000376E5">
        <w:rPr>
          <w:rFonts w:asciiTheme="minorHAnsi" w:hAnsiTheme="minorHAnsi" w:cstheme="minorHAnsi"/>
          <w:sz w:val="24"/>
          <w:szCs w:val="24"/>
        </w:rPr>
        <w:t>Litterman;</w:t>
      </w:r>
    </w:p>
    <w:p w:rsidR="00C557B4" w:rsidRPr="000376E5" w:rsidRDefault="00C557B4" w:rsidP="003710BD">
      <w:pPr>
        <w:numPr>
          <w:ilvl w:val="0"/>
          <w:numId w:val="3"/>
        </w:numPr>
        <w:autoSpaceDE/>
        <w:autoSpaceDN/>
        <w:adjustRightInd/>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i rendimenti</w:t>
      </w:r>
      <w:r w:rsidR="00F73F72">
        <w:rPr>
          <w:rFonts w:asciiTheme="minorHAnsi" w:hAnsiTheme="minorHAnsi" w:cstheme="minorHAnsi"/>
          <w:sz w:val="24"/>
          <w:szCs w:val="24"/>
        </w:rPr>
        <w:t xml:space="preserve"> attesi</w:t>
      </w:r>
      <w:r w:rsidRPr="000376E5">
        <w:rPr>
          <w:rFonts w:asciiTheme="minorHAnsi" w:hAnsiTheme="minorHAnsi" w:cstheme="minorHAnsi"/>
          <w:sz w:val="24"/>
          <w:szCs w:val="24"/>
        </w:rPr>
        <w:t xml:space="preserve"> Black</w:t>
      </w:r>
      <w:r w:rsidR="00AB7CAC">
        <w:rPr>
          <w:rFonts w:asciiTheme="minorHAnsi" w:hAnsiTheme="minorHAnsi" w:cstheme="minorHAnsi"/>
          <w:sz w:val="24"/>
          <w:szCs w:val="24"/>
        </w:rPr>
        <w:t>-</w:t>
      </w:r>
      <w:r w:rsidRPr="000376E5">
        <w:rPr>
          <w:rFonts w:asciiTheme="minorHAnsi" w:hAnsiTheme="minorHAnsi" w:cstheme="minorHAnsi"/>
          <w:sz w:val="24"/>
          <w:szCs w:val="24"/>
        </w:rPr>
        <w:t>Litterman.</w:t>
      </w:r>
    </w:p>
    <w:p w:rsidR="00C557B4" w:rsidRPr="000376E5" w:rsidRDefault="00C557B4" w:rsidP="003710BD">
      <w:pPr>
        <w:spacing w:line="360" w:lineRule="auto"/>
        <w:jc w:val="both"/>
        <w:rPr>
          <w:rFonts w:asciiTheme="minorHAnsi" w:hAnsiTheme="minorHAnsi" w:cstheme="minorHAnsi"/>
          <w:sz w:val="24"/>
          <w:szCs w:val="24"/>
        </w:rPr>
      </w:pPr>
    </w:p>
    <w:p w:rsidR="00C557B4" w:rsidRDefault="00C557B4" w:rsidP="003710BD">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lastRenderedPageBreak/>
        <w:t>Di seguito</w:t>
      </w:r>
      <w:r w:rsidR="00E30EE2">
        <w:rPr>
          <w:rFonts w:asciiTheme="minorHAnsi" w:hAnsiTheme="minorHAnsi" w:cstheme="minorHAnsi"/>
          <w:sz w:val="24"/>
          <w:szCs w:val="24"/>
        </w:rPr>
        <w:t xml:space="preserve"> (Figura 1)</w:t>
      </w:r>
      <w:r w:rsidRPr="000376E5">
        <w:rPr>
          <w:rFonts w:asciiTheme="minorHAnsi" w:hAnsiTheme="minorHAnsi" w:cstheme="minorHAnsi"/>
          <w:sz w:val="24"/>
          <w:szCs w:val="24"/>
        </w:rPr>
        <w:t>, viene riportato un grafico che riassume le fasi di implementazione del modello Black &amp; Litterman.</w:t>
      </w:r>
    </w:p>
    <w:p w:rsidR="003F6CF1" w:rsidRPr="000376E5" w:rsidRDefault="003F6CF1" w:rsidP="003710BD">
      <w:pPr>
        <w:spacing w:line="360" w:lineRule="auto"/>
        <w:jc w:val="both"/>
        <w:rPr>
          <w:rFonts w:asciiTheme="minorHAnsi" w:hAnsiTheme="minorHAnsi" w:cstheme="minorHAnsi"/>
          <w:sz w:val="24"/>
          <w:szCs w:val="24"/>
        </w:rPr>
      </w:pPr>
    </w:p>
    <w:p w:rsidR="00C557B4" w:rsidRPr="003F6CF1" w:rsidRDefault="00C557B4" w:rsidP="003710BD">
      <w:pPr>
        <w:pStyle w:val="Didascalia"/>
        <w:keepNext/>
        <w:spacing w:line="360" w:lineRule="auto"/>
        <w:jc w:val="both"/>
        <w:rPr>
          <w:rFonts w:asciiTheme="minorHAnsi" w:hAnsiTheme="minorHAnsi" w:cstheme="minorHAnsi"/>
          <w:b w:val="0"/>
          <w:bCs w:val="0"/>
        </w:rPr>
      </w:pPr>
      <w:r w:rsidRPr="00E30EE2">
        <w:rPr>
          <w:rFonts w:asciiTheme="minorHAnsi" w:hAnsiTheme="minorHAnsi" w:cstheme="minorHAnsi"/>
          <w:bCs w:val="0"/>
          <w:sz w:val="24"/>
          <w:szCs w:val="24"/>
        </w:rPr>
        <w:t xml:space="preserve">Figura </w:t>
      </w:r>
      <w:r w:rsidR="00EB77A6" w:rsidRPr="00E30EE2">
        <w:rPr>
          <w:rFonts w:asciiTheme="minorHAnsi" w:hAnsiTheme="minorHAnsi" w:cstheme="minorHAnsi"/>
          <w:bCs w:val="0"/>
          <w:sz w:val="24"/>
          <w:szCs w:val="24"/>
        </w:rPr>
        <w:fldChar w:fldCharType="begin"/>
      </w:r>
      <w:r w:rsidRPr="00E30EE2">
        <w:rPr>
          <w:rFonts w:asciiTheme="minorHAnsi" w:hAnsiTheme="minorHAnsi" w:cstheme="minorHAnsi"/>
          <w:bCs w:val="0"/>
          <w:sz w:val="24"/>
          <w:szCs w:val="24"/>
        </w:rPr>
        <w:instrText xml:space="preserve"> SEQ Figura \* ARABIC </w:instrText>
      </w:r>
      <w:r w:rsidR="00EB77A6" w:rsidRPr="00E30EE2">
        <w:rPr>
          <w:rFonts w:asciiTheme="minorHAnsi" w:hAnsiTheme="minorHAnsi" w:cstheme="minorHAnsi"/>
          <w:bCs w:val="0"/>
          <w:sz w:val="24"/>
          <w:szCs w:val="24"/>
        </w:rPr>
        <w:fldChar w:fldCharType="separate"/>
      </w:r>
      <w:r w:rsidR="004C2252">
        <w:rPr>
          <w:rFonts w:asciiTheme="minorHAnsi" w:hAnsiTheme="minorHAnsi" w:cstheme="minorHAnsi"/>
          <w:bCs w:val="0"/>
          <w:noProof/>
          <w:sz w:val="24"/>
          <w:szCs w:val="24"/>
        </w:rPr>
        <w:t>1</w:t>
      </w:r>
      <w:r w:rsidR="00EB77A6" w:rsidRPr="00E30EE2">
        <w:rPr>
          <w:rFonts w:asciiTheme="minorHAnsi" w:hAnsiTheme="minorHAnsi" w:cstheme="minorHAnsi"/>
          <w:bCs w:val="0"/>
          <w:sz w:val="24"/>
          <w:szCs w:val="24"/>
        </w:rPr>
        <w:fldChar w:fldCharType="end"/>
      </w:r>
    </w:p>
    <w:p w:rsidR="00C557B4" w:rsidRPr="000376E5" w:rsidRDefault="00C557B4" w:rsidP="003710BD">
      <w:pPr>
        <w:spacing w:line="360" w:lineRule="auto"/>
        <w:jc w:val="both"/>
        <w:rPr>
          <w:rFonts w:asciiTheme="minorHAnsi" w:hAnsiTheme="minorHAnsi" w:cstheme="minorHAnsi"/>
          <w:b/>
          <w:bCs/>
          <w:sz w:val="24"/>
          <w:szCs w:val="24"/>
        </w:rPr>
      </w:pPr>
      <w:r w:rsidRPr="000376E5">
        <w:rPr>
          <w:rFonts w:asciiTheme="minorHAnsi" w:hAnsiTheme="minorHAnsi" w:cstheme="minorHAnsi"/>
          <w:noProof/>
          <w:sz w:val="24"/>
          <w:szCs w:val="24"/>
          <w:lang w:eastAsia="it-IT"/>
        </w:rPr>
        <w:drawing>
          <wp:inline distT="0" distB="0" distL="0" distR="0">
            <wp:extent cx="6143625" cy="3352800"/>
            <wp:effectExtent l="19050" t="19050" r="28575" b="19050"/>
            <wp:docPr id="1172" name="Immagin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9" cstate="print"/>
                    <a:srcRect/>
                    <a:stretch>
                      <a:fillRect/>
                    </a:stretch>
                  </pic:blipFill>
                  <pic:spPr bwMode="auto">
                    <a:xfrm>
                      <a:off x="0" y="0"/>
                      <a:ext cx="6143625" cy="3352800"/>
                    </a:xfrm>
                    <a:prstGeom prst="rect">
                      <a:avLst/>
                    </a:prstGeom>
                    <a:noFill/>
                    <a:ln w="6350" cmpd="sng">
                      <a:solidFill>
                        <a:srgbClr val="000000"/>
                      </a:solidFill>
                      <a:miter lim="800000"/>
                      <a:headEnd/>
                      <a:tailEnd/>
                    </a:ln>
                    <a:effectLst/>
                  </pic:spPr>
                </pic:pic>
              </a:graphicData>
            </a:graphic>
          </wp:inline>
        </w:drawing>
      </w:r>
      <w:r w:rsidRPr="000376E5">
        <w:rPr>
          <w:rFonts w:asciiTheme="minorHAnsi" w:hAnsiTheme="minorHAnsi" w:cstheme="minorHAnsi"/>
          <w:sz w:val="24"/>
          <w:szCs w:val="24"/>
        </w:rPr>
        <w:br w:type="page"/>
      </w:r>
    </w:p>
    <w:p w:rsidR="00C557B4" w:rsidRPr="000376E5" w:rsidRDefault="00C557B4" w:rsidP="003710BD">
      <w:pPr>
        <w:pStyle w:val="Titolo2"/>
        <w:spacing w:line="360" w:lineRule="auto"/>
        <w:jc w:val="both"/>
        <w:rPr>
          <w:rFonts w:asciiTheme="minorHAnsi" w:hAnsiTheme="minorHAnsi" w:cstheme="minorHAnsi"/>
        </w:rPr>
      </w:pPr>
      <w:bookmarkStart w:id="6" w:name="_Toc425154124"/>
      <w:r w:rsidRPr="000376E5">
        <w:rPr>
          <w:rFonts w:asciiTheme="minorHAnsi" w:hAnsiTheme="minorHAnsi" w:cstheme="minorHAnsi"/>
        </w:rPr>
        <w:lastRenderedPageBreak/>
        <w:t>LE ASSET CLASS</w:t>
      </w:r>
      <w:bookmarkEnd w:id="6"/>
    </w:p>
    <w:p w:rsidR="00003A1D" w:rsidRDefault="00C557B4" w:rsidP="003710BD">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La prima fase di un processo di asset allocation consiste nell’individuazione delle asset class con le quali costruire i portafogli attraverso l’utilizzo dell’algoritmo di ottimizzazione di Markowitz</w:t>
      </w:r>
      <w:r w:rsidR="00F73F72">
        <w:rPr>
          <w:rFonts w:asciiTheme="minorHAnsi" w:hAnsiTheme="minorHAnsi" w:cstheme="minorHAnsi"/>
          <w:sz w:val="24"/>
          <w:szCs w:val="24"/>
        </w:rPr>
        <w:t xml:space="preserve"> (corretto con l’introduzione dei vincoli di peso infra-gruppo)</w:t>
      </w:r>
      <w:r w:rsidRPr="000376E5">
        <w:rPr>
          <w:rFonts w:asciiTheme="minorHAnsi" w:hAnsiTheme="minorHAnsi" w:cstheme="minorHAnsi"/>
          <w:sz w:val="24"/>
          <w:szCs w:val="24"/>
        </w:rPr>
        <w:t xml:space="preserve"> e del modello di determinazione dei rendimenti </w:t>
      </w:r>
      <w:r w:rsidR="00F73F72">
        <w:rPr>
          <w:rFonts w:asciiTheme="minorHAnsi" w:hAnsiTheme="minorHAnsi" w:cstheme="minorHAnsi"/>
          <w:sz w:val="24"/>
          <w:szCs w:val="24"/>
        </w:rPr>
        <w:t xml:space="preserve">attesi </w:t>
      </w:r>
      <w:r w:rsidRPr="000376E5">
        <w:rPr>
          <w:rFonts w:asciiTheme="minorHAnsi" w:hAnsiTheme="minorHAnsi" w:cstheme="minorHAnsi"/>
          <w:sz w:val="24"/>
          <w:szCs w:val="24"/>
        </w:rPr>
        <w:t>di Black</w:t>
      </w:r>
      <w:r w:rsidR="005743FA">
        <w:rPr>
          <w:rFonts w:asciiTheme="minorHAnsi" w:hAnsiTheme="minorHAnsi" w:cstheme="minorHAnsi"/>
          <w:sz w:val="24"/>
          <w:szCs w:val="24"/>
        </w:rPr>
        <w:t>-</w:t>
      </w:r>
      <w:r w:rsidRPr="000376E5">
        <w:rPr>
          <w:rFonts w:asciiTheme="minorHAnsi" w:hAnsiTheme="minorHAnsi" w:cstheme="minorHAnsi"/>
          <w:sz w:val="24"/>
          <w:szCs w:val="24"/>
        </w:rPr>
        <w:t xml:space="preserve">Litterman. </w:t>
      </w:r>
      <w:r w:rsidR="00812CFB" w:rsidRPr="000376E5">
        <w:rPr>
          <w:rFonts w:asciiTheme="minorHAnsi" w:hAnsiTheme="minorHAnsi" w:cstheme="minorHAnsi"/>
          <w:sz w:val="24"/>
          <w:szCs w:val="24"/>
        </w:rPr>
        <w:t>Il modello di definizione delle asset class utilizzato da CheBanca!</w:t>
      </w:r>
      <w:r w:rsidR="00800406">
        <w:rPr>
          <w:rFonts w:asciiTheme="minorHAnsi" w:hAnsiTheme="minorHAnsi" w:cstheme="minorHAnsi"/>
          <w:sz w:val="24"/>
          <w:szCs w:val="24"/>
        </w:rPr>
        <w:t xml:space="preserve"> </w:t>
      </w:r>
      <w:r w:rsidR="00812CFB">
        <w:rPr>
          <w:rFonts w:asciiTheme="minorHAnsi" w:hAnsiTheme="minorHAnsi" w:cstheme="minorHAnsi"/>
          <w:sz w:val="24"/>
          <w:szCs w:val="24"/>
        </w:rPr>
        <w:t xml:space="preserve">è di tipo </w:t>
      </w:r>
      <w:r w:rsidR="00767D04">
        <w:rPr>
          <w:rFonts w:asciiTheme="minorHAnsi" w:hAnsiTheme="minorHAnsi" w:cstheme="minorHAnsi"/>
          <w:sz w:val="24"/>
          <w:szCs w:val="24"/>
        </w:rPr>
        <w:t>bottom</w:t>
      </w:r>
      <w:r w:rsidR="00812CFB">
        <w:rPr>
          <w:rFonts w:asciiTheme="minorHAnsi" w:hAnsiTheme="minorHAnsi" w:cstheme="minorHAnsi"/>
          <w:sz w:val="24"/>
          <w:szCs w:val="24"/>
        </w:rPr>
        <w:t>-</w:t>
      </w:r>
      <w:r w:rsidR="00767D04">
        <w:rPr>
          <w:rFonts w:asciiTheme="minorHAnsi" w:hAnsiTheme="minorHAnsi" w:cstheme="minorHAnsi"/>
          <w:sz w:val="24"/>
          <w:szCs w:val="24"/>
        </w:rPr>
        <w:t>up</w:t>
      </w:r>
      <w:r w:rsidR="00812CFB" w:rsidRPr="000376E5">
        <w:rPr>
          <w:rFonts w:asciiTheme="minorHAnsi" w:hAnsiTheme="minorHAnsi" w:cstheme="minorHAnsi"/>
          <w:sz w:val="24"/>
          <w:szCs w:val="24"/>
        </w:rPr>
        <w:t xml:space="preserve">: dapprima si </w:t>
      </w:r>
      <w:r w:rsidR="00767D04">
        <w:rPr>
          <w:rFonts w:asciiTheme="minorHAnsi" w:hAnsiTheme="minorHAnsi" w:cstheme="minorHAnsi"/>
          <w:sz w:val="24"/>
          <w:szCs w:val="24"/>
        </w:rPr>
        <w:t>sono analizzati i possibili investimenti ripercorribili dalla clientela (</w:t>
      </w:r>
      <w:r w:rsidR="00F73F72">
        <w:rPr>
          <w:rFonts w:asciiTheme="minorHAnsi" w:hAnsiTheme="minorHAnsi" w:cstheme="minorHAnsi"/>
          <w:sz w:val="24"/>
          <w:szCs w:val="24"/>
        </w:rPr>
        <w:t xml:space="preserve">nella </w:t>
      </w:r>
      <w:r w:rsidR="00767D04">
        <w:rPr>
          <w:rFonts w:asciiTheme="minorHAnsi" w:hAnsiTheme="minorHAnsi" w:cstheme="minorHAnsi"/>
          <w:sz w:val="24"/>
          <w:szCs w:val="24"/>
        </w:rPr>
        <w:t>fase 1 del progetto saranno esclusivamente fondi/sicav</w:t>
      </w:r>
      <w:r w:rsidR="006205AC">
        <w:rPr>
          <w:rFonts w:asciiTheme="minorHAnsi" w:hAnsiTheme="minorHAnsi" w:cstheme="minorHAnsi"/>
          <w:sz w:val="24"/>
          <w:szCs w:val="24"/>
        </w:rPr>
        <w:t xml:space="preserve"> e prodotti assicurativi multiramo</w:t>
      </w:r>
      <w:r w:rsidR="00767D04">
        <w:rPr>
          <w:rFonts w:asciiTheme="minorHAnsi" w:hAnsiTheme="minorHAnsi" w:cstheme="minorHAnsi"/>
          <w:sz w:val="24"/>
          <w:szCs w:val="24"/>
        </w:rPr>
        <w:t>) e la metodologia di classificazione dei prodotti (associazione biunivoca prodotto – asset class).</w:t>
      </w:r>
      <w:r w:rsidR="006B7620">
        <w:rPr>
          <w:rFonts w:asciiTheme="minorHAnsi" w:hAnsiTheme="minorHAnsi" w:cstheme="minorHAnsi"/>
          <w:sz w:val="24"/>
          <w:szCs w:val="24"/>
        </w:rPr>
        <w:t xml:space="preserve"> </w:t>
      </w:r>
      <w:r w:rsidR="00767D04">
        <w:rPr>
          <w:rFonts w:asciiTheme="minorHAnsi" w:hAnsiTheme="minorHAnsi" w:cstheme="minorHAnsi"/>
          <w:sz w:val="24"/>
          <w:szCs w:val="24"/>
        </w:rPr>
        <w:t>Per questo motivo sono state inserite anche asset class composite</w:t>
      </w:r>
      <w:r w:rsidR="00F73F72">
        <w:rPr>
          <w:rFonts w:asciiTheme="minorHAnsi" w:hAnsiTheme="minorHAnsi" w:cstheme="minorHAnsi"/>
          <w:sz w:val="24"/>
          <w:szCs w:val="24"/>
        </w:rPr>
        <w:t>,</w:t>
      </w:r>
      <w:r w:rsidR="00767D04">
        <w:rPr>
          <w:rFonts w:asciiTheme="minorHAnsi" w:hAnsiTheme="minorHAnsi" w:cstheme="minorHAnsi"/>
          <w:sz w:val="24"/>
          <w:szCs w:val="24"/>
        </w:rPr>
        <w:t xml:space="preserve"> quali i flessibili</w:t>
      </w:r>
      <w:r w:rsidR="00F73F72">
        <w:rPr>
          <w:rFonts w:asciiTheme="minorHAnsi" w:hAnsiTheme="minorHAnsi" w:cstheme="minorHAnsi"/>
          <w:sz w:val="24"/>
          <w:szCs w:val="24"/>
        </w:rPr>
        <w:t>,</w:t>
      </w:r>
      <w:r w:rsidR="00767D04">
        <w:rPr>
          <w:rFonts w:asciiTheme="minorHAnsi" w:hAnsiTheme="minorHAnsi" w:cstheme="minorHAnsi"/>
          <w:sz w:val="24"/>
          <w:szCs w:val="24"/>
        </w:rPr>
        <w:t xml:space="preserve"> che non parteciperanno al calcolo dei pesi della capitalizzazione di mercato e non saranno oggetto di valutazione</w:t>
      </w:r>
      <w:r w:rsidR="00800406">
        <w:rPr>
          <w:rFonts w:asciiTheme="minorHAnsi" w:hAnsiTheme="minorHAnsi" w:cstheme="minorHAnsi"/>
          <w:sz w:val="24"/>
          <w:szCs w:val="24"/>
        </w:rPr>
        <w:t xml:space="preserve"> </w:t>
      </w:r>
      <w:r w:rsidR="00767D04">
        <w:rPr>
          <w:rFonts w:asciiTheme="minorHAnsi" w:hAnsiTheme="minorHAnsi" w:cstheme="minorHAnsi"/>
          <w:sz w:val="24"/>
          <w:szCs w:val="24"/>
        </w:rPr>
        <w:t>da parte del Comitato investimenti.</w:t>
      </w:r>
      <w:r w:rsidR="006B7620">
        <w:rPr>
          <w:rFonts w:asciiTheme="minorHAnsi" w:hAnsiTheme="minorHAnsi" w:cstheme="minorHAnsi"/>
          <w:sz w:val="24"/>
          <w:szCs w:val="24"/>
        </w:rPr>
        <w:t xml:space="preserve"> </w:t>
      </w:r>
      <w:r w:rsidR="00003A1D" w:rsidRPr="000376E5">
        <w:rPr>
          <w:rFonts w:asciiTheme="minorHAnsi" w:hAnsiTheme="minorHAnsi" w:cstheme="minorHAnsi"/>
          <w:sz w:val="24"/>
          <w:szCs w:val="24"/>
        </w:rPr>
        <w:t>Ad ogni asset class è poi stata associata una macro-categoria (azionaria, obbligazionaria, monetaria, ecc…).</w:t>
      </w:r>
    </w:p>
    <w:p w:rsidR="00C557B4" w:rsidRPr="000376E5" w:rsidRDefault="00C557B4" w:rsidP="003710BD">
      <w:pPr>
        <w:spacing w:line="360" w:lineRule="auto"/>
        <w:jc w:val="both"/>
        <w:rPr>
          <w:rFonts w:asciiTheme="minorHAnsi" w:hAnsiTheme="minorHAnsi" w:cstheme="minorHAnsi"/>
          <w:sz w:val="24"/>
          <w:szCs w:val="24"/>
        </w:rPr>
      </w:pPr>
      <w:r w:rsidRPr="000376E5">
        <w:rPr>
          <w:rFonts w:asciiTheme="minorHAnsi" w:hAnsiTheme="minorHAnsi" w:cstheme="minorHAnsi"/>
          <w:sz w:val="24"/>
          <w:szCs w:val="24"/>
        </w:rPr>
        <w:t>Nella Tabella 1 viene data evidenza delle asset class prese in considerazione.</w:t>
      </w:r>
    </w:p>
    <w:tbl>
      <w:tblPr>
        <w:tblW w:w="406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4060"/>
      </w:tblGrid>
      <w:tr w:rsidR="000328F5" w:rsidRPr="000328F5" w:rsidTr="000328F5">
        <w:trPr>
          <w:trHeight w:val="300"/>
        </w:trPr>
        <w:tc>
          <w:tcPr>
            <w:tcW w:w="4060" w:type="dxa"/>
            <w:tcBorders>
              <w:bottom w:val="single" w:sz="4" w:space="0" w:color="auto"/>
            </w:tcBorders>
            <w:shd w:val="clear" w:color="auto" w:fill="auto"/>
            <w:noWrap/>
            <w:vAlign w:val="bottom"/>
            <w:hideMark/>
          </w:tcPr>
          <w:p w:rsidR="000328F5" w:rsidRPr="000328F5" w:rsidRDefault="000328F5" w:rsidP="000328F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Asset Class</w:t>
            </w:r>
          </w:p>
        </w:tc>
      </w:tr>
      <w:tr w:rsidR="000328F5" w:rsidRPr="000328F5" w:rsidTr="000328F5">
        <w:trPr>
          <w:trHeight w:val="300"/>
        </w:trPr>
        <w:tc>
          <w:tcPr>
            <w:tcW w:w="4060" w:type="dxa"/>
            <w:tcBorders>
              <w:top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Monetario in Euro</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in Euro Tutte le Scadenze</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in Euro Breve Termine</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Globale Paesi Sviluppati</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Paesi Emergenti</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High Yield</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Europa</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Nord America</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Pacifico</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Paesi Emergenti</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Globale</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Flessibile Bassa Volatilità</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Flessibile Media Volatilità</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Flessibile Alta Volatilità</w:t>
            </w:r>
          </w:p>
        </w:tc>
      </w:tr>
      <w:tr w:rsidR="000328F5" w:rsidRPr="000328F5" w:rsidTr="000328F5">
        <w:trPr>
          <w:trHeight w:val="300"/>
        </w:trPr>
        <w:tc>
          <w:tcPr>
            <w:tcW w:w="4060" w:type="dxa"/>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Opportunities</w:t>
            </w:r>
          </w:p>
        </w:tc>
      </w:tr>
    </w:tbl>
    <w:p w:rsidR="007642C0" w:rsidRPr="000328F5" w:rsidRDefault="000328F5" w:rsidP="000328F5">
      <w:pPr>
        <w:spacing w:line="360" w:lineRule="auto"/>
        <w:rPr>
          <w:rFonts w:asciiTheme="minorHAnsi" w:hAnsiTheme="minorHAnsi" w:cstheme="minorHAnsi"/>
          <w:b/>
          <w:sz w:val="24"/>
          <w:szCs w:val="24"/>
        </w:rPr>
      </w:pPr>
      <w:r w:rsidRPr="000328F5">
        <w:rPr>
          <w:rFonts w:asciiTheme="minorHAnsi" w:hAnsiTheme="minorHAnsi" w:cstheme="minorHAnsi"/>
          <w:b/>
          <w:sz w:val="24"/>
          <w:szCs w:val="24"/>
        </w:rPr>
        <w:t>Tabella1</w:t>
      </w:r>
    </w:p>
    <w:p w:rsidR="00C557B4" w:rsidRPr="000376E5" w:rsidRDefault="00C557B4" w:rsidP="003710BD">
      <w:pPr>
        <w:pStyle w:val="Titolo2"/>
        <w:spacing w:line="360" w:lineRule="auto"/>
        <w:jc w:val="both"/>
        <w:rPr>
          <w:rFonts w:asciiTheme="minorHAnsi" w:hAnsiTheme="minorHAnsi" w:cstheme="minorHAnsi"/>
        </w:rPr>
      </w:pPr>
      <w:bookmarkStart w:id="7" w:name="_Toc338852429"/>
      <w:bookmarkStart w:id="8" w:name="_Toc373916054"/>
      <w:bookmarkStart w:id="9" w:name="_Toc425154125"/>
      <w:r w:rsidRPr="000376E5">
        <w:rPr>
          <w:rFonts w:asciiTheme="minorHAnsi" w:hAnsiTheme="minorHAnsi" w:cstheme="minorHAnsi"/>
        </w:rPr>
        <w:t>LE SERIE STORICHE</w:t>
      </w:r>
      <w:bookmarkEnd w:id="7"/>
      <w:bookmarkEnd w:id="8"/>
      <w:bookmarkEnd w:id="9"/>
    </w:p>
    <w:p w:rsidR="00003A1D" w:rsidRPr="003D2BBB" w:rsidRDefault="00003A1D" w:rsidP="003710BD">
      <w:pPr>
        <w:spacing w:line="360" w:lineRule="auto"/>
        <w:jc w:val="both"/>
        <w:rPr>
          <w:rFonts w:asciiTheme="minorHAnsi" w:hAnsiTheme="minorHAnsi" w:cstheme="minorHAnsi"/>
          <w:sz w:val="24"/>
          <w:szCs w:val="24"/>
        </w:rPr>
      </w:pPr>
      <w:r w:rsidRPr="003D2BBB">
        <w:rPr>
          <w:rFonts w:asciiTheme="minorHAnsi" w:hAnsiTheme="minorHAnsi" w:cstheme="minorHAnsi"/>
          <w:sz w:val="24"/>
          <w:szCs w:val="24"/>
        </w:rPr>
        <w:t>Come step successivo si sono selezionati gli indici di mercato (o benchmark) da associare a ciascuna generica asset class. Questa fase di associazione biunivoca è orientata alla identificazione di benchmark che abbiano serie storiche profonde e che siano in grado di rappresentare efficacemente l’andamento dei mercati finanziari identificati nello step precedente.</w:t>
      </w:r>
      <w:bookmarkStart w:id="10" w:name="OLE_LINK24"/>
      <w:r w:rsidR="00800406">
        <w:rPr>
          <w:rFonts w:asciiTheme="minorHAnsi" w:hAnsiTheme="minorHAnsi" w:cstheme="minorHAnsi"/>
          <w:sz w:val="24"/>
          <w:szCs w:val="24"/>
        </w:rPr>
        <w:t xml:space="preserve"> </w:t>
      </w:r>
      <w:r w:rsidR="003D2BBB" w:rsidRPr="003D2BBB">
        <w:rPr>
          <w:rFonts w:asciiTheme="minorHAnsi" w:hAnsiTheme="minorHAnsi" w:cstheme="minorHAnsi"/>
          <w:sz w:val="24"/>
          <w:szCs w:val="24"/>
        </w:rPr>
        <w:t>Nella Tabella 2 sono riportati i benchmark associati a ciascuna asset class</w:t>
      </w:r>
      <w:r w:rsidR="00064507">
        <w:rPr>
          <w:rFonts w:asciiTheme="minorHAnsi" w:hAnsiTheme="minorHAnsi" w:cstheme="minorHAnsi"/>
          <w:sz w:val="24"/>
          <w:szCs w:val="24"/>
        </w:rPr>
        <w:t>.</w:t>
      </w:r>
    </w:p>
    <w:tbl>
      <w:tblPr>
        <w:tblW w:w="9371" w:type="dxa"/>
        <w:tblInd w:w="55" w:type="dxa"/>
        <w:tblCellMar>
          <w:left w:w="70" w:type="dxa"/>
          <w:right w:w="70" w:type="dxa"/>
        </w:tblCellMar>
        <w:tblLook w:val="04A0" w:firstRow="1" w:lastRow="0" w:firstColumn="1" w:lastColumn="0" w:noHBand="0" w:noVBand="1"/>
      </w:tblPr>
      <w:tblGrid>
        <w:gridCol w:w="2160"/>
        <w:gridCol w:w="3100"/>
        <w:gridCol w:w="1701"/>
        <w:gridCol w:w="992"/>
        <w:gridCol w:w="1418"/>
      </w:tblGrid>
      <w:tr w:rsidR="000328F5" w:rsidRPr="000328F5" w:rsidTr="00322EA3">
        <w:trPr>
          <w:trHeight w:val="1200"/>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lastRenderedPageBreak/>
              <w:t>ASSET CLASS</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BENCHMARK</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TICKER BLOOMBERG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DIVISA DI SCARICO</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CAMBIO UTILIZZATO (TICKER BLOOMBERG)</w:t>
            </w:r>
          </w:p>
        </w:tc>
      </w:tr>
      <w:tr w:rsidR="000328F5" w:rsidRPr="000328F5" w:rsidTr="00322EA3">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bookmarkStart w:id="11" w:name="OLE_LINK1"/>
            <w:bookmarkStart w:id="12" w:name="_Hlk425003376"/>
            <w:r w:rsidRPr="000328F5">
              <w:rPr>
                <w:rFonts w:ascii="Calibri" w:hAnsi="Calibri" w:cs="Calibri"/>
                <w:color w:val="000000"/>
                <w:sz w:val="22"/>
                <w:szCs w:val="22"/>
                <w:lang w:eastAsia="it-IT"/>
              </w:rPr>
              <w:t>Monetario in Euro</w:t>
            </w:r>
            <w:bookmarkEnd w:id="11"/>
          </w:p>
        </w:tc>
        <w:tc>
          <w:tcPr>
            <w:tcW w:w="3100"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bookmarkStart w:id="13" w:name="OLE_LINK25"/>
            <w:r w:rsidRPr="000328F5">
              <w:rPr>
                <w:rFonts w:ascii="Calibri" w:hAnsi="Calibri" w:cs="Calibri"/>
                <w:color w:val="000000"/>
                <w:sz w:val="22"/>
                <w:szCs w:val="22"/>
                <w:lang w:eastAsia="it-IT"/>
              </w:rPr>
              <w:t>Citigroup 3 months</w:t>
            </w:r>
            <w:r w:rsidR="00800406">
              <w:rPr>
                <w:rFonts w:ascii="Calibri" w:hAnsi="Calibri" w:cs="Calibri"/>
                <w:color w:val="000000"/>
                <w:sz w:val="22"/>
                <w:szCs w:val="22"/>
                <w:lang w:eastAsia="it-IT"/>
              </w:rPr>
              <w:t xml:space="preserve"> </w:t>
            </w:r>
            <w:r w:rsidRPr="000328F5">
              <w:rPr>
                <w:rFonts w:ascii="Calibri" w:hAnsi="Calibri" w:cs="Calibri"/>
                <w:color w:val="000000"/>
                <w:sz w:val="22"/>
                <w:szCs w:val="22"/>
                <w:lang w:eastAsia="it-IT"/>
              </w:rPr>
              <w:t>Eurodeposit</w:t>
            </w:r>
            <w:bookmarkEnd w:id="13"/>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328F5" w:rsidRPr="00322EA3" w:rsidRDefault="00F950C8" w:rsidP="00AD3790">
            <w:pPr>
              <w:autoSpaceDE/>
              <w:autoSpaceDN/>
              <w:adjustRightInd/>
              <w:rPr>
                <w:rFonts w:ascii="Calibri" w:hAnsi="Calibri" w:cs="Calibri"/>
                <w:sz w:val="22"/>
                <w:szCs w:val="22"/>
                <w:lang w:eastAsia="it-IT"/>
              </w:rPr>
            </w:pPr>
            <w:r w:rsidRPr="00322EA3">
              <w:rPr>
                <w:rFonts w:ascii="Calibri" w:hAnsi="Calibri" w:cs="Calibri"/>
                <w:sz w:val="22"/>
                <w:szCs w:val="22"/>
                <w:lang w:eastAsia="it-IT"/>
              </w:rPr>
              <w:t>SBWMEU3L</w:t>
            </w:r>
            <w:r w:rsidR="00AD3790">
              <w:rPr>
                <w:rFonts w:ascii="Calibri" w:hAnsi="Calibri" w:cs="Calibri"/>
                <w:sz w:val="22"/>
                <w:szCs w:val="22"/>
                <w:lang w:eastAsia="it-IT"/>
              </w:rPr>
              <w:t xml:space="preserve"> 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bookmarkEnd w:id="12"/>
      <w:tr w:rsidR="000328F5" w:rsidRPr="000328F5" w:rsidTr="00322EA3">
        <w:trPr>
          <w:trHeight w:val="9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in Euro Tutte le Scadenze</w:t>
            </w:r>
          </w:p>
        </w:tc>
        <w:tc>
          <w:tcPr>
            <w:tcW w:w="3100"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Euro Broad market</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328F5" w:rsidRPr="00322EA3" w:rsidRDefault="000328F5" w:rsidP="000328F5">
            <w:pPr>
              <w:autoSpaceDE/>
              <w:autoSpaceDN/>
              <w:adjustRightInd/>
              <w:rPr>
                <w:rFonts w:ascii="Calibri" w:hAnsi="Calibri" w:cs="Calibri"/>
                <w:color w:val="000000"/>
                <w:sz w:val="22"/>
                <w:szCs w:val="22"/>
                <w:lang w:eastAsia="it-IT"/>
              </w:rPr>
            </w:pPr>
            <w:r w:rsidRPr="00322EA3">
              <w:rPr>
                <w:rFonts w:ascii="Calibri" w:hAnsi="Calibri" w:cs="Calibri"/>
                <w:color w:val="000000"/>
                <w:sz w:val="22"/>
                <w:szCs w:val="22"/>
                <w:lang w:eastAsia="it-IT"/>
              </w:rPr>
              <w:t>EMU0 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328F5" w:rsidRPr="000328F5" w:rsidTr="006E22B6">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bookmarkStart w:id="14" w:name="OLE_LINK4"/>
            <w:bookmarkStart w:id="15" w:name="OLE_LINK5"/>
            <w:r w:rsidRPr="000328F5">
              <w:rPr>
                <w:rFonts w:ascii="Calibri" w:hAnsi="Calibri" w:cs="Calibri"/>
                <w:color w:val="000000"/>
                <w:sz w:val="22"/>
                <w:szCs w:val="22"/>
                <w:lang w:eastAsia="it-IT"/>
              </w:rPr>
              <w:t>Obbligazionario in Euro Breve Termine</w:t>
            </w:r>
            <w:bookmarkEnd w:id="14"/>
            <w:bookmarkEnd w:id="15"/>
          </w:p>
        </w:tc>
        <w:tc>
          <w:tcPr>
            <w:tcW w:w="3100"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0328F5" w:rsidRDefault="000328F5"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ML Euro Broad market 1-3 anni</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EMU1 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328F5" w:rsidRPr="000328F5" w:rsidTr="00C5468C">
        <w:trPr>
          <w:trHeight w:val="9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Globale Paesi Sviluppati</w:t>
            </w:r>
          </w:p>
        </w:tc>
        <w:tc>
          <w:tcPr>
            <w:tcW w:w="3100"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Global Broad</w:t>
            </w:r>
          </w:p>
        </w:tc>
        <w:tc>
          <w:tcPr>
            <w:tcW w:w="1701" w:type="dxa"/>
            <w:tcBorders>
              <w:top w:val="nil"/>
              <w:left w:val="nil"/>
              <w:bottom w:val="single" w:sz="4" w:space="0" w:color="auto"/>
              <w:right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328F5" w:rsidRPr="000328F5" w:rsidTr="00C5468C">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Paesi Emergenti</w:t>
            </w:r>
          </w:p>
        </w:tc>
        <w:tc>
          <w:tcPr>
            <w:tcW w:w="3100"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JPM EMBI Global Div. Composite</w:t>
            </w:r>
          </w:p>
        </w:tc>
        <w:tc>
          <w:tcPr>
            <w:tcW w:w="1701" w:type="dxa"/>
            <w:tcBorders>
              <w:top w:val="nil"/>
              <w:left w:val="nil"/>
              <w:bottom w:val="single" w:sz="4" w:space="0" w:color="auto"/>
              <w:right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JPGCCOMP 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800406" w:rsidRDefault="00F950C8" w:rsidP="000328F5">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t>USD</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0328F5" w:rsidRPr="00C5468C" w:rsidRDefault="00352EAD" w:rsidP="00352EAD">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EURUSD ECB curncy</w:t>
            </w:r>
          </w:p>
        </w:tc>
      </w:tr>
      <w:tr w:rsidR="000328F5" w:rsidRPr="000328F5" w:rsidTr="000328F5">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High Yield</w:t>
            </w:r>
          </w:p>
        </w:tc>
        <w:tc>
          <w:tcPr>
            <w:tcW w:w="3100"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Global High Yield</w:t>
            </w:r>
          </w:p>
        </w:tc>
        <w:tc>
          <w:tcPr>
            <w:tcW w:w="1701" w:type="dxa"/>
            <w:tcBorders>
              <w:top w:val="nil"/>
              <w:left w:val="nil"/>
              <w:bottom w:val="single" w:sz="4" w:space="0" w:color="auto"/>
              <w:right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HW00 Index</w:t>
            </w:r>
          </w:p>
        </w:tc>
        <w:tc>
          <w:tcPr>
            <w:tcW w:w="992"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328F5" w:rsidRPr="000328F5" w:rsidTr="000328F5">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Europa</w:t>
            </w:r>
          </w:p>
        </w:tc>
        <w:tc>
          <w:tcPr>
            <w:tcW w:w="3100"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Europe</w:t>
            </w:r>
          </w:p>
        </w:tc>
        <w:tc>
          <w:tcPr>
            <w:tcW w:w="1701" w:type="dxa"/>
            <w:tcBorders>
              <w:top w:val="nil"/>
              <w:left w:val="nil"/>
              <w:bottom w:val="single" w:sz="4" w:space="0" w:color="auto"/>
              <w:right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MSEREURP Index</w:t>
            </w:r>
          </w:p>
        </w:tc>
        <w:tc>
          <w:tcPr>
            <w:tcW w:w="992"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328F5" w:rsidRPr="000328F5" w:rsidTr="000328F5">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Nord America</w:t>
            </w:r>
          </w:p>
        </w:tc>
        <w:tc>
          <w:tcPr>
            <w:tcW w:w="3100"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North America</w:t>
            </w:r>
          </w:p>
        </w:tc>
        <w:tc>
          <w:tcPr>
            <w:tcW w:w="1701" w:type="dxa"/>
            <w:tcBorders>
              <w:top w:val="nil"/>
              <w:left w:val="nil"/>
              <w:bottom w:val="single" w:sz="4" w:space="0" w:color="auto"/>
              <w:right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MSERNA Index</w:t>
            </w:r>
          </w:p>
        </w:tc>
        <w:tc>
          <w:tcPr>
            <w:tcW w:w="992"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328F5" w:rsidRPr="000328F5" w:rsidTr="000328F5">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Pacifico</w:t>
            </w:r>
          </w:p>
        </w:tc>
        <w:tc>
          <w:tcPr>
            <w:tcW w:w="3100"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Pacific</w:t>
            </w:r>
          </w:p>
        </w:tc>
        <w:tc>
          <w:tcPr>
            <w:tcW w:w="1701" w:type="dxa"/>
            <w:tcBorders>
              <w:top w:val="nil"/>
              <w:left w:val="nil"/>
              <w:bottom w:val="single" w:sz="4" w:space="0" w:color="auto"/>
              <w:right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MSERP Index</w:t>
            </w:r>
          </w:p>
        </w:tc>
        <w:tc>
          <w:tcPr>
            <w:tcW w:w="992"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328F5" w:rsidRPr="000328F5" w:rsidTr="006E22B6">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bookmarkStart w:id="16" w:name="_Hlk425003398"/>
            <w:r w:rsidRPr="000328F5">
              <w:rPr>
                <w:rFonts w:ascii="Calibri" w:hAnsi="Calibri" w:cs="Calibri"/>
                <w:color w:val="000000"/>
                <w:sz w:val="22"/>
                <w:szCs w:val="22"/>
                <w:lang w:eastAsia="it-IT"/>
              </w:rPr>
              <w:t>Azionario Paesi Emergenti</w:t>
            </w:r>
          </w:p>
        </w:tc>
        <w:tc>
          <w:tcPr>
            <w:tcW w:w="3100"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Emerging</w:t>
            </w:r>
            <w:r w:rsidR="00800406">
              <w:rPr>
                <w:rFonts w:ascii="Calibri" w:hAnsi="Calibri" w:cs="Calibri"/>
                <w:color w:val="000000"/>
                <w:sz w:val="22"/>
                <w:szCs w:val="22"/>
                <w:lang w:eastAsia="it-IT"/>
              </w:rPr>
              <w:t xml:space="preserve"> </w:t>
            </w:r>
            <w:r w:rsidRPr="000328F5">
              <w:rPr>
                <w:rFonts w:ascii="Calibri" w:hAnsi="Calibri" w:cs="Calibri"/>
                <w:color w:val="000000"/>
                <w:sz w:val="22"/>
                <w:szCs w:val="22"/>
                <w:lang w:eastAsia="it-IT"/>
              </w:rPr>
              <w:t>Markets</w:t>
            </w:r>
          </w:p>
        </w:tc>
        <w:tc>
          <w:tcPr>
            <w:tcW w:w="1701" w:type="dxa"/>
            <w:tcBorders>
              <w:top w:val="nil"/>
              <w:left w:val="nil"/>
              <w:bottom w:val="single" w:sz="4" w:space="0" w:color="auto"/>
              <w:right w:val="single" w:sz="4" w:space="0" w:color="auto"/>
            </w:tcBorders>
            <w:shd w:val="clear" w:color="auto" w:fill="auto"/>
            <w:noWrap/>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M0EF Index</w:t>
            </w:r>
          </w:p>
        </w:tc>
        <w:tc>
          <w:tcPr>
            <w:tcW w:w="992"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328F5" w:rsidRPr="000328F5" w:rsidRDefault="000328F5"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6520F"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bookmarkStart w:id="17" w:name="_Hlk425003412"/>
            <w:bookmarkEnd w:id="16"/>
            <w:r w:rsidRPr="000328F5">
              <w:rPr>
                <w:rFonts w:ascii="Calibri" w:hAnsi="Calibri" w:cs="Calibri"/>
                <w:color w:val="000000"/>
                <w:sz w:val="22"/>
                <w:szCs w:val="22"/>
                <w:lang w:eastAsia="it-IT"/>
              </w:rPr>
              <w:t>Azionario Globale</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World</w:t>
            </w:r>
            <w:bookmarkStart w:id="18" w:name="OLE_LINK36"/>
            <w:r>
              <w:rPr>
                <w:rFonts w:ascii="Calibri" w:hAnsi="Calibri" w:cs="Calibri"/>
                <w:color w:val="000000"/>
                <w:sz w:val="22"/>
                <w:szCs w:val="22"/>
                <w:lang w:eastAsia="it-IT"/>
              </w:rPr>
              <w:t xml:space="preserve"> AC</w:t>
            </w:r>
            <w:bookmarkEnd w:id="18"/>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6520F" w:rsidRPr="00C5468C" w:rsidRDefault="00322EA3" w:rsidP="00AD3790">
            <w:pPr>
              <w:autoSpaceDE/>
              <w:autoSpaceDN/>
              <w:adjustRightInd/>
              <w:rPr>
                <w:rFonts w:ascii="Calibri" w:hAnsi="Calibri" w:cs="Calibri"/>
                <w:sz w:val="22"/>
                <w:szCs w:val="22"/>
                <w:highlight w:val="yellow"/>
                <w:lang w:eastAsia="it-IT"/>
              </w:rPr>
            </w:pPr>
            <w:r w:rsidRPr="00C5468C">
              <w:rPr>
                <w:rFonts w:ascii="Calibri" w:hAnsi="Calibri" w:cs="Calibri"/>
                <w:sz w:val="22"/>
                <w:szCs w:val="22"/>
                <w:lang w:eastAsia="it-IT"/>
              </w:rPr>
              <w:t>M</w:t>
            </w:r>
            <w:r w:rsidR="00AD3790">
              <w:rPr>
                <w:rFonts w:ascii="Calibri" w:hAnsi="Calibri" w:cs="Calibri"/>
                <w:sz w:val="22"/>
                <w:szCs w:val="22"/>
                <w:lang w:eastAsia="it-IT"/>
              </w:rPr>
              <w:t>D</w:t>
            </w:r>
            <w:r w:rsidR="00C5468C" w:rsidRPr="00C5468C">
              <w:rPr>
                <w:rFonts w:ascii="Calibri" w:hAnsi="Calibri" w:cs="Calibri"/>
                <w:sz w:val="22"/>
                <w:szCs w:val="22"/>
                <w:lang w:eastAsia="it-IT"/>
              </w:rPr>
              <w:t>W</w:t>
            </w:r>
            <w:r w:rsidRPr="00C5468C">
              <w:rPr>
                <w:rFonts w:ascii="Calibri" w:hAnsi="Calibri" w:cs="Calibri"/>
                <w:sz w:val="22"/>
                <w:szCs w:val="22"/>
                <w:lang w:eastAsia="it-IT"/>
              </w:rPr>
              <w:t>D</w:t>
            </w:r>
            <w:r w:rsidR="00C5468C" w:rsidRPr="00C5468C">
              <w:rPr>
                <w:rFonts w:ascii="Calibri" w:hAnsi="Calibri" w:cs="Calibri"/>
                <w:sz w:val="22"/>
                <w:szCs w:val="22"/>
                <w:lang w:eastAsia="it-IT"/>
              </w:rPr>
              <w:t xml:space="preserve"> </w:t>
            </w:r>
            <w:r w:rsidR="00AD3790">
              <w:rPr>
                <w:rFonts w:ascii="Calibri" w:hAnsi="Calibri" w:cs="Calibri"/>
                <w:sz w:val="22"/>
                <w:szCs w:val="22"/>
                <w:lang w:eastAsia="it-IT"/>
              </w:rPr>
              <w:t>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C5468C" w:rsidRDefault="0006520F" w:rsidP="002E47C5">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C5468C" w:rsidRDefault="0006520F" w:rsidP="002E47C5">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bookmarkEnd w:id="17"/>
      <w:tr w:rsidR="0006520F" w:rsidRPr="006B7620" w:rsidTr="000328F5">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Flessibile Bassa Volatilità</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xml:space="preserve">60% ML € Broad + 30% ML Gl. Broad + 10% MSCI World </w:t>
            </w:r>
            <w:r w:rsidRPr="00800406">
              <w:rPr>
                <w:rFonts w:ascii="Calibri" w:hAnsi="Calibri" w:cs="Calibri"/>
                <w:color w:val="000000"/>
                <w:sz w:val="22"/>
                <w:szCs w:val="22"/>
                <w:lang w:val="en-US" w:eastAsia="it-IT"/>
              </w:rPr>
              <w:t>AC</w:t>
            </w:r>
          </w:p>
        </w:tc>
        <w:tc>
          <w:tcPr>
            <w:tcW w:w="1701" w:type="dxa"/>
            <w:tcBorders>
              <w:top w:val="nil"/>
              <w:left w:val="nil"/>
              <w:bottom w:val="single" w:sz="4" w:space="0" w:color="auto"/>
              <w:right w:val="single" w:sz="4" w:space="0" w:color="auto"/>
            </w:tcBorders>
            <w:shd w:val="clear" w:color="auto" w:fill="auto"/>
            <w:noWrap/>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992"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1418"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r>
      <w:tr w:rsidR="0006520F" w:rsidRPr="000328F5" w:rsidTr="000328F5">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 Broad</w:t>
            </w:r>
          </w:p>
        </w:tc>
        <w:tc>
          <w:tcPr>
            <w:tcW w:w="1701" w:type="dxa"/>
            <w:tcBorders>
              <w:top w:val="nil"/>
              <w:left w:val="nil"/>
              <w:bottom w:val="single" w:sz="4" w:space="0" w:color="auto"/>
              <w:right w:val="single" w:sz="4" w:space="0" w:color="auto"/>
            </w:tcBorders>
            <w:shd w:val="clear" w:color="auto" w:fill="auto"/>
            <w:noWrap/>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EMU0 Index</w:t>
            </w:r>
          </w:p>
        </w:tc>
        <w:tc>
          <w:tcPr>
            <w:tcW w:w="992"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6520F"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 Broad</w:t>
            </w:r>
          </w:p>
        </w:tc>
        <w:tc>
          <w:tcPr>
            <w:tcW w:w="1701" w:type="dxa"/>
            <w:tcBorders>
              <w:top w:val="nil"/>
              <w:left w:val="nil"/>
              <w:bottom w:val="single" w:sz="4" w:space="0" w:color="auto"/>
              <w:right w:val="single" w:sz="4" w:space="0" w:color="auto"/>
            </w:tcBorders>
            <w:shd w:val="clear" w:color="auto" w:fill="auto"/>
            <w:noWrap/>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92"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C5468C"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bookmarkStart w:id="19" w:name="_Hlk425003486"/>
            <w:r w:rsidRPr="000328F5">
              <w:rPr>
                <w:rFonts w:ascii="Calibri" w:hAnsi="Calibri" w:cs="Calibri"/>
                <w:color w:val="000000"/>
                <w:sz w:val="22"/>
                <w:szCs w:val="22"/>
                <w:lang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xml:space="preserve">MSCI World </w:t>
            </w:r>
            <w:r>
              <w:rPr>
                <w:rFonts w:ascii="Calibri" w:hAnsi="Calibri" w:cs="Calibri"/>
                <w:color w:val="000000"/>
                <w:sz w:val="22"/>
                <w:szCs w:val="22"/>
                <w:lang w:eastAsia="it-IT"/>
              </w:rPr>
              <w:t>AC</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5468C" w:rsidRPr="00C5468C" w:rsidRDefault="00AD3790" w:rsidP="004E01DF">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 xml:space="preserve">MDWD </w:t>
            </w:r>
            <w:r w:rsidR="004E01DF">
              <w:rPr>
                <w:rFonts w:ascii="Calibri" w:hAnsi="Calibri" w:cs="Calibri"/>
                <w:sz w:val="22"/>
                <w:szCs w:val="22"/>
                <w:lang w:eastAsia="it-IT"/>
              </w:rPr>
              <w:t>I</w:t>
            </w:r>
            <w:r>
              <w:rPr>
                <w:rFonts w:ascii="Calibri" w:hAnsi="Calibri" w:cs="Calibri"/>
                <w:sz w:val="22"/>
                <w:szCs w:val="22"/>
                <w:lang w:eastAsia="it-IT"/>
              </w:rPr>
              <w:t>ndex</w:t>
            </w:r>
          </w:p>
        </w:tc>
        <w:tc>
          <w:tcPr>
            <w:tcW w:w="992" w:type="dxa"/>
            <w:tcBorders>
              <w:top w:val="nil"/>
              <w:left w:val="nil"/>
              <w:bottom w:val="single" w:sz="4" w:space="0" w:color="auto"/>
              <w:right w:val="single" w:sz="4" w:space="0" w:color="auto"/>
            </w:tcBorders>
            <w:shd w:val="clear" w:color="auto" w:fill="auto"/>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bookmarkEnd w:id="19"/>
      <w:tr w:rsidR="0006520F" w:rsidRPr="006B7620" w:rsidTr="000328F5">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Flessibile Media Volatilità</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xml:space="preserve">37% ML € Broad + 31% ML Gl. Broad + 32% MSCI World </w:t>
            </w:r>
            <w:r w:rsidRPr="00800406">
              <w:rPr>
                <w:rFonts w:ascii="Calibri" w:hAnsi="Calibri" w:cs="Calibri"/>
                <w:color w:val="000000"/>
                <w:sz w:val="22"/>
                <w:szCs w:val="22"/>
                <w:lang w:val="en-US" w:eastAsia="it-IT"/>
              </w:rPr>
              <w:t>AC</w:t>
            </w:r>
          </w:p>
        </w:tc>
        <w:tc>
          <w:tcPr>
            <w:tcW w:w="1701" w:type="dxa"/>
            <w:tcBorders>
              <w:top w:val="nil"/>
              <w:left w:val="nil"/>
              <w:bottom w:val="single" w:sz="4" w:space="0" w:color="auto"/>
              <w:right w:val="single" w:sz="4" w:space="0" w:color="auto"/>
            </w:tcBorders>
            <w:shd w:val="clear" w:color="auto" w:fill="auto"/>
            <w:noWrap/>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992"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1418"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r>
      <w:tr w:rsidR="0006520F" w:rsidRPr="000328F5" w:rsidTr="000328F5">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 Broad</w:t>
            </w:r>
          </w:p>
        </w:tc>
        <w:tc>
          <w:tcPr>
            <w:tcW w:w="1701" w:type="dxa"/>
            <w:tcBorders>
              <w:top w:val="nil"/>
              <w:left w:val="nil"/>
              <w:bottom w:val="single" w:sz="4" w:space="0" w:color="auto"/>
              <w:right w:val="single" w:sz="4" w:space="0" w:color="auto"/>
            </w:tcBorders>
            <w:shd w:val="clear" w:color="auto" w:fill="auto"/>
            <w:noWrap/>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EMU0 Index</w:t>
            </w:r>
          </w:p>
        </w:tc>
        <w:tc>
          <w:tcPr>
            <w:tcW w:w="992"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6520F"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 Broad</w:t>
            </w:r>
          </w:p>
        </w:tc>
        <w:tc>
          <w:tcPr>
            <w:tcW w:w="1701" w:type="dxa"/>
            <w:tcBorders>
              <w:top w:val="nil"/>
              <w:left w:val="nil"/>
              <w:bottom w:val="single" w:sz="4" w:space="0" w:color="auto"/>
              <w:right w:val="single" w:sz="4" w:space="0" w:color="auto"/>
            </w:tcBorders>
            <w:shd w:val="clear" w:color="auto" w:fill="auto"/>
            <w:noWrap/>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92"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C5468C"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xml:space="preserve">MSCI World </w:t>
            </w:r>
            <w:r>
              <w:rPr>
                <w:rFonts w:ascii="Calibri" w:hAnsi="Calibri" w:cs="Calibri"/>
                <w:color w:val="000000"/>
                <w:sz w:val="22"/>
                <w:szCs w:val="22"/>
                <w:lang w:eastAsia="it-IT"/>
              </w:rPr>
              <w:t>AC</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5468C" w:rsidRPr="00C5468C" w:rsidRDefault="00AD3790" w:rsidP="004E01DF">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 xml:space="preserve">MDWD </w:t>
            </w:r>
            <w:r w:rsidR="004E01DF">
              <w:rPr>
                <w:rFonts w:ascii="Calibri" w:hAnsi="Calibri" w:cs="Calibri"/>
                <w:sz w:val="22"/>
                <w:szCs w:val="22"/>
                <w:lang w:eastAsia="it-IT"/>
              </w:rPr>
              <w:t>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tr w:rsidR="0006520F" w:rsidRPr="006B7620" w:rsidTr="006E22B6">
        <w:trPr>
          <w:trHeight w:val="6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Flessibile Alta Volatilità</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xml:space="preserve">8% ML € Broad + 35% ML Gl. Broad + 37% MSCI World </w:t>
            </w:r>
            <w:r w:rsidRPr="00800406">
              <w:rPr>
                <w:rFonts w:ascii="Calibri" w:hAnsi="Calibri" w:cs="Calibri"/>
                <w:color w:val="000000"/>
                <w:sz w:val="22"/>
                <w:szCs w:val="22"/>
                <w:lang w:val="en-US" w:eastAsia="it-IT"/>
              </w:rPr>
              <w:t>AC</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r>
      <w:tr w:rsidR="0006520F"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 Broad</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EMU0 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06520F"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xml:space="preserve">ML Gl. Broad </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C5468C"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xml:space="preserve">MSCI World </w:t>
            </w:r>
            <w:r>
              <w:rPr>
                <w:rFonts w:ascii="Calibri" w:hAnsi="Calibri" w:cs="Calibri"/>
                <w:color w:val="000000"/>
                <w:sz w:val="22"/>
                <w:szCs w:val="22"/>
                <w:lang w:eastAsia="it-IT"/>
              </w:rPr>
              <w:t>AC</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5468C" w:rsidRPr="00C5468C" w:rsidRDefault="00AD3790" w:rsidP="00AD3790">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tr w:rsidR="0006520F" w:rsidRPr="006B7620" w:rsidTr="00C5468C">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Opportunities</w:t>
            </w:r>
          </w:p>
        </w:tc>
        <w:tc>
          <w:tcPr>
            <w:tcW w:w="3100" w:type="dxa"/>
            <w:tcBorders>
              <w:top w:val="nil"/>
              <w:left w:val="nil"/>
              <w:bottom w:val="single" w:sz="4" w:space="0" w:color="auto"/>
              <w:right w:val="single" w:sz="4" w:space="0" w:color="auto"/>
            </w:tcBorders>
            <w:shd w:val="clear" w:color="auto" w:fill="auto"/>
            <w:vAlign w:val="center"/>
            <w:hideMark/>
          </w:tcPr>
          <w:p w:rsidR="0006520F" w:rsidRPr="0006520F" w:rsidRDefault="0006520F" w:rsidP="000328F5">
            <w:pPr>
              <w:autoSpaceDE/>
              <w:autoSpaceDN/>
              <w:adjustRightInd/>
              <w:rPr>
                <w:rFonts w:ascii="Calibri" w:hAnsi="Calibri" w:cs="Calibri"/>
                <w:color w:val="000000"/>
                <w:sz w:val="22"/>
                <w:szCs w:val="22"/>
                <w:lang w:val="en-US" w:eastAsia="it-IT"/>
              </w:rPr>
            </w:pPr>
            <w:r w:rsidRPr="0006520F">
              <w:rPr>
                <w:rFonts w:ascii="Calibri" w:hAnsi="Calibri" w:cs="Calibri"/>
                <w:color w:val="000000"/>
                <w:sz w:val="22"/>
                <w:szCs w:val="22"/>
                <w:lang w:val="en-US" w:eastAsia="it-IT"/>
              </w:rPr>
              <w:t>50% CRB Index - 50% MSCI World AC</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6520F" w:rsidRPr="0006520F" w:rsidRDefault="0006520F" w:rsidP="000328F5">
            <w:pPr>
              <w:autoSpaceDE/>
              <w:autoSpaceDN/>
              <w:adjustRightInd/>
              <w:rPr>
                <w:rFonts w:ascii="Calibri" w:hAnsi="Calibri" w:cs="Calibri"/>
                <w:color w:val="000000"/>
                <w:sz w:val="22"/>
                <w:szCs w:val="22"/>
                <w:lang w:val="en-US" w:eastAsia="it-IT"/>
              </w:rPr>
            </w:pPr>
            <w:r w:rsidRPr="0006520F">
              <w:rPr>
                <w:rFonts w:ascii="Calibri" w:hAnsi="Calibri" w:cs="Calibri"/>
                <w:color w:val="000000"/>
                <w:sz w:val="22"/>
                <w:szCs w:val="22"/>
                <w:lang w:val="en-US" w:eastAsia="it-IT"/>
              </w:rPr>
              <w:t> </w:t>
            </w:r>
          </w:p>
        </w:tc>
        <w:tc>
          <w:tcPr>
            <w:tcW w:w="992"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6520F" w:rsidRDefault="0006520F" w:rsidP="000328F5">
            <w:pPr>
              <w:autoSpaceDE/>
              <w:autoSpaceDN/>
              <w:adjustRightInd/>
              <w:rPr>
                <w:rFonts w:ascii="Calibri" w:hAnsi="Calibri" w:cs="Calibri"/>
                <w:color w:val="000000"/>
                <w:sz w:val="22"/>
                <w:szCs w:val="22"/>
                <w:lang w:val="en-US" w:eastAsia="it-IT"/>
              </w:rPr>
            </w:pPr>
            <w:r w:rsidRPr="0006520F">
              <w:rPr>
                <w:rFonts w:ascii="Calibri" w:hAnsi="Calibri" w:cs="Calibri"/>
                <w:color w:val="000000"/>
                <w:sz w:val="22"/>
                <w:szCs w:val="22"/>
                <w:lang w:val="en-US" w:eastAsia="it-IT"/>
              </w:rPr>
              <w:t> </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6520F" w:rsidRDefault="0006520F" w:rsidP="000328F5">
            <w:pPr>
              <w:autoSpaceDE/>
              <w:autoSpaceDN/>
              <w:adjustRightInd/>
              <w:rPr>
                <w:rFonts w:ascii="Calibri" w:hAnsi="Calibri" w:cs="Calibri"/>
                <w:color w:val="000000"/>
                <w:sz w:val="22"/>
                <w:szCs w:val="22"/>
                <w:lang w:val="en-US" w:eastAsia="it-IT"/>
              </w:rPr>
            </w:pPr>
            <w:r w:rsidRPr="0006520F">
              <w:rPr>
                <w:rFonts w:ascii="Calibri" w:hAnsi="Calibri" w:cs="Calibri"/>
                <w:color w:val="000000"/>
                <w:sz w:val="22"/>
                <w:szCs w:val="22"/>
                <w:lang w:val="en-US" w:eastAsia="it-IT"/>
              </w:rPr>
              <w:t> </w:t>
            </w:r>
          </w:p>
        </w:tc>
      </w:tr>
      <w:tr w:rsidR="0006520F" w:rsidRPr="000328F5" w:rsidTr="00C5468C">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06520F" w:rsidRPr="0006520F" w:rsidRDefault="0006520F" w:rsidP="000328F5">
            <w:pPr>
              <w:autoSpaceDE/>
              <w:autoSpaceDN/>
              <w:adjustRightInd/>
              <w:rPr>
                <w:rFonts w:ascii="Calibri" w:hAnsi="Calibri" w:cs="Calibri"/>
                <w:color w:val="000000"/>
                <w:sz w:val="22"/>
                <w:szCs w:val="22"/>
                <w:lang w:val="en-US" w:eastAsia="it-IT"/>
              </w:rPr>
            </w:pPr>
            <w:r w:rsidRPr="0006520F">
              <w:rPr>
                <w:rFonts w:ascii="Calibri" w:hAnsi="Calibri" w:cs="Calibri"/>
                <w:color w:val="000000"/>
                <w:sz w:val="22"/>
                <w:szCs w:val="22"/>
                <w:lang w:val="en-US"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CRB Index</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6520F" w:rsidRPr="000328F5" w:rsidRDefault="0006520F" w:rsidP="0061336D">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CR</w:t>
            </w:r>
            <w:r>
              <w:rPr>
                <w:rFonts w:ascii="Calibri" w:hAnsi="Calibri" w:cs="Calibri"/>
                <w:color w:val="000000"/>
                <w:sz w:val="22"/>
                <w:szCs w:val="22"/>
                <w:lang w:eastAsia="it-IT"/>
              </w:rPr>
              <w:t>Y</w:t>
            </w:r>
            <w:r w:rsidRPr="000328F5">
              <w:rPr>
                <w:rFonts w:ascii="Calibri" w:hAnsi="Calibri" w:cs="Calibri"/>
                <w:color w:val="000000"/>
                <w:sz w:val="22"/>
                <w:szCs w:val="22"/>
                <w:lang w:eastAsia="it-IT"/>
              </w:rPr>
              <w:t xml:space="preserve"> Index</w:t>
            </w:r>
          </w:p>
        </w:tc>
        <w:tc>
          <w:tcPr>
            <w:tcW w:w="992"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0328F5">
            <w:pPr>
              <w:autoSpaceDE/>
              <w:autoSpaceDN/>
              <w:adjustRightInd/>
              <w:rPr>
                <w:rFonts w:ascii="Calibri" w:hAnsi="Calibri" w:cs="Calibri"/>
                <w:sz w:val="22"/>
                <w:szCs w:val="22"/>
                <w:lang w:eastAsia="it-IT"/>
              </w:rPr>
            </w:pPr>
            <w:r w:rsidRPr="000328F5">
              <w:rPr>
                <w:rFonts w:ascii="Calibri" w:hAnsi="Calibri" w:cs="Calibri"/>
                <w:sz w:val="22"/>
                <w:szCs w:val="22"/>
                <w:lang w:eastAsia="it-IT"/>
              </w:rPr>
              <w:t>USD</w:t>
            </w:r>
          </w:p>
        </w:tc>
        <w:tc>
          <w:tcPr>
            <w:tcW w:w="1418" w:type="dxa"/>
            <w:tcBorders>
              <w:top w:val="single" w:sz="4" w:space="0" w:color="auto"/>
              <w:left w:val="nil"/>
              <w:bottom w:val="single" w:sz="4" w:space="0" w:color="auto"/>
              <w:right w:val="single" w:sz="4" w:space="0" w:color="auto"/>
            </w:tcBorders>
            <w:shd w:val="clear" w:color="auto" w:fill="FFFFFF" w:themeFill="background1"/>
            <w:vAlign w:val="center"/>
            <w:hideMark/>
          </w:tcPr>
          <w:p w:rsidR="0006520F" w:rsidRPr="000328F5" w:rsidRDefault="00C5468C" w:rsidP="000328F5">
            <w:pPr>
              <w:autoSpaceDE/>
              <w:autoSpaceDN/>
              <w:adjustRightInd/>
              <w:rPr>
                <w:rFonts w:ascii="Calibri" w:hAnsi="Calibri" w:cs="Calibri"/>
                <w:color w:val="000000"/>
                <w:sz w:val="22"/>
                <w:szCs w:val="22"/>
                <w:lang w:eastAsia="it-IT"/>
              </w:rPr>
            </w:pPr>
            <w:r w:rsidRPr="00C5468C">
              <w:rPr>
                <w:rFonts w:ascii="Calibri" w:hAnsi="Calibri" w:cs="Calibri"/>
                <w:sz w:val="22"/>
                <w:szCs w:val="22"/>
                <w:lang w:eastAsia="it-IT"/>
              </w:rPr>
              <w:t>EURUSD ECB curncy</w:t>
            </w:r>
          </w:p>
        </w:tc>
      </w:tr>
      <w:tr w:rsidR="00C5468C" w:rsidRPr="000328F5" w:rsidTr="006E22B6">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3100" w:type="dxa"/>
            <w:tcBorders>
              <w:top w:val="nil"/>
              <w:left w:val="nil"/>
              <w:bottom w:val="single" w:sz="4" w:space="0" w:color="auto"/>
              <w:right w:val="single" w:sz="4" w:space="0" w:color="auto"/>
            </w:tcBorders>
            <w:shd w:val="clear" w:color="auto" w:fill="auto"/>
            <w:vAlign w:val="center"/>
            <w:hideMark/>
          </w:tcPr>
          <w:p w:rsidR="00C5468C" w:rsidRPr="000328F5" w:rsidRDefault="00C5468C" w:rsidP="000328F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World</w:t>
            </w:r>
            <w:r>
              <w:rPr>
                <w:rFonts w:ascii="Calibri" w:hAnsi="Calibri" w:cs="Calibri"/>
                <w:color w:val="000000"/>
                <w:sz w:val="22"/>
                <w:szCs w:val="22"/>
                <w:lang w:eastAsia="it-IT"/>
              </w:rPr>
              <w:t xml:space="preserve"> AC</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5468C" w:rsidRPr="00C5468C" w:rsidRDefault="00AD3790" w:rsidP="00AD3790">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92" w:type="dxa"/>
            <w:tcBorders>
              <w:top w:val="nil"/>
              <w:left w:val="nil"/>
              <w:bottom w:val="single" w:sz="4" w:space="0" w:color="auto"/>
              <w:right w:val="single" w:sz="4" w:space="0" w:color="auto"/>
            </w:tcBorders>
            <w:shd w:val="clear" w:color="auto" w:fill="auto"/>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8" w:type="dxa"/>
            <w:tcBorders>
              <w:top w:val="nil"/>
              <w:left w:val="nil"/>
              <w:bottom w:val="single" w:sz="4" w:space="0" w:color="auto"/>
              <w:right w:val="single" w:sz="4" w:space="0" w:color="auto"/>
            </w:tcBorders>
            <w:shd w:val="clear" w:color="auto" w:fill="auto"/>
            <w:vAlign w:val="center"/>
            <w:hideMark/>
          </w:tcPr>
          <w:p w:rsidR="00C5468C" w:rsidRPr="00C5468C" w:rsidRDefault="00C5468C" w:rsidP="00C5468C">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tbl>
    <w:p w:rsidR="00003A1D" w:rsidRPr="00064507" w:rsidRDefault="00064507" w:rsidP="003710BD">
      <w:pPr>
        <w:spacing w:line="360" w:lineRule="auto"/>
        <w:jc w:val="both"/>
        <w:rPr>
          <w:rFonts w:asciiTheme="minorHAnsi" w:hAnsiTheme="minorHAnsi" w:cstheme="minorHAnsi"/>
          <w:b/>
          <w:sz w:val="24"/>
          <w:szCs w:val="24"/>
        </w:rPr>
      </w:pPr>
      <w:r w:rsidRPr="00064507">
        <w:rPr>
          <w:rFonts w:asciiTheme="minorHAnsi" w:hAnsiTheme="minorHAnsi" w:cstheme="minorHAnsi"/>
          <w:b/>
          <w:sz w:val="24"/>
          <w:szCs w:val="24"/>
        </w:rPr>
        <w:t>Tabella 2</w:t>
      </w:r>
    </w:p>
    <w:bookmarkEnd w:id="10"/>
    <w:p w:rsidR="00C557B4" w:rsidRPr="003D2BBB" w:rsidRDefault="003D2BBB"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Ai fini della stima dei parametri di input per la costruzione dei portafogli modello, l</w:t>
      </w:r>
      <w:r w:rsidR="00C557B4" w:rsidRPr="003D2BBB">
        <w:rPr>
          <w:rFonts w:asciiTheme="minorHAnsi" w:hAnsiTheme="minorHAnsi" w:cstheme="minorHAnsi"/>
          <w:sz w:val="24"/>
          <w:szCs w:val="24"/>
        </w:rPr>
        <w:t>e serie storiche</w:t>
      </w:r>
      <w:r>
        <w:rPr>
          <w:rFonts w:asciiTheme="minorHAnsi" w:hAnsiTheme="minorHAnsi" w:cstheme="minorHAnsi"/>
          <w:sz w:val="24"/>
          <w:szCs w:val="24"/>
        </w:rPr>
        <w:t xml:space="preserve"> dei </w:t>
      </w:r>
      <w:r w:rsidR="00B44CE2">
        <w:rPr>
          <w:rFonts w:asciiTheme="minorHAnsi" w:hAnsiTheme="minorHAnsi" w:cstheme="minorHAnsi"/>
          <w:sz w:val="24"/>
          <w:szCs w:val="24"/>
        </w:rPr>
        <w:t xml:space="preserve">benchmark </w:t>
      </w:r>
      <w:r w:rsidR="00C557B4" w:rsidRPr="003D2BBB">
        <w:rPr>
          <w:rFonts w:asciiTheme="minorHAnsi" w:hAnsiTheme="minorHAnsi" w:cstheme="minorHAnsi"/>
          <w:sz w:val="24"/>
          <w:szCs w:val="24"/>
        </w:rPr>
        <w:t xml:space="preserve">vengono rilevate con frequenza </w:t>
      </w:r>
      <w:r>
        <w:rPr>
          <w:rFonts w:asciiTheme="minorHAnsi" w:hAnsiTheme="minorHAnsi" w:cstheme="minorHAnsi"/>
          <w:sz w:val="24"/>
          <w:szCs w:val="24"/>
        </w:rPr>
        <w:t>mensile</w:t>
      </w:r>
      <w:r w:rsidR="00C557B4" w:rsidRPr="003D2BBB">
        <w:rPr>
          <w:rFonts w:asciiTheme="minorHAnsi" w:hAnsiTheme="minorHAnsi" w:cstheme="minorHAnsi"/>
          <w:sz w:val="24"/>
          <w:szCs w:val="24"/>
        </w:rPr>
        <w:t xml:space="preserve"> con fonte dati </w:t>
      </w:r>
      <w:r>
        <w:rPr>
          <w:rFonts w:asciiTheme="minorHAnsi" w:hAnsiTheme="minorHAnsi" w:cstheme="minorHAnsi"/>
          <w:sz w:val="24"/>
          <w:szCs w:val="24"/>
        </w:rPr>
        <w:t>Bloomberg.</w:t>
      </w:r>
    </w:p>
    <w:p w:rsidR="00C557B4" w:rsidRPr="003D2BBB" w:rsidRDefault="00C557B4" w:rsidP="003710BD">
      <w:pPr>
        <w:spacing w:line="360" w:lineRule="auto"/>
        <w:jc w:val="both"/>
        <w:rPr>
          <w:rFonts w:asciiTheme="minorHAnsi" w:hAnsiTheme="minorHAnsi" w:cstheme="minorHAnsi"/>
          <w:sz w:val="24"/>
          <w:szCs w:val="24"/>
        </w:rPr>
      </w:pPr>
      <w:r w:rsidRPr="003D2BBB">
        <w:rPr>
          <w:rFonts w:asciiTheme="minorHAnsi" w:hAnsiTheme="minorHAnsi" w:cstheme="minorHAnsi"/>
          <w:sz w:val="24"/>
          <w:szCs w:val="24"/>
        </w:rPr>
        <w:t>Ogni serie storica</w:t>
      </w:r>
      <w:r w:rsidR="003D2BBB">
        <w:rPr>
          <w:rFonts w:asciiTheme="minorHAnsi" w:hAnsiTheme="minorHAnsi" w:cstheme="minorHAnsi"/>
          <w:sz w:val="24"/>
          <w:szCs w:val="24"/>
        </w:rPr>
        <w:t xml:space="preserve"> degli indici</w:t>
      </w:r>
      <w:r w:rsidRPr="003D2BBB">
        <w:rPr>
          <w:rFonts w:asciiTheme="minorHAnsi" w:hAnsiTheme="minorHAnsi" w:cstheme="minorHAnsi"/>
          <w:sz w:val="24"/>
          <w:szCs w:val="24"/>
        </w:rPr>
        <w:t xml:space="preserve"> rappresentativ</w:t>
      </w:r>
      <w:r w:rsidR="003D2BBB">
        <w:rPr>
          <w:rFonts w:asciiTheme="minorHAnsi" w:hAnsiTheme="minorHAnsi" w:cstheme="minorHAnsi"/>
          <w:sz w:val="24"/>
          <w:szCs w:val="24"/>
        </w:rPr>
        <w:t>i</w:t>
      </w:r>
      <w:r w:rsidRPr="003D2BBB">
        <w:rPr>
          <w:rFonts w:asciiTheme="minorHAnsi" w:hAnsiTheme="minorHAnsi" w:cstheme="minorHAnsi"/>
          <w:sz w:val="24"/>
          <w:szCs w:val="24"/>
        </w:rPr>
        <w:t xml:space="preserve"> delle asset class</w:t>
      </w:r>
      <w:r w:rsidR="003D2BBB">
        <w:rPr>
          <w:rFonts w:asciiTheme="minorHAnsi" w:hAnsiTheme="minorHAnsi" w:cstheme="minorHAnsi"/>
          <w:sz w:val="24"/>
          <w:szCs w:val="24"/>
        </w:rPr>
        <w:t>, se non originariamente in Euro, è stata convertita in Euro</w:t>
      </w:r>
      <w:r w:rsidRPr="003D2BBB">
        <w:rPr>
          <w:rFonts w:asciiTheme="minorHAnsi" w:hAnsiTheme="minorHAnsi" w:cstheme="minorHAnsi"/>
          <w:sz w:val="24"/>
          <w:szCs w:val="24"/>
        </w:rPr>
        <w:t xml:space="preserve"> utilizzando il cambio</w:t>
      </w:r>
      <w:r w:rsidR="003D2BBB">
        <w:rPr>
          <w:rFonts w:asciiTheme="minorHAnsi" w:hAnsiTheme="minorHAnsi" w:cstheme="minorHAnsi"/>
          <w:sz w:val="24"/>
          <w:szCs w:val="24"/>
        </w:rPr>
        <w:t xml:space="preserve"> Euro/$stimato dalla Banca Centrale Europea</w:t>
      </w:r>
      <w:r w:rsidR="008D48E1">
        <w:rPr>
          <w:rFonts w:asciiTheme="minorHAnsi" w:hAnsiTheme="minorHAnsi" w:cstheme="minorHAnsi"/>
          <w:sz w:val="24"/>
          <w:szCs w:val="24"/>
        </w:rPr>
        <w:t xml:space="preserve"> </w:t>
      </w:r>
      <w:r w:rsidR="003D2BBB">
        <w:rPr>
          <w:rFonts w:asciiTheme="minorHAnsi" w:hAnsiTheme="minorHAnsi" w:cstheme="minorHAnsi"/>
          <w:sz w:val="24"/>
          <w:szCs w:val="24"/>
        </w:rPr>
        <w:t>(</w:t>
      </w:r>
      <w:r w:rsidRPr="003D2BBB">
        <w:rPr>
          <w:rFonts w:asciiTheme="minorHAnsi" w:hAnsiTheme="minorHAnsi" w:cstheme="minorHAnsi"/>
          <w:sz w:val="24"/>
          <w:szCs w:val="24"/>
        </w:rPr>
        <w:t xml:space="preserve">rilevato </w:t>
      </w:r>
      <w:r w:rsidR="003D2BBB">
        <w:rPr>
          <w:rFonts w:asciiTheme="minorHAnsi" w:hAnsiTheme="minorHAnsi" w:cstheme="minorHAnsi"/>
          <w:sz w:val="24"/>
          <w:szCs w:val="24"/>
        </w:rPr>
        <w:t xml:space="preserve">a fine mese) </w:t>
      </w:r>
      <w:r w:rsidRPr="003D2BBB">
        <w:rPr>
          <w:rFonts w:asciiTheme="minorHAnsi" w:hAnsiTheme="minorHAnsi" w:cstheme="minorHAnsi"/>
          <w:sz w:val="24"/>
          <w:szCs w:val="24"/>
        </w:rPr>
        <w:t xml:space="preserve">con fonte dati </w:t>
      </w:r>
      <w:r w:rsidR="003D2BBB">
        <w:rPr>
          <w:rFonts w:asciiTheme="minorHAnsi" w:hAnsiTheme="minorHAnsi" w:cstheme="minorHAnsi"/>
          <w:sz w:val="24"/>
          <w:szCs w:val="24"/>
        </w:rPr>
        <w:t>Bloomberg.</w:t>
      </w:r>
    </w:p>
    <w:p w:rsidR="00C557B4" w:rsidRDefault="00C557B4" w:rsidP="003710BD">
      <w:pPr>
        <w:spacing w:line="360" w:lineRule="auto"/>
        <w:jc w:val="both"/>
        <w:rPr>
          <w:rFonts w:asciiTheme="minorHAnsi" w:hAnsiTheme="minorHAnsi" w:cstheme="minorHAnsi"/>
          <w:sz w:val="22"/>
        </w:rPr>
      </w:pPr>
    </w:p>
    <w:p w:rsidR="00003A1D" w:rsidRPr="000376E5" w:rsidRDefault="009B6BA5" w:rsidP="003710BD">
      <w:pPr>
        <w:pStyle w:val="Titolo2"/>
        <w:spacing w:line="360" w:lineRule="auto"/>
        <w:jc w:val="both"/>
        <w:rPr>
          <w:rFonts w:asciiTheme="minorHAnsi" w:hAnsiTheme="minorHAnsi" w:cstheme="minorHAnsi"/>
        </w:rPr>
      </w:pPr>
      <w:bookmarkStart w:id="20" w:name="_STIMA_DELLE_MISURE"/>
      <w:bookmarkStart w:id="21" w:name="_Toc425154126"/>
      <w:bookmarkEnd w:id="20"/>
      <w:r>
        <w:rPr>
          <w:rFonts w:asciiTheme="minorHAnsi" w:hAnsiTheme="minorHAnsi" w:cstheme="minorHAnsi"/>
        </w:rPr>
        <w:t xml:space="preserve">LA </w:t>
      </w:r>
      <w:r w:rsidR="0085351E" w:rsidRPr="000376E5">
        <w:rPr>
          <w:rFonts w:asciiTheme="minorHAnsi" w:hAnsiTheme="minorHAnsi" w:cstheme="minorHAnsi"/>
        </w:rPr>
        <w:t>STIMA DELLE MISURE DI DEVIAZIONE STANDARD E CORRELAZIONE ATTESE</w:t>
      </w:r>
      <w:bookmarkEnd w:id="21"/>
    </w:p>
    <w:p w:rsidR="001F494F" w:rsidRPr="00027B71" w:rsidRDefault="00003A1D" w:rsidP="003710BD">
      <w:pPr>
        <w:spacing w:line="360" w:lineRule="auto"/>
        <w:jc w:val="both"/>
        <w:rPr>
          <w:rFonts w:asciiTheme="minorHAnsi" w:eastAsiaTheme="minorHAnsi" w:hAnsiTheme="minorHAnsi" w:cstheme="minorHAnsi"/>
          <w:color w:val="000000"/>
          <w:sz w:val="24"/>
          <w:szCs w:val="24"/>
        </w:rPr>
      </w:pPr>
      <w:r w:rsidRPr="00027B71">
        <w:rPr>
          <w:rFonts w:asciiTheme="minorHAnsi" w:eastAsiaTheme="minorHAnsi" w:hAnsiTheme="minorHAnsi" w:cstheme="minorHAnsi"/>
          <w:color w:val="000000"/>
          <w:sz w:val="24"/>
          <w:szCs w:val="24"/>
        </w:rPr>
        <w:t>Ai fini della stima delle deviazioni standard e delle correlazioni tra i rendimenti delle asset class, per favorire un approccio prudenziale</w:t>
      </w:r>
      <w:r w:rsidR="002A76FD">
        <w:rPr>
          <w:rFonts w:asciiTheme="minorHAnsi" w:eastAsiaTheme="minorHAnsi" w:hAnsiTheme="minorHAnsi" w:cstheme="minorHAnsi"/>
          <w:color w:val="000000"/>
          <w:sz w:val="24"/>
          <w:szCs w:val="24"/>
        </w:rPr>
        <w:t>,</w:t>
      </w:r>
      <w:r w:rsidRPr="00027B71">
        <w:rPr>
          <w:rFonts w:asciiTheme="minorHAnsi" w:eastAsiaTheme="minorHAnsi" w:hAnsiTheme="minorHAnsi" w:cstheme="minorHAnsi"/>
          <w:color w:val="000000"/>
          <w:sz w:val="24"/>
          <w:szCs w:val="24"/>
        </w:rPr>
        <w:t xml:space="preserve"> tra le diverse metodologie implementabili si è deciso di </w:t>
      </w:r>
      <w:r w:rsidR="002A76FD">
        <w:rPr>
          <w:rFonts w:asciiTheme="minorHAnsi" w:eastAsiaTheme="minorHAnsi" w:hAnsiTheme="minorHAnsi" w:cstheme="minorHAnsi"/>
          <w:color w:val="000000"/>
          <w:sz w:val="24"/>
          <w:szCs w:val="24"/>
        </w:rPr>
        <w:t>ricorrere ad</w:t>
      </w:r>
      <w:r w:rsidRPr="00027B71">
        <w:rPr>
          <w:rFonts w:asciiTheme="minorHAnsi" w:eastAsiaTheme="minorHAnsi" w:hAnsiTheme="minorHAnsi" w:cstheme="minorHAnsi"/>
          <w:color w:val="000000"/>
          <w:sz w:val="24"/>
          <w:szCs w:val="24"/>
        </w:rPr>
        <w:t xml:space="preserve"> un approccio storico senza logiche esponenziali, utilizzando un campione di osservazioni storiche di ampiezza 17 anni e due mesi (tutta la profondità storica disponibile per </w:t>
      </w:r>
      <w:r w:rsidR="002A76FD">
        <w:rPr>
          <w:rFonts w:asciiTheme="minorHAnsi" w:eastAsiaTheme="minorHAnsi" w:hAnsiTheme="minorHAnsi" w:cstheme="minorHAnsi"/>
          <w:color w:val="000000"/>
          <w:sz w:val="24"/>
          <w:szCs w:val="24"/>
        </w:rPr>
        <w:t>la</w:t>
      </w:r>
      <w:r w:rsidR="00800406">
        <w:rPr>
          <w:rFonts w:asciiTheme="minorHAnsi" w:eastAsiaTheme="minorHAnsi" w:hAnsiTheme="minorHAnsi" w:cstheme="minorHAnsi"/>
          <w:color w:val="000000"/>
          <w:sz w:val="24"/>
          <w:szCs w:val="24"/>
        </w:rPr>
        <w:t xml:space="preserve"> </w:t>
      </w:r>
      <w:r w:rsidR="002A76FD">
        <w:rPr>
          <w:rFonts w:asciiTheme="minorHAnsi" w:eastAsiaTheme="minorHAnsi" w:hAnsiTheme="minorHAnsi" w:cstheme="minorHAnsi"/>
          <w:color w:val="000000"/>
          <w:sz w:val="24"/>
          <w:szCs w:val="24"/>
        </w:rPr>
        <w:t>totalità</w:t>
      </w:r>
      <w:r w:rsidR="00800406">
        <w:rPr>
          <w:rFonts w:asciiTheme="minorHAnsi" w:eastAsiaTheme="minorHAnsi" w:hAnsiTheme="minorHAnsi" w:cstheme="minorHAnsi"/>
          <w:color w:val="000000"/>
          <w:sz w:val="24"/>
          <w:szCs w:val="24"/>
        </w:rPr>
        <w:t xml:space="preserve"> </w:t>
      </w:r>
      <w:r w:rsidR="002A76FD">
        <w:rPr>
          <w:rFonts w:asciiTheme="minorHAnsi" w:eastAsiaTheme="minorHAnsi" w:hAnsiTheme="minorHAnsi" w:cstheme="minorHAnsi"/>
          <w:color w:val="000000"/>
          <w:sz w:val="24"/>
          <w:szCs w:val="24"/>
        </w:rPr>
        <w:t>de</w:t>
      </w:r>
      <w:r w:rsidRPr="00027B71">
        <w:rPr>
          <w:rFonts w:asciiTheme="minorHAnsi" w:eastAsiaTheme="minorHAnsi" w:hAnsiTheme="minorHAnsi" w:cstheme="minorHAnsi"/>
          <w:color w:val="000000"/>
          <w:sz w:val="24"/>
          <w:szCs w:val="24"/>
        </w:rPr>
        <w:t xml:space="preserve">i benchmark). </w:t>
      </w:r>
      <w:r w:rsidR="007642C0">
        <w:rPr>
          <w:rFonts w:asciiTheme="minorHAnsi" w:eastAsiaTheme="minorHAnsi" w:hAnsiTheme="minorHAnsi" w:cstheme="minorHAnsi"/>
          <w:color w:val="000000"/>
          <w:sz w:val="24"/>
          <w:szCs w:val="24"/>
        </w:rPr>
        <w:t>Quando, con una frequenz</w:t>
      </w:r>
      <w:r w:rsidR="003D2BBB">
        <w:rPr>
          <w:rFonts w:asciiTheme="minorHAnsi" w:eastAsiaTheme="minorHAnsi" w:hAnsiTheme="minorHAnsi" w:cstheme="minorHAnsi"/>
          <w:color w:val="000000"/>
          <w:sz w:val="24"/>
          <w:szCs w:val="24"/>
        </w:rPr>
        <w:t>a attesa di 3 anni</w:t>
      </w:r>
      <w:r w:rsidR="002738B9">
        <w:rPr>
          <w:rFonts w:asciiTheme="minorHAnsi" w:eastAsiaTheme="minorHAnsi" w:hAnsiTheme="minorHAnsi" w:cstheme="minorHAnsi"/>
          <w:color w:val="000000"/>
          <w:sz w:val="24"/>
          <w:szCs w:val="24"/>
        </w:rPr>
        <w:t>,</w:t>
      </w:r>
      <w:r w:rsidR="003D2BBB">
        <w:rPr>
          <w:rFonts w:asciiTheme="minorHAnsi" w:eastAsiaTheme="minorHAnsi" w:hAnsiTheme="minorHAnsi" w:cstheme="minorHAnsi"/>
          <w:color w:val="000000"/>
          <w:sz w:val="24"/>
          <w:szCs w:val="24"/>
        </w:rPr>
        <w:t xml:space="preserve"> la Banca </w:t>
      </w:r>
      <w:r w:rsidR="002738B9">
        <w:rPr>
          <w:rFonts w:asciiTheme="minorHAnsi" w:eastAsiaTheme="minorHAnsi" w:hAnsiTheme="minorHAnsi" w:cstheme="minorHAnsi"/>
          <w:color w:val="000000"/>
          <w:sz w:val="24"/>
          <w:szCs w:val="24"/>
        </w:rPr>
        <w:t>p</w:t>
      </w:r>
      <w:r w:rsidR="003D2BBB">
        <w:rPr>
          <w:rFonts w:asciiTheme="minorHAnsi" w:eastAsiaTheme="minorHAnsi" w:hAnsiTheme="minorHAnsi" w:cstheme="minorHAnsi"/>
          <w:color w:val="000000"/>
          <w:sz w:val="24"/>
          <w:szCs w:val="24"/>
        </w:rPr>
        <w:t>rocederà alla modifica dei portafogli modello</w:t>
      </w:r>
      <w:r w:rsidR="002738B9">
        <w:rPr>
          <w:rFonts w:asciiTheme="minorHAnsi" w:eastAsiaTheme="minorHAnsi" w:hAnsiTheme="minorHAnsi" w:cstheme="minorHAnsi"/>
          <w:color w:val="000000"/>
          <w:sz w:val="24"/>
          <w:szCs w:val="24"/>
        </w:rPr>
        <w:t xml:space="preserve">, il campione storico di rendimenti potrebbe subire una modifica in termini di dimensione. Tuttavia la finestra temporale sarà sempre compresa tra 15 e 20 anni. </w:t>
      </w:r>
      <w:r w:rsidRPr="00027B71">
        <w:rPr>
          <w:rFonts w:asciiTheme="minorHAnsi" w:eastAsiaTheme="minorHAnsi" w:hAnsiTheme="minorHAnsi" w:cstheme="minorHAnsi"/>
          <w:color w:val="000000"/>
          <w:sz w:val="24"/>
          <w:szCs w:val="24"/>
        </w:rPr>
        <w:t xml:space="preserve">In tal modo le stime </w:t>
      </w:r>
      <w:r w:rsidRPr="0085351E">
        <w:rPr>
          <w:rFonts w:asciiTheme="minorHAnsi" w:eastAsiaTheme="minorHAnsi" w:hAnsiTheme="minorHAnsi" w:cstheme="minorHAnsi"/>
          <w:color w:val="000000"/>
          <w:sz w:val="24"/>
          <w:szCs w:val="24"/>
        </w:rPr>
        <w:t xml:space="preserve">di </w:t>
      </w:r>
      <w:r w:rsidR="0085351E" w:rsidRPr="0085351E">
        <w:rPr>
          <w:rFonts w:asciiTheme="minorHAnsi" w:eastAsiaTheme="minorHAnsi" w:hAnsiTheme="minorHAnsi" w:cstheme="minorHAnsi"/>
          <w:color w:val="000000"/>
          <w:sz w:val="24"/>
          <w:szCs w:val="24"/>
        </w:rPr>
        <w:t xml:space="preserve">σ </w:t>
      </w:r>
      <w:r w:rsidRPr="0085351E">
        <w:rPr>
          <w:rFonts w:asciiTheme="minorHAnsi" w:eastAsiaTheme="minorHAnsi" w:hAnsiTheme="minorHAnsi" w:cstheme="minorHAnsi"/>
          <w:color w:val="000000"/>
          <w:sz w:val="24"/>
          <w:szCs w:val="24"/>
        </w:rPr>
        <w:t xml:space="preserve">e </w:t>
      </w:r>
      <w:r w:rsidR="0085351E" w:rsidRPr="0085351E">
        <w:rPr>
          <w:rFonts w:asciiTheme="minorHAnsi" w:eastAsiaTheme="minorHAnsi" w:hAnsiTheme="minorHAnsi" w:cstheme="minorHAnsi"/>
          <w:color w:val="000000"/>
          <w:sz w:val="24"/>
          <w:szCs w:val="24"/>
        </w:rPr>
        <w:t>ρ</w:t>
      </w:r>
      <w:r w:rsidR="00800406">
        <w:rPr>
          <w:rFonts w:asciiTheme="minorHAnsi" w:eastAsiaTheme="minorHAnsi" w:hAnsiTheme="minorHAnsi" w:cstheme="minorHAnsi"/>
          <w:color w:val="000000"/>
          <w:sz w:val="24"/>
          <w:szCs w:val="24"/>
        </w:rPr>
        <w:t xml:space="preserve"> </w:t>
      </w:r>
      <w:r w:rsidR="00990B8A">
        <w:rPr>
          <w:rFonts w:asciiTheme="minorHAnsi" w:eastAsiaTheme="minorHAnsi" w:hAnsiTheme="minorHAnsi" w:cstheme="minorHAnsi"/>
          <w:color w:val="000000"/>
          <w:sz w:val="24"/>
          <w:szCs w:val="24"/>
        </w:rPr>
        <w:t>non risentono</w:t>
      </w:r>
      <w:r w:rsidRPr="00027B71">
        <w:rPr>
          <w:rFonts w:asciiTheme="minorHAnsi" w:eastAsiaTheme="minorHAnsi" w:hAnsiTheme="minorHAnsi" w:cstheme="minorHAnsi"/>
          <w:color w:val="000000"/>
          <w:sz w:val="24"/>
          <w:szCs w:val="24"/>
        </w:rPr>
        <w:t xml:space="preserve"> dell’andamento congiunturale dei mercati e rappresentano delle proxy affidabili al fine di quantific</w:t>
      </w:r>
      <w:r w:rsidR="000376E5" w:rsidRPr="00027B71">
        <w:rPr>
          <w:rFonts w:asciiTheme="minorHAnsi" w:eastAsiaTheme="minorHAnsi" w:hAnsiTheme="minorHAnsi" w:cstheme="minorHAnsi"/>
          <w:color w:val="000000"/>
          <w:sz w:val="24"/>
          <w:szCs w:val="24"/>
        </w:rPr>
        <w:t>are stimatori di lungo termine.</w:t>
      </w:r>
    </w:p>
    <w:p w:rsidR="00C557B4" w:rsidRDefault="0085351E"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Inoltre la matrice varianza-</w:t>
      </w:r>
      <w:r w:rsidR="001F494F" w:rsidRPr="00027B71">
        <w:rPr>
          <w:rFonts w:asciiTheme="minorHAnsi" w:hAnsiTheme="minorHAnsi" w:cstheme="minorHAnsi"/>
          <w:sz w:val="24"/>
          <w:szCs w:val="24"/>
        </w:rPr>
        <w:t xml:space="preserve">covarianza viene elaborata con la metodologia della media mobile </w:t>
      </w:r>
      <w:r w:rsidR="002738B9">
        <w:rPr>
          <w:rFonts w:asciiTheme="minorHAnsi" w:hAnsiTheme="minorHAnsi" w:cstheme="minorHAnsi"/>
          <w:sz w:val="24"/>
          <w:szCs w:val="24"/>
        </w:rPr>
        <w:t>semplice (un approccio esponenziale non è infatti affidabile quando l’obiettivo è la stima di stimatori di lungo termine),</w:t>
      </w:r>
      <w:r w:rsidR="001F494F" w:rsidRPr="00027B71">
        <w:rPr>
          <w:rFonts w:asciiTheme="minorHAnsi" w:hAnsiTheme="minorHAnsi" w:cstheme="minorHAnsi"/>
          <w:sz w:val="24"/>
          <w:szCs w:val="24"/>
        </w:rPr>
        <w:t xml:space="preserve"> prendendo in considerazione </w:t>
      </w:r>
      <w:r w:rsidR="002738B9">
        <w:rPr>
          <w:rFonts w:asciiTheme="minorHAnsi" w:hAnsiTheme="minorHAnsi" w:cstheme="minorHAnsi"/>
          <w:sz w:val="24"/>
          <w:szCs w:val="24"/>
        </w:rPr>
        <w:t>serie storiche di rendimenti mensili (</w:t>
      </w:r>
      <w:r w:rsidR="007642C0">
        <w:rPr>
          <w:rFonts w:asciiTheme="minorHAnsi" w:hAnsiTheme="minorHAnsi" w:cstheme="minorHAnsi"/>
          <w:sz w:val="24"/>
          <w:szCs w:val="24"/>
        </w:rPr>
        <w:t xml:space="preserve">nel campione iniziale </w:t>
      </w:r>
      <w:r w:rsidR="002738B9">
        <w:rPr>
          <w:rFonts w:asciiTheme="minorHAnsi" w:hAnsiTheme="minorHAnsi" w:cstheme="minorHAnsi"/>
          <w:sz w:val="24"/>
          <w:szCs w:val="24"/>
        </w:rPr>
        <w:t>complessivamente 206)</w:t>
      </w:r>
      <w:r w:rsidR="001F494F" w:rsidRPr="00027B71">
        <w:rPr>
          <w:rFonts w:asciiTheme="minorHAnsi" w:hAnsiTheme="minorHAnsi" w:cstheme="minorHAnsi"/>
          <w:sz w:val="24"/>
          <w:szCs w:val="24"/>
        </w:rPr>
        <w:t>.</w:t>
      </w:r>
      <w:r w:rsidR="002738B9">
        <w:rPr>
          <w:rFonts w:asciiTheme="minorHAnsi" w:hAnsiTheme="minorHAnsi" w:cstheme="minorHAnsi"/>
          <w:sz w:val="24"/>
          <w:szCs w:val="24"/>
        </w:rPr>
        <w:t xml:space="preserve"> Le deviazioni standard dei rendimenti mensili così ottenute vengono poi annualizzate ricorrendo alla regola delle radice quadrata del tempo (ipotesi </w:t>
      </w:r>
      <w:r w:rsidR="002738B9" w:rsidRPr="002738B9">
        <w:rPr>
          <w:rFonts w:asciiTheme="minorHAnsi" w:hAnsiTheme="minorHAnsi" w:cstheme="minorHAnsi"/>
          <w:i/>
          <w:sz w:val="24"/>
          <w:szCs w:val="24"/>
        </w:rPr>
        <w:t>random walk</w:t>
      </w:r>
      <w:r w:rsidR="002738B9">
        <w:rPr>
          <w:rFonts w:asciiTheme="minorHAnsi" w:hAnsiTheme="minorHAnsi" w:cstheme="minorHAnsi"/>
          <w:sz w:val="24"/>
          <w:szCs w:val="24"/>
        </w:rPr>
        <w:t xml:space="preserve"> dei rendimenti degli asset). </w:t>
      </w:r>
      <w:r w:rsidR="00B44CE2">
        <w:rPr>
          <w:rFonts w:asciiTheme="minorHAnsi" w:hAnsiTheme="minorHAnsi" w:cstheme="minorHAnsi"/>
          <w:sz w:val="24"/>
          <w:szCs w:val="24"/>
        </w:rPr>
        <w:t>Al fine di non sottostimare il rischio dei portafogli, in ottica prudenziale, si è deciso di non considerare le correlazioni</w:t>
      </w:r>
      <w:r w:rsidR="008D3BC6">
        <w:rPr>
          <w:rFonts w:asciiTheme="minorHAnsi" w:hAnsiTheme="minorHAnsi" w:cstheme="minorHAnsi"/>
          <w:sz w:val="24"/>
          <w:szCs w:val="24"/>
        </w:rPr>
        <w:t xml:space="preserve"> debolmente </w:t>
      </w:r>
      <w:r w:rsidR="00B44CE2">
        <w:rPr>
          <w:rFonts w:asciiTheme="minorHAnsi" w:hAnsiTheme="minorHAnsi" w:cstheme="minorHAnsi"/>
          <w:sz w:val="24"/>
          <w:szCs w:val="24"/>
        </w:rPr>
        <w:t>negative tra gli indici benchmark considerati. In particolare sono state azzerate le seguenti correlazioni:</w:t>
      </w:r>
    </w:p>
    <w:p w:rsidR="002A76FD" w:rsidRDefault="00462057" w:rsidP="001E33E3">
      <w:pPr>
        <w:pStyle w:val="Paragrafoelenco"/>
        <w:numPr>
          <w:ilvl w:val="1"/>
          <w:numId w:val="2"/>
        </w:numPr>
        <w:spacing w:line="360" w:lineRule="auto"/>
        <w:jc w:val="both"/>
        <w:rPr>
          <w:rFonts w:asciiTheme="minorHAnsi" w:hAnsiTheme="minorHAnsi" w:cstheme="minorHAnsi"/>
        </w:rPr>
      </w:pPr>
      <w:bookmarkStart w:id="22" w:name="OLE_LINK2"/>
      <w:r w:rsidRPr="00462057">
        <w:rPr>
          <w:rFonts w:asciiTheme="minorHAnsi" w:hAnsiTheme="minorHAnsi" w:cstheme="minorHAnsi"/>
        </w:rPr>
        <w:t>Monetario in €</w:t>
      </w:r>
      <w:r w:rsidRPr="00462057">
        <w:rPr>
          <w:rFonts w:asciiTheme="minorHAnsi" w:hAnsiTheme="minorHAnsi" w:cstheme="minorHAnsi"/>
          <w:i/>
        </w:rPr>
        <w:t xml:space="preserve">versus </w:t>
      </w:r>
      <w:bookmarkStart w:id="23" w:name="OLE_LINK9"/>
      <w:r w:rsidRPr="005D7BA1">
        <w:rPr>
          <w:rFonts w:asciiTheme="minorHAnsi" w:hAnsiTheme="minorHAnsi" w:cstheme="minorHAnsi"/>
        </w:rPr>
        <w:t>Obbligazionario Paesi Emergenti</w:t>
      </w:r>
      <w:bookmarkStart w:id="24" w:name="OLE_LINK10"/>
      <w:r w:rsidR="005D7BA1">
        <w:rPr>
          <w:rFonts w:asciiTheme="minorHAnsi" w:hAnsiTheme="minorHAnsi" w:cstheme="minorHAnsi"/>
        </w:rPr>
        <w:t xml:space="preserve"> (valore originario </w:t>
      </w:r>
      <w:r w:rsidR="001E33E3" w:rsidRPr="001E33E3">
        <w:rPr>
          <w:rFonts w:asciiTheme="minorHAnsi" w:hAnsiTheme="minorHAnsi" w:cstheme="minorHAnsi"/>
        </w:rPr>
        <w:t>-0,075</w:t>
      </w:r>
      <w:r w:rsidR="005D7BA1">
        <w:rPr>
          <w:rFonts w:asciiTheme="minorHAnsi" w:hAnsiTheme="minorHAnsi" w:cstheme="minorHAnsi"/>
        </w:rPr>
        <w:t>)</w:t>
      </w:r>
      <w:bookmarkEnd w:id="23"/>
      <w:bookmarkEnd w:id="24"/>
      <w:r w:rsidR="00D54843">
        <w:rPr>
          <w:rFonts w:asciiTheme="minorHAnsi" w:hAnsiTheme="minorHAnsi" w:cstheme="minorHAnsi"/>
        </w:rPr>
        <w:t>;</w:t>
      </w:r>
    </w:p>
    <w:p w:rsidR="00462057" w:rsidRPr="00462057" w:rsidRDefault="00462057" w:rsidP="001E33E3">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 xml:space="preserve">versus </w:t>
      </w:r>
      <w:bookmarkStart w:id="25" w:name="OLE_LINK11"/>
      <w:r w:rsidR="005D7BA1" w:rsidRPr="005D7BA1">
        <w:rPr>
          <w:rFonts w:asciiTheme="minorHAnsi" w:hAnsiTheme="minorHAnsi" w:cstheme="minorHAnsi"/>
        </w:rPr>
        <w:t>Obbligazionario High Yield</w:t>
      </w:r>
      <w:r w:rsidR="00800406">
        <w:rPr>
          <w:rFonts w:asciiTheme="minorHAnsi" w:hAnsiTheme="minorHAnsi" w:cstheme="minorHAnsi"/>
        </w:rPr>
        <w:t xml:space="preserve"> </w:t>
      </w:r>
      <w:r w:rsidR="005D7BA1">
        <w:rPr>
          <w:rFonts w:asciiTheme="minorHAnsi" w:hAnsiTheme="minorHAnsi" w:cstheme="minorHAnsi"/>
        </w:rPr>
        <w:t xml:space="preserve">(valore originario </w:t>
      </w:r>
      <w:r w:rsidR="001E33E3" w:rsidRPr="001E33E3">
        <w:rPr>
          <w:rFonts w:asciiTheme="minorHAnsi" w:hAnsiTheme="minorHAnsi" w:cstheme="minorHAnsi"/>
        </w:rPr>
        <w:t>-0,213</w:t>
      </w:r>
      <w:r w:rsidR="005D7BA1">
        <w:rPr>
          <w:rFonts w:asciiTheme="minorHAnsi" w:hAnsiTheme="minorHAnsi" w:cstheme="minorHAnsi"/>
        </w:rPr>
        <w:t>)</w:t>
      </w:r>
      <w:bookmarkEnd w:id="25"/>
      <w:r w:rsidR="00D54843">
        <w:rPr>
          <w:rFonts w:asciiTheme="minorHAnsi" w:hAnsiTheme="minorHAnsi" w:cstheme="minorHAnsi"/>
        </w:rPr>
        <w:t>;</w:t>
      </w:r>
    </w:p>
    <w:p w:rsidR="00462057" w:rsidRPr="00462057" w:rsidRDefault="00462057" w:rsidP="001E33E3">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 xml:space="preserve">versus </w:t>
      </w:r>
      <w:bookmarkStart w:id="26" w:name="OLE_LINK14"/>
      <w:r w:rsidR="005D7BA1" w:rsidRPr="005D7BA1">
        <w:rPr>
          <w:rFonts w:asciiTheme="minorHAnsi" w:hAnsiTheme="minorHAnsi" w:cstheme="minorHAnsi"/>
        </w:rPr>
        <w:t xml:space="preserve">Azionario Europa </w:t>
      </w:r>
      <w:bookmarkEnd w:id="26"/>
      <w:r w:rsidR="005D7BA1">
        <w:rPr>
          <w:rFonts w:asciiTheme="minorHAnsi" w:hAnsiTheme="minorHAnsi" w:cstheme="minorHAnsi"/>
        </w:rPr>
        <w:t xml:space="preserve">(valore originario </w:t>
      </w:r>
      <w:r w:rsidR="001E33E3" w:rsidRPr="001E33E3">
        <w:rPr>
          <w:rFonts w:asciiTheme="minorHAnsi" w:hAnsiTheme="minorHAnsi" w:cstheme="minorHAnsi"/>
        </w:rPr>
        <w:t>-0,233</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1E33E3">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versus</w:t>
      </w:r>
      <w:r w:rsidR="00800406">
        <w:rPr>
          <w:rFonts w:asciiTheme="minorHAnsi" w:hAnsiTheme="minorHAnsi" w:cstheme="minorHAnsi"/>
          <w:i/>
        </w:rPr>
        <w:t xml:space="preserve"> </w:t>
      </w:r>
      <w:r w:rsidR="005D7BA1" w:rsidRPr="005D7BA1">
        <w:rPr>
          <w:rFonts w:asciiTheme="minorHAnsi" w:hAnsiTheme="minorHAnsi" w:cstheme="minorHAnsi"/>
        </w:rPr>
        <w:t xml:space="preserve">Azionario Nord America </w:t>
      </w:r>
      <w:r w:rsidR="005D7BA1">
        <w:rPr>
          <w:rFonts w:asciiTheme="minorHAnsi" w:hAnsiTheme="minorHAnsi" w:cstheme="minorHAnsi"/>
        </w:rPr>
        <w:t xml:space="preserve">(valore originario </w:t>
      </w:r>
      <w:bookmarkStart w:id="27" w:name="OLE_LINK16"/>
      <w:r w:rsidR="001E33E3" w:rsidRPr="001E33E3">
        <w:rPr>
          <w:rFonts w:asciiTheme="minorHAnsi" w:hAnsiTheme="minorHAnsi" w:cstheme="minorHAnsi"/>
        </w:rPr>
        <w:t>-0,233</w:t>
      </w:r>
      <w:bookmarkEnd w:id="27"/>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versus</w:t>
      </w:r>
      <w:r w:rsidR="00800406">
        <w:rPr>
          <w:rFonts w:asciiTheme="minorHAnsi" w:hAnsiTheme="minorHAnsi" w:cstheme="minorHAnsi"/>
          <w:i/>
        </w:rPr>
        <w:t xml:space="preserve"> </w:t>
      </w:r>
      <w:r w:rsidR="005D7BA1" w:rsidRPr="005D7BA1">
        <w:rPr>
          <w:rFonts w:asciiTheme="minorHAnsi" w:hAnsiTheme="minorHAnsi" w:cstheme="minorHAnsi"/>
        </w:rPr>
        <w:t xml:space="preserve">Azionario Pacifico </w:t>
      </w:r>
      <w:r w:rsidR="005D7BA1">
        <w:rPr>
          <w:rFonts w:asciiTheme="minorHAnsi" w:hAnsiTheme="minorHAnsi" w:cstheme="minorHAnsi"/>
        </w:rPr>
        <w:t xml:space="preserve">(valore originario </w:t>
      </w:r>
      <w:r w:rsidR="001E33E3" w:rsidRPr="001E33E3">
        <w:rPr>
          <w:rFonts w:asciiTheme="minorHAnsi" w:hAnsiTheme="minorHAnsi" w:cstheme="minorHAnsi"/>
        </w:rPr>
        <w:t>-0,23</w:t>
      </w:r>
      <w:r w:rsidR="001E33E3">
        <w:rPr>
          <w:rFonts w:asciiTheme="minorHAnsi" w:hAnsiTheme="minorHAnsi" w:cstheme="minorHAnsi"/>
        </w:rPr>
        <w:t>8</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versus</w:t>
      </w:r>
      <w:r w:rsidR="00800406">
        <w:rPr>
          <w:rFonts w:asciiTheme="minorHAnsi" w:hAnsiTheme="minorHAnsi" w:cstheme="minorHAnsi"/>
          <w:i/>
        </w:rPr>
        <w:t xml:space="preserve"> </w:t>
      </w:r>
      <w:r w:rsidR="005D7BA1" w:rsidRPr="005D7BA1">
        <w:rPr>
          <w:rFonts w:asciiTheme="minorHAnsi" w:hAnsiTheme="minorHAnsi" w:cstheme="minorHAnsi"/>
        </w:rPr>
        <w:t xml:space="preserve">Azionario Paesi Emergenti </w:t>
      </w:r>
      <w:r w:rsidR="005D7BA1">
        <w:rPr>
          <w:rFonts w:asciiTheme="minorHAnsi" w:hAnsiTheme="minorHAnsi" w:cstheme="minorHAnsi"/>
        </w:rPr>
        <w:t xml:space="preserve">(valore originario </w:t>
      </w:r>
      <w:r w:rsidR="001E33E3">
        <w:rPr>
          <w:rFonts w:asciiTheme="minorHAnsi" w:hAnsiTheme="minorHAnsi" w:cstheme="minorHAnsi"/>
        </w:rPr>
        <w:t>-0,178</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versus</w:t>
      </w:r>
      <w:r w:rsidR="00800406">
        <w:rPr>
          <w:rFonts w:asciiTheme="minorHAnsi" w:hAnsiTheme="minorHAnsi" w:cstheme="minorHAnsi"/>
          <w:i/>
        </w:rPr>
        <w:t xml:space="preserve"> </w:t>
      </w:r>
      <w:r w:rsidR="005D7BA1" w:rsidRPr="005D7BA1">
        <w:rPr>
          <w:rFonts w:asciiTheme="minorHAnsi" w:hAnsiTheme="minorHAnsi" w:cstheme="minorHAnsi"/>
        </w:rPr>
        <w:t xml:space="preserve">Azionario Globale </w:t>
      </w:r>
      <w:r w:rsidR="005D7BA1">
        <w:rPr>
          <w:rFonts w:asciiTheme="minorHAnsi" w:hAnsiTheme="minorHAnsi" w:cstheme="minorHAnsi"/>
        </w:rPr>
        <w:t xml:space="preserve">(valore originario </w:t>
      </w:r>
      <w:r w:rsidR="001E33E3">
        <w:rPr>
          <w:rFonts w:asciiTheme="minorHAnsi" w:hAnsiTheme="minorHAnsi" w:cstheme="minorHAnsi"/>
        </w:rPr>
        <w:t>-0,258</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versus</w:t>
      </w:r>
      <w:r w:rsidR="00800406">
        <w:rPr>
          <w:rFonts w:asciiTheme="minorHAnsi" w:hAnsiTheme="minorHAnsi" w:cstheme="minorHAnsi"/>
          <w:i/>
        </w:rPr>
        <w:t xml:space="preserve"> </w:t>
      </w:r>
      <w:r w:rsidR="005D7BA1" w:rsidRPr="005D7BA1">
        <w:rPr>
          <w:rFonts w:asciiTheme="minorHAnsi" w:hAnsiTheme="minorHAnsi" w:cstheme="minorHAnsi"/>
        </w:rPr>
        <w:t xml:space="preserve">Flessibili Bassa Volatilità </w:t>
      </w:r>
      <w:r w:rsidR="005D7BA1">
        <w:rPr>
          <w:rFonts w:asciiTheme="minorHAnsi" w:hAnsiTheme="minorHAnsi" w:cstheme="minorHAnsi"/>
        </w:rPr>
        <w:t xml:space="preserve">(valore originario </w:t>
      </w:r>
      <w:r w:rsidR="001E33E3">
        <w:rPr>
          <w:rFonts w:asciiTheme="minorHAnsi" w:hAnsiTheme="minorHAnsi" w:cstheme="minorHAnsi"/>
        </w:rPr>
        <w:t>-0,095</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lastRenderedPageBreak/>
        <w:t>Monetario in €</w:t>
      </w:r>
      <w:r w:rsidRPr="00462057">
        <w:rPr>
          <w:rFonts w:asciiTheme="minorHAnsi" w:hAnsiTheme="minorHAnsi" w:cstheme="minorHAnsi"/>
          <w:i/>
        </w:rPr>
        <w:t>versus</w:t>
      </w:r>
      <w:r w:rsidR="00800406">
        <w:rPr>
          <w:rFonts w:asciiTheme="minorHAnsi" w:hAnsiTheme="minorHAnsi" w:cstheme="minorHAnsi"/>
          <w:i/>
        </w:rPr>
        <w:t xml:space="preserve"> </w:t>
      </w:r>
      <w:r w:rsidR="005D7BA1" w:rsidRPr="005D7BA1">
        <w:rPr>
          <w:rFonts w:asciiTheme="minorHAnsi" w:hAnsiTheme="minorHAnsi" w:cstheme="minorHAnsi"/>
        </w:rPr>
        <w:t xml:space="preserve">Flessibili </w:t>
      </w:r>
      <w:r w:rsidR="005D7BA1">
        <w:rPr>
          <w:rFonts w:asciiTheme="minorHAnsi" w:hAnsiTheme="minorHAnsi" w:cstheme="minorHAnsi"/>
        </w:rPr>
        <w:t>Media</w:t>
      </w:r>
      <w:r w:rsidR="005D7BA1" w:rsidRPr="005D7BA1">
        <w:rPr>
          <w:rFonts w:asciiTheme="minorHAnsi" w:hAnsiTheme="minorHAnsi" w:cstheme="minorHAnsi"/>
        </w:rPr>
        <w:t xml:space="preserve"> Volatilità </w:t>
      </w:r>
      <w:r w:rsidR="005D7BA1">
        <w:rPr>
          <w:rFonts w:asciiTheme="minorHAnsi" w:hAnsiTheme="minorHAnsi" w:cstheme="minorHAnsi"/>
        </w:rPr>
        <w:t xml:space="preserve">(valore originario </w:t>
      </w:r>
      <w:r w:rsidR="001E33E3">
        <w:rPr>
          <w:rFonts w:asciiTheme="minorHAnsi" w:hAnsiTheme="minorHAnsi" w:cstheme="minorHAnsi"/>
        </w:rPr>
        <w:t>-0,215</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r w:rsidRPr="00462057">
        <w:rPr>
          <w:rFonts w:asciiTheme="minorHAnsi" w:hAnsiTheme="minorHAnsi" w:cstheme="minorHAnsi"/>
          <w:i/>
        </w:rPr>
        <w:t>versus</w:t>
      </w:r>
      <w:bookmarkStart w:id="28" w:name="OLE_LINK15"/>
      <w:r w:rsidR="00800406">
        <w:rPr>
          <w:rFonts w:asciiTheme="minorHAnsi" w:hAnsiTheme="minorHAnsi" w:cstheme="minorHAnsi"/>
          <w:i/>
        </w:rPr>
        <w:t xml:space="preserve"> </w:t>
      </w:r>
      <w:r w:rsidR="005D7BA1" w:rsidRPr="005D7BA1">
        <w:rPr>
          <w:rFonts w:asciiTheme="minorHAnsi" w:hAnsiTheme="minorHAnsi" w:cstheme="minorHAnsi"/>
        </w:rPr>
        <w:t xml:space="preserve">Flessibili </w:t>
      </w:r>
      <w:r w:rsidR="005D7BA1">
        <w:rPr>
          <w:rFonts w:asciiTheme="minorHAnsi" w:hAnsiTheme="minorHAnsi" w:cstheme="minorHAnsi"/>
        </w:rPr>
        <w:t>Alta</w:t>
      </w:r>
      <w:r w:rsidR="005D7BA1" w:rsidRPr="005D7BA1">
        <w:rPr>
          <w:rFonts w:asciiTheme="minorHAnsi" w:hAnsiTheme="minorHAnsi" w:cstheme="minorHAnsi"/>
        </w:rPr>
        <w:t xml:space="preserve"> Volatilità</w:t>
      </w:r>
      <w:bookmarkEnd w:id="28"/>
      <w:r w:rsidR="005D7BA1">
        <w:rPr>
          <w:rFonts w:asciiTheme="minorHAnsi" w:hAnsiTheme="minorHAnsi" w:cstheme="minorHAnsi"/>
        </w:rPr>
        <w:t xml:space="preserve">(valore originario </w:t>
      </w:r>
      <w:r w:rsidR="001E33E3">
        <w:rPr>
          <w:rFonts w:asciiTheme="minorHAnsi" w:hAnsiTheme="minorHAnsi" w:cstheme="minorHAnsi"/>
        </w:rPr>
        <w:t>-0,239</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Monetario in €</w:t>
      </w:r>
      <w:bookmarkStart w:id="29" w:name="OLE_LINK8"/>
      <w:r w:rsidR="00800406">
        <w:rPr>
          <w:rFonts w:asciiTheme="minorHAnsi" w:hAnsiTheme="minorHAnsi" w:cstheme="minorHAnsi"/>
        </w:rPr>
        <w:t xml:space="preserve"> </w:t>
      </w:r>
      <w:r w:rsidRPr="00462057">
        <w:rPr>
          <w:rFonts w:asciiTheme="minorHAnsi" w:hAnsiTheme="minorHAnsi" w:cstheme="minorHAnsi"/>
          <w:i/>
        </w:rPr>
        <w:t>versus</w:t>
      </w:r>
      <w:bookmarkEnd w:id="29"/>
      <w:r w:rsidR="00800406">
        <w:rPr>
          <w:rFonts w:asciiTheme="minorHAnsi" w:hAnsiTheme="minorHAnsi" w:cstheme="minorHAnsi"/>
          <w:i/>
        </w:rPr>
        <w:t xml:space="preserve"> </w:t>
      </w:r>
      <w:r w:rsidR="005D7BA1">
        <w:rPr>
          <w:rFonts w:asciiTheme="minorHAnsi" w:hAnsiTheme="minorHAnsi" w:cstheme="minorHAnsi"/>
        </w:rPr>
        <w:t xml:space="preserve">Opportunities (valore originario </w:t>
      </w:r>
      <w:r w:rsidR="001E33E3">
        <w:rPr>
          <w:rFonts w:asciiTheme="minorHAnsi" w:hAnsiTheme="minorHAnsi" w:cstheme="minorHAnsi"/>
        </w:rPr>
        <w:t>-0,204</w:t>
      </w:r>
      <w:r w:rsidR="005D7BA1">
        <w:rPr>
          <w:rFonts w:asciiTheme="minorHAnsi" w:hAnsiTheme="minorHAnsi" w:cstheme="minorHAnsi"/>
        </w:rPr>
        <w:t>)</w:t>
      </w:r>
      <w:r w:rsidR="00D54843">
        <w:rPr>
          <w:rFonts w:asciiTheme="minorHAnsi" w:hAnsiTheme="minorHAnsi" w:cstheme="minorHAnsi"/>
        </w:rPr>
        <w:t>;</w:t>
      </w:r>
    </w:p>
    <w:p w:rsidR="00462057" w:rsidRDefault="00462057" w:rsidP="00462057">
      <w:pPr>
        <w:pStyle w:val="Paragrafoelenco"/>
        <w:numPr>
          <w:ilvl w:val="1"/>
          <w:numId w:val="2"/>
        </w:numPr>
        <w:spacing w:line="360" w:lineRule="auto"/>
        <w:jc w:val="both"/>
        <w:rPr>
          <w:rFonts w:asciiTheme="minorHAnsi" w:hAnsiTheme="minorHAnsi" w:cstheme="minorHAnsi"/>
        </w:rPr>
      </w:pPr>
      <w:bookmarkStart w:id="30" w:name="OLE_LINK3"/>
      <w:r w:rsidRPr="00462057">
        <w:rPr>
          <w:rFonts w:asciiTheme="minorHAnsi" w:hAnsiTheme="minorHAnsi" w:cstheme="minorHAnsi"/>
        </w:rPr>
        <w:t xml:space="preserve">Obbligazionario in € Tutte le Scadenze </w:t>
      </w:r>
      <w:r w:rsidRPr="00462057">
        <w:rPr>
          <w:rFonts w:asciiTheme="minorHAnsi" w:hAnsiTheme="minorHAnsi" w:cstheme="minorHAnsi"/>
          <w:i/>
        </w:rPr>
        <w:t>versus</w:t>
      </w:r>
      <w:r w:rsidR="00800406">
        <w:rPr>
          <w:rFonts w:asciiTheme="minorHAnsi" w:hAnsiTheme="minorHAnsi" w:cstheme="minorHAnsi"/>
          <w:i/>
        </w:rPr>
        <w:t xml:space="preserve"> </w:t>
      </w:r>
      <w:r w:rsidR="005D7BA1" w:rsidRPr="005D7BA1">
        <w:rPr>
          <w:rFonts w:asciiTheme="minorHAnsi" w:hAnsiTheme="minorHAnsi" w:cstheme="minorHAnsi"/>
        </w:rPr>
        <w:t>Obbligazionario High Yield</w:t>
      </w:r>
      <w:bookmarkStart w:id="31" w:name="OLE_LINK12"/>
      <w:bookmarkStart w:id="32" w:name="OLE_LINK13"/>
      <w:r w:rsidR="00800406">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-0,013</w:t>
      </w:r>
      <w:r w:rsidR="005D7BA1">
        <w:rPr>
          <w:rFonts w:asciiTheme="minorHAnsi" w:hAnsiTheme="minorHAnsi" w:cstheme="minorHAnsi"/>
        </w:rPr>
        <w:t>)</w:t>
      </w:r>
      <w:bookmarkEnd w:id="31"/>
      <w:bookmarkEnd w:id="32"/>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 Tutte le Scadenze</w:t>
      </w:r>
      <w:r w:rsidRPr="00462057">
        <w:rPr>
          <w:rFonts w:asciiTheme="minorHAnsi" w:hAnsiTheme="minorHAnsi" w:cstheme="minorHAnsi"/>
          <w:i/>
        </w:rPr>
        <w:t xml:space="preserve"> versus</w:t>
      </w:r>
      <w:r w:rsidR="005D7BA1" w:rsidRPr="005D7BA1">
        <w:rPr>
          <w:rFonts w:asciiTheme="minorHAnsi" w:hAnsiTheme="minorHAnsi" w:cstheme="minorHAnsi"/>
        </w:rPr>
        <w:t xml:space="preserve"> Azionario Europa</w:t>
      </w:r>
      <w:r w:rsidR="00800406">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-0,165</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 Tutte le Scadenze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Azionario Nord America</w:t>
      </w:r>
      <w:r w:rsidR="00800406">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-0,186</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 Tutte le Scadenze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Azionario Pacifico</w:t>
      </w:r>
      <w:r w:rsidR="00800406">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-0,092</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 Tutte le Scadenze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 xml:space="preserve">Azionario Paesi Emergenti </w:t>
      </w:r>
      <w:r w:rsidR="005D7BA1">
        <w:rPr>
          <w:rFonts w:asciiTheme="minorHAnsi" w:hAnsiTheme="minorHAnsi" w:cstheme="minorHAnsi"/>
        </w:rPr>
        <w:t xml:space="preserve">(valore originario </w:t>
      </w:r>
      <w:r w:rsidR="001E33E3">
        <w:rPr>
          <w:rFonts w:asciiTheme="minorHAnsi" w:hAnsiTheme="minorHAnsi" w:cstheme="minorHAnsi"/>
        </w:rPr>
        <w:t>-0,154</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 Tutte le Scadenze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Azionario Globale</w:t>
      </w:r>
      <w:r w:rsidR="008D48E1">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-0,165</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 Tutte le Scadenze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 xml:space="preserve">Flessibili </w:t>
      </w:r>
      <w:r w:rsidR="005D7BA1">
        <w:rPr>
          <w:rFonts w:asciiTheme="minorHAnsi" w:hAnsiTheme="minorHAnsi" w:cstheme="minorHAnsi"/>
        </w:rPr>
        <w:t>Alta</w:t>
      </w:r>
      <w:r w:rsidR="005D7BA1" w:rsidRPr="005D7BA1">
        <w:rPr>
          <w:rFonts w:asciiTheme="minorHAnsi" w:hAnsiTheme="minorHAnsi" w:cstheme="minorHAnsi"/>
        </w:rPr>
        <w:t xml:space="preserve"> Volatilità</w:t>
      </w:r>
      <w:r w:rsidR="005D7BA1">
        <w:rPr>
          <w:rFonts w:asciiTheme="minorHAnsi" w:hAnsiTheme="minorHAnsi" w:cstheme="minorHAnsi"/>
        </w:rPr>
        <w:t xml:space="preserve"> (valore originario </w:t>
      </w:r>
      <w:r w:rsidR="001E33E3">
        <w:rPr>
          <w:rFonts w:asciiTheme="minorHAnsi" w:hAnsiTheme="minorHAnsi" w:cstheme="minorHAnsi"/>
        </w:rPr>
        <w:t>-0,04</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 Tutte le Scadenze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Pr>
          <w:rFonts w:asciiTheme="minorHAnsi" w:hAnsiTheme="minorHAnsi" w:cstheme="minorHAnsi"/>
        </w:rPr>
        <w:t xml:space="preserve">Opportunities (valore originario </w:t>
      </w:r>
      <w:r w:rsidR="001E33E3">
        <w:rPr>
          <w:rFonts w:asciiTheme="minorHAnsi" w:hAnsiTheme="minorHAnsi" w:cstheme="minorHAnsi"/>
        </w:rPr>
        <w:t>-0,228</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bookmarkStart w:id="33" w:name="OLE_LINK6"/>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5D7BA1" w:rsidRPr="005D7BA1">
        <w:rPr>
          <w:rFonts w:asciiTheme="minorHAnsi" w:hAnsiTheme="minorHAnsi" w:cstheme="minorHAnsi"/>
        </w:rPr>
        <w:t xml:space="preserve"> Obbligazionario Paesi Emergenti</w:t>
      </w:r>
      <w:r w:rsidR="005D7BA1">
        <w:rPr>
          <w:rFonts w:asciiTheme="minorHAnsi" w:hAnsiTheme="minorHAnsi" w:cstheme="minorHAnsi"/>
        </w:rPr>
        <w:t xml:space="preserve"> (valore originario </w:t>
      </w:r>
      <w:r w:rsidR="001E33E3">
        <w:rPr>
          <w:rFonts w:asciiTheme="minorHAnsi" w:hAnsiTheme="minorHAnsi" w:cstheme="minorHAnsi"/>
        </w:rPr>
        <w:t>-0,017</w:t>
      </w:r>
      <w:r w:rsidR="005D7BA1">
        <w:rPr>
          <w:rFonts w:asciiTheme="minorHAnsi" w:hAnsiTheme="minorHAnsi" w:cstheme="minorHAnsi"/>
        </w:rPr>
        <w:t>)</w:t>
      </w:r>
      <w:r w:rsidR="00D54843">
        <w:rPr>
          <w:rFonts w:asciiTheme="minorHAnsi" w:hAnsiTheme="minorHAnsi" w:cstheme="minorHAnsi"/>
        </w:rPr>
        <w:t>;</w:t>
      </w:r>
    </w:p>
    <w:bookmarkEnd w:id="33"/>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Obbligazionario High Yield</w:t>
      </w:r>
      <w:r w:rsidR="00800406">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-0,102</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 xml:space="preserve">Azionario Europa </w:t>
      </w:r>
      <w:r w:rsidR="005D7BA1">
        <w:rPr>
          <w:rFonts w:asciiTheme="minorHAnsi" w:hAnsiTheme="minorHAnsi" w:cstheme="minorHAnsi"/>
        </w:rPr>
        <w:t xml:space="preserve">(valore originario </w:t>
      </w:r>
      <w:r w:rsidR="001E33E3">
        <w:rPr>
          <w:rFonts w:asciiTheme="minorHAnsi" w:hAnsiTheme="minorHAnsi" w:cstheme="minorHAnsi"/>
        </w:rPr>
        <w:t>-0,260</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 xml:space="preserve">Azionario Nord America </w:t>
      </w:r>
      <w:r w:rsidR="005D7BA1">
        <w:rPr>
          <w:rFonts w:asciiTheme="minorHAnsi" w:hAnsiTheme="minorHAnsi" w:cstheme="minorHAnsi"/>
        </w:rPr>
        <w:t xml:space="preserve">(valore originario </w:t>
      </w:r>
      <w:r w:rsidR="001E33E3">
        <w:rPr>
          <w:rFonts w:asciiTheme="minorHAnsi" w:hAnsiTheme="minorHAnsi" w:cstheme="minorHAnsi"/>
        </w:rPr>
        <w:t>-0,306</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Azionario Pacifico</w:t>
      </w:r>
      <w:r w:rsidR="008D48E1">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-0,175</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Azionario Paesi Emergenti</w:t>
      </w:r>
      <w:r w:rsidR="008D48E1">
        <w:rPr>
          <w:rFonts w:asciiTheme="minorHAnsi" w:hAnsiTheme="minorHAnsi" w:cstheme="minorHAnsi"/>
        </w:rPr>
        <w:t xml:space="preserve"> </w:t>
      </w:r>
      <w:r w:rsidR="005D7BA1">
        <w:rPr>
          <w:rFonts w:asciiTheme="minorHAnsi" w:hAnsiTheme="minorHAnsi" w:cstheme="minorHAnsi"/>
        </w:rPr>
        <w:t xml:space="preserve">(valore originario </w:t>
      </w:r>
      <w:r w:rsidR="001E33E3">
        <w:rPr>
          <w:rFonts w:asciiTheme="minorHAnsi" w:hAnsiTheme="minorHAnsi" w:cstheme="minorHAnsi"/>
        </w:rPr>
        <w:t>-0,221</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5D7BA1">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lastRenderedPageBreak/>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Azionario Globale</w:t>
      </w:r>
      <w:r w:rsidR="005D7BA1">
        <w:rPr>
          <w:rFonts w:asciiTheme="minorHAnsi" w:hAnsiTheme="minorHAnsi" w:cstheme="minorHAnsi"/>
        </w:rPr>
        <w:t xml:space="preserve"> (valore originario </w:t>
      </w:r>
      <w:r w:rsidR="001E33E3">
        <w:rPr>
          <w:rFonts w:asciiTheme="minorHAnsi" w:hAnsiTheme="minorHAnsi" w:cstheme="minorHAnsi"/>
        </w:rPr>
        <w:t>-0,275</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 xml:space="preserve">Flessibili </w:t>
      </w:r>
      <w:r w:rsidR="005D7BA1">
        <w:rPr>
          <w:rFonts w:asciiTheme="minorHAnsi" w:hAnsiTheme="minorHAnsi" w:cstheme="minorHAnsi"/>
        </w:rPr>
        <w:t>Alta</w:t>
      </w:r>
      <w:r w:rsidR="005D7BA1" w:rsidRPr="005D7BA1">
        <w:rPr>
          <w:rFonts w:asciiTheme="minorHAnsi" w:hAnsiTheme="minorHAnsi" w:cstheme="minorHAnsi"/>
        </w:rPr>
        <w:t xml:space="preserve"> Volatilità</w:t>
      </w:r>
      <w:r w:rsidR="005D7BA1">
        <w:rPr>
          <w:rFonts w:asciiTheme="minorHAnsi" w:hAnsiTheme="minorHAnsi" w:cstheme="minorHAnsi"/>
        </w:rPr>
        <w:t xml:space="preserve"> (valore originario </w:t>
      </w:r>
      <w:r w:rsidR="001E33E3">
        <w:rPr>
          <w:rFonts w:asciiTheme="minorHAnsi" w:hAnsiTheme="minorHAnsi" w:cstheme="minorHAnsi"/>
        </w:rPr>
        <w:t>-0,188</w:t>
      </w:r>
      <w:r w:rsidR="005D7BA1">
        <w:rPr>
          <w:rFonts w:asciiTheme="minorHAnsi" w:hAnsiTheme="minorHAnsi" w:cstheme="minorHAnsi"/>
        </w:rPr>
        <w:t>)</w:t>
      </w:r>
      <w:r w:rsidR="00D54843">
        <w:rPr>
          <w:rFonts w:asciiTheme="minorHAnsi" w:hAnsiTheme="minorHAnsi" w:cstheme="minorHAnsi"/>
        </w:rPr>
        <w:t>;</w:t>
      </w:r>
    </w:p>
    <w:p w:rsidR="00462057" w:rsidRP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in Euro Breve Termine</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Pr>
          <w:rFonts w:asciiTheme="minorHAnsi" w:hAnsiTheme="minorHAnsi" w:cstheme="minorHAnsi"/>
        </w:rPr>
        <w:t xml:space="preserve">Opportunities (valore originario </w:t>
      </w:r>
      <w:r w:rsidR="00D54843">
        <w:rPr>
          <w:rFonts w:asciiTheme="minorHAnsi" w:hAnsiTheme="minorHAnsi" w:cstheme="minorHAnsi"/>
        </w:rPr>
        <w:t>-0,289</w:t>
      </w:r>
      <w:r w:rsidR="005D7BA1">
        <w:rPr>
          <w:rFonts w:asciiTheme="minorHAnsi" w:hAnsiTheme="minorHAnsi" w:cstheme="minorHAnsi"/>
        </w:rPr>
        <w:t>)</w:t>
      </w:r>
      <w:r w:rsidR="00D54843">
        <w:rPr>
          <w:rFonts w:asciiTheme="minorHAnsi" w:hAnsiTheme="minorHAnsi" w:cstheme="minorHAnsi"/>
        </w:rPr>
        <w:t>;</w:t>
      </w:r>
    </w:p>
    <w:p w:rsidR="00462057" w:rsidRDefault="00462057" w:rsidP="00462057">
      <w:pPr>
        <w:pStyle w:val="Paragrafoelenco"/>
        <w:numPr>
          <w:ilvl w:val="1"/>
          <w:numId w:val="2"/>
        </w:numPr>
        <w:spacing w:line="360" w:lineRule="auto"/>
        <w:jc w:val="both"/>
        <w:rPr>
          <w:rFonts w:asciiTheme="minorHAnsi" w:hAnsiTheme="minorHAnsi" w:cstheme="minorHAnsi"/>
        </w:rPr>
      </w:pPr>
      <w:bookmarkStart w:id="34" w:name="OLE_LINK7"/>
      <w:r w:rsidRPr="00462057">
        <w:rPr>
          <w:rFonts w:asciiTheme="minorHAnsi" w:hAnsiTheme="minorHAnsi" w:cstheme="minorHAnsi"/>
        </w:rPr>
        <w:t>Obbligazionario Globale Paesi Sviluppati</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Pr>
          <w:rFonts w:asciiTheme="minorHAnsi" w:hAnsiTheme="minorHAnsi" w:cstheme="minorHAnsi"/>
        </w:rPr>
        <w:t>Azionario Europa (valore originario</w:t>
      </w:r>
      <w:r w:rsidR="00D54843">
        <w:rPr>
          <w:rFonts w:asciiTheme="minorHAnsi" w:hAnsiTheme="minorHAnsi" w:cstheme="minorHAnsi"/>
        </w:rPr>
        <w:t xml:space="preserve"> -0,097</w:t>
      </w:r>
      <w:r w:rsidR="005D7BA1">
        <w:rPr>
          <w:rFonts w:asciiTheme="minorHAnsi" w:hAnsiTheme="minorHAnsi" w:cstheme="minorHAnsi"/>
        </w:rPr>
        <w:t>)</w:t>
      </w:r>
      <w:r w:rsidR="00D54843">
        <w:rPr>
          <w:rFonts w:asciiTheme="minorHAnsi" w:hAnsiTheme="minorHAnsi" w:cstheme="minorHAnsi"/>
        </w:rPr>
        <w:t>;</w:t>
      </w:r>
    </w:p>
    <w:bookmarkEnd w:id="34"/>
    <w:p w:rsidR="00462057" w:rsidRDefault="00462057" w:rsidP="00462057">
      <w:pPr>
        <w:pStyle w:val="Paragrafoelenco"/>
        <w:numPr>
          <w:ilvl w:val="1"/>
          <w:numId w:val="2"/>
        </w:numPr>
        <w:spacing w:line="360" w:lineRule="auto"/>
        <w:jc w:val="both"/>
        <w:rPr>
          <w:rFonts w:asciiTheme="minorHAnsi" w:hAnsiTheme="minorHAnsi" w:cstheme="minorHAnsi"/>
        </w:rPr>
      </w:pPr>
      <w:r w:rsidRPr="00462057">
        <w:rPr>
          <w:rFonts w:asciiTheme="minorHAnsi" w:hAnsiTheme="minorHAnsi" w:cstheme="minorHAnsi"/>
        </w:rPr>
        <w:t>Obbligazionario Globale Paesi Sviluppati</w:t>
      </w:r>
      <w:r w:rsidRPr="00462057">
        <w:rPr>
          <w:rFonts w:asciiTheme="minorHAnsi" w:hAnsiTheme="minorHAnsi" w:cstheme="minorHAnsi"/>
          <w:i/>
        </w:rPr>
        <w:t xml:space="preserve"> versus</w:t>
      </w:r>
      <w:r w:rsidR="00800406">
        <w:rPr>
          <w:rFonts w:asciiTheme="minorHAnsi" w:hAnsiTheme="minorHAnsi" w:cstheme="minorHAnsi"/>
          <w:i/>
        </w:rPr>
        <w:t xml:space="preserve"> </w:t>
      </w:r>
      <w:r w:rsidR="005D7BA1" w:rsidRPr="005D7BA1">
        <w:rPr>
          <w:rFonts w:asciiTheme="minorHAnsi" w:hAnsiTheme="minorHAnsi" w:cstheme="minorHAnsi"/>
        </w:rPr>
        <w:t>Azionario Paesi Emergenti</w:t>
      </w:r>
      <w:r w:rsidR="005D7BA1">
        <w:rPr>
          <w:rFonts w:asciiTheme="minorHAnsi" w:hAnsiTheme="minorHAnsi" w:cstheme="minorHAnsi"/>
        </w:rPr>
        <w:t xml:space="preserve"> (valore originario </w:t>
      </w:r>
      <w:r w:rsidR="001E33E3">
        <w:rPr>
          <w:rFonts w:asciiTheme="minorHAnsi" w:hAnsiTheme="minorHAnsi" w:cstheme="minorHAnsi"/>
        </w:rPr>
        <w:t>-0,015</w:t>
      </w:r>
      <w:r w:rsidR="005D7BA1">
        <w:rPr>
          <w:rFonts w:asciiTheme="minorHAnsi" w:hAnsiTheme="minorHAnsi" w:cstheme="minorHAnsi"/>
        </w:rPr>
        <w:t>)</w:t>
      </w:r>
      <w:r w:rsidR="00D54843">
        <w:rPr>
          <w:rFonts w:asciiTheme="minorHAnsi" w:hAnsiTheme="minorHAnsi" w:cstheme="minorHAnsi"/>
        </w:rPr>
        <w:t>.</w:t>
      </w:r>
    </w:p>
    <w:bookmarkEnd w:id="22"/>
    <w:bookmarkEnd w:id="30"/>
    <w:p w:rsidR="008D3BC6" w:rsidRPr="000376E5" w:rsidRDefault="008D3BC6" w:rsidP="003710BD">
      <w:pPr>
        <w:spacing w:line="360" w:lineRule="auto"/>
        <w:jc w:val="both"/>
        <w:rPr>
          <w:rFonts w:asciiTheme="minorHAnsi" w:hAnsiTheme="minorHAnsi" w:cstheme="minorHAnsi"/>
          <w:sz w:val="24"/>
          <w:szCs w:val="24"/>
        </w:rPr>
      </w:pPr>
    </w:p>
    <w:p w:rsidR="00C557B4" w:rsidRPr="000376E5" w:rsidRDefault="0085351E" w:rsidP="003710BD">
      <w:pPr>
        <w:pStyle w:val="Titolo2"/>
        <w:spacing w:line="360" w:lineRule="auto"/>
        <w:jc w:val="both"/>
        <w:rPr>
          <w:rFonts w:asciiTheme="minorHAnsi" w:hAnsiTheme="minorHAnsi" w:cstheme="minorHAnsi"/>
        </w:rPr>
      </w:pPr>
      <w:bookmarkStart w:id="35" w:name="_Toc338852430"/>
      <w:bookmarkStart w:id="36" w:name="_Toc373916055"/>
      <w:bookmarkStart w:id="37" w:name="_Toc425154127"/>
      <w:r w:rsidRPr="000376E5">
        <w:rPr>
          <w:rFonts w:asciiTheme="minorHAnsi" w:hAnsiTheme="minorHAnsi" w:cstheme="minorHAnsi"/>
        </w:rPr>
        <w:t>I PESI DELLA CAPITALIZZAZIONE DEL MERCATO GLOBALE</w:t>
      </w:r>
      <w:bookmarkEnd w:id="35"/>
      <w:bookmarkEnd w:id="36"/>
      <w:bookmarkEnd w:id="37"/>
    </w:p>
    <w:p w:rsidR="00C557B4" w:rsidRPr="005E500B" w:rsidRDefault="00C557B4"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 xml:space="preserve">Al fine di ottenere i pesi </w:t>
      </w:r>
      <w:r w:rsidRPr="005E500B">
        <w:rPr>
          <w:rFonts w:asciiTheme="minorHAnsi" w:hAnsiTheme="minorHAnsi" w:cstheme="minorHAnsi"/>
          <w:i/>
          <w:sz w:val="24"/>
          <w:szCs w:val="24"/>
        </w:rPr>
        <w:t>market neutral</w:t>
      </w:r>
      <w:r w:rsidRPr="005E500B">
        <w:rPr>
          <w:rFonts w:asciiTheme="minorHAnsi" w:hAnsiTheme="minorHAnsi" w:cstheme="minorHAnsi"/>
          <w:sz w:val="24"/>
          <w:szCs w:val="24"/>
        </w:rPr>
        <w:t>, che sono il punto di partenza per l’imp</w:t>
      </w:r>
      <w:r w:rsidR="0067606A" w:rsidRPr="005E500B">
        <w:rPr>
          <w:rFonts w:asciiTheme="minorHAnsi" w:hAnsiTheme="minorHAnsi" w:cstheme="minorHAnsi"/>
          <w:sz w:val="24"/>
          <w:szCs w:val="24"/>
        </w:rPr>
        <w:t>lementazione del modello Black</w:t>
      </w:r>
      <w:r w:rsidR="002A76FD">
        <w:rPr>
          <w:rFonts w:asciiTheme="minorHAnsi" w:hAnsiTheme="minorHAnsi" w:cstheme="minorHAnsi"/>
          <w:sz w:val="24"/>
          <w:szCs w:val="24"/>
        </w:rPr>
        <w:t>-</w:t>
      </w:r>
      <w:r w:rsidRPr="005E500B">
        <w:rPr>
          <w:rFonts w:asciiTheme="minorHAnsi" w:hAnsiTheme="minorHAnsi" w:cstheme="minorHAnsi"/>
          <w:sz w:val="24"/>
          <w:szCs w:val="24"/>
        </w:rPr>
        <w:t xml:space="preserve">Litterman, si ricorre al processo di scomposizione degli indici di riferimento. Tale metodologia consente di ottenere i pesi </w:t>
      </w:r>
      <w:r w:rsidR="00505399" w:rsidRPr="005E500B">
        <w:rPr>
          <w:rFonts w:asciiTheme="minorHAnsi" w:hAnsiTheme="minorHAnsi" w:cstheme="minorHAnsi"/>
          <w:sz w:val="24"/>
          <w:szCs w:val="24"/>
        </w:rPr>
        <w:t>coerenti</w:t>
      </w:r>
      <w:r w:rsidRPr="005E500B">
        <w:rPr>
          <w:rFonts w:asciiTheme="minorHAnsi" w:hAnsiTheme="minorHAnsi" w:cstheme="minorHAnsi"/>
          <w:sz w:val="24"/>
          <w:szCs w:val="24"/>
        </w:rPr>
        <w:t xml:space="preserve"> alla capitalizzazione di mercato delle asset class coinvolte nella costruzione dei portafogli modello</w:t>
      </w:r>
      <w:r w:rsidR="00767D04" w:rsidRPr="005E500B">
        <w:rPr>
          <w:rFonts w:asciiTheme="minorHAnsi" w:hAnsiTheme="minorHAnsi" w:cstheme="minorHAnsi"/>
          <w:sz w:val="24"/>
          <w:szCs w:val="24"/>
        </w:rPr>
        <w:t xml:space="preserve"> (ad eccezione delle asset class flessibili</w:t>
      </w:r>
      <w:r w:rsidR="00D54843">
        <w:rPr>
          <w:rFonts w:asciiTheme="minorHAnsi" w:hAnsiTheme="minorHAnsi" w:cstheme="minorHAnsi"/>
          <w:sz w:val="24"/>
          <w:szCs w:val="24"/>
        </w:rPr>
        <w:t xml:space="preserve"> e dell’azionario Globale</w:t>
      </w:r>
      <w:r w:rsidR="00767D04" w:rsidRPr="005E500B">
        <w:rPr>
          <w:rFonts w:asciiTheme="minorHAnsi" w:hAnsiTheme="minorHAnsi" w:cstheme="minorHAnsi"/>
          <w:sz w:val="24"/>
          <w:szCs w:val="24"/>
        </w:rPr>
        <w:t>)</w:t>
      </w:r>
      <w:r w:rsidR="00D54843">
        <w:rPr>
          <w:rStyle w:val="Rimandonotaapidipagina"/>
          <w:rFonts w:asciiTheme="minorHAnsi" w:hAnsiTheme="minorHAnsi" w:cstheme="minorHAnsi"/>
          <w:sz w:val="24"/>
          <w:szCs w:val="24"/>
        </w:rPr>
        <w:footnoteReference w:id="3"/>
      </w:r>
      <w:r w:rsidRPr="005E500B">
        <w:rPr>
          <w:rFonts w:asciiTheme="minorHAnsi" w:hAnsiTheme="minorHAnsi" w:cstheme="minorHAnsi"/>
          <w:sz w:val="24"/>
          <w:szCs w:val="24"/>
        </w:rPr>
        <w:t xml:space="preserve">, rispetto ai quali i membri del </w:t>
      </w:r>
      <w:r w:rsidR="0067606A" w:rsidRPr="005E500B">
        <w:rPr>
          <w:rFonts w:asciiTheme="minorHAnsi" w:hAnsiTheme="minorHAnsi" w:cstheme="minorHAnsi"/>
          <w:sz w:val="24"/>
          <w:szCs w:val="24"/>
        </w:rPr>
        <w:t xml:space="preserve">Comitato Investimenti </w:t>
      </w:r>
      <w:r w:rsidRPr="005E500B">
        <w:rPr>
          <w:rFonts w:asciiTheme="minorHAnsi" w:hAnsiTheme="minorHAnsi" w:cstheme="minorHAnsi"/>
          <w:sz w:val="24"/>
          <w:szCs w:val="24"/>
        </w:rPr>
        <w:t>sono chiamati ad esprimere view relativamen</w:t>
      </w:r>
      <w:r w:rsidR="00F03FE4" w:rsidRPr="005E500B">
        <w:rPr>
          <w:rFonts w:asciiTheme="minorHAnsi" w:hAnsiTheme="minorHAnsi" w:cstheme="minorHAnsi"/>
          <w:sz w:val="24"/>
          <w:szCs w:val="24"/>
        </w:rPr>
        <w:t>te all’andamento atteso futuro.</w:t>
      </w:r>
    </w:p>
    <w:p w:rsidR="004B0044" w:rsidRPr="005E500B" w:rsidRDefault="00C557B4"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La capitalizzazione di mercato viene analizzata a seconda delle macro-asset class considerate in consulenza, ovvero la componente cash, la componente bond</w:t>
      </w:r>
      <w:r w:rsidR="0061533F" w:rsidRPr="005E500B">
        <w:rPr>
          <w:rFonts w:asciiTheme="minorHAnsi" w:hAnsiTheme="minorHAnsi" w:cstheme="minorHAnsi"/>
          <w:sz w:val="24"/>
          <w:szCs w:val="24"/>
        </w:rPr>
        <w:t>,</w:t>
      </w:r>
      <w:r w:rsidRPr="005E500B">
        <w:rPr>
          <w:rFonts w:asciiTheme="minorHAnsi" w:hAnsiTheme="minorHAnsi" w:cstheme="minorHAnsi"/>
          <w:sz w:val="24"/>
          <w:szCs w:val="24"/>
        </w:rPr>
        <w:t xml:space="preserve"> la componente equity</w:t>
      </w:r>
      <w:r w:rsidR="0061533F" w:rsidRPr="005E500B">
        <w:rPr>
          <w:rFonts w:asciiTheme="minorHAnsi" w:hAnsiTheme="minorHAnsi" w:cstheme="minorHAnsi"/>
          <w:sz w:val="24"/>
          <w:szCs w:val="24"/>
        </w:rPr>
        <w:t xml:space="preserve"> e quella </w:t>
      </w:r>
      <w:r w:rsidR="0061076C" w:rsidRPr="005E500B">
        <w:rPr>
          <w:rFonts w:asciiTheme="minorHAnsi" w:hAnsiTheme="minorHAnsi" w:cstheme="minorHAnsi"/>
          <w:sz w:val="24"/>
          <w:szCs w:val="24"/>
        </w:rPr>
        <w:t>a</w:t>
      </w:r>
      <w:r w:rsidR="0061533F" w:rsidRPr="005E500B">
        <w:rPr>
          <w:rFonts w:asciiTheme="minorHAnsi" w:hAnsiTheme="minorHAnsi" w:cstheme="minorHAnsi"/>
          <w:sz w:val="24"/>
          <w:szCs w:val="24"/>
        </w:rPr>
        <w:t>lternativa</w:t>
      </w:r>
      <w:r w:rsidR="0061076C" w:rsidRPr="005E500B">
        <w:rPr>
          <w:rStyle w:val="Rimandonotaapidipagina"/>
          <w:rFonts w:asciiTheme="minorHAnsi" w:hAnsiTheme="minorHAnsi" w:cstheme="minorHAnsi"/>
          <w:sz w:val="24"/>
          <w:szCs w:val="24"/>
        </w:rPr>
        <w:footnoteReference w:id="4"/>
      </w:r>
      <w:r w:rsidR="0061076C" w:rsidRPr="005E500B">
        <w:rPr>
          <w:rFonts w:asciiTheme="minorHAnsi" w:hAnsiTheme="minorHAnsi" w:cstheme="minorHAnsi"/>
          <w:sz w:val="24"/>
          <w:szCs w:val="24"/>
        </w:rPr>
        <w:t xml:space="preserve">. </w:t>
      </w:r>
      <w:r w:rsidR="00EA3A77" w:rsidRPr="005E500B">
        <w:rPr>
          <w:rFonts w:asciiTheme="minorHAnsi" w:hAnsiTheme="minorHAnsi" w:cstheme="minorHAnsi"/>
          <w:sz w:val="24"/>
          <w:szCs w:val="24"/>
        </w:rPr>
        <w:t xml:space="preserve">Più nello specifico, eliminate le aree di sovrapposizione tra gli indici, il peso dei singoli mercati </w:t>
      </w:r>
      <w:r w:rsidR="004B0044" w:rsidRPr="005E500B">
        <w:rPr>
          <w:rFonts w:asciiTheme="minorHAnsi" w:hAnsiTheme="minorHAnsi" w:cstheme="minorHAnsi"/>
          <w:sz w:val="24"/>
          <w:szCs w:val="24"/>
        </w:rPr>
        <w:t>viene</w:t>
      </w:r>
      <w:r w:rsidR="00EA3A77" w:rsidRPr="005E500B">
        <w:rPr>
          <w:rFonts w:asciiTheme="minorHAnsi" w:hAnsiTheme="minorHAnsi" w:cstheme="minorHAnsi"/>
          <w:sz w:val="24"/>
          <w:szCs w:val="24"/>
        </w:rPr>
        <w:t xml:space="preserve"> definito sulla base del peso relativo di ciascuno all’interno della macro area (azionaria e obbligazionaria) di appartenenza</w:t>
      </w:r>
      <w:r w:rsidR="004B0044" w:rsidRPr="005E500B">
        <w:rPr>
          <w:rFonts w:asciiTheme="minorHAnsi" w:hAnsiTheme="minorHAnsi" w:cstheme="minorHAnsi"/>
          <w:sz w:val="24"/>
          <w:szCs w:val="24"/>
        </w:rPr>
        <w:t>.</w:t>
      </w:r>
    </w:p>
    <w:p w:rsidR="00C557B4" w:rsidRPr="005E500B" w:rsidRDefault="0061076C"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Inoltre, al fine di allineare il portafoglio neutrale alle scelte di investimento degli investitori europei e, in particolare, incorporare il fenomeno dell’</w:t>
      </w:r>
      <w:r w:rsidRPr="005E500B">
        <w:rPr>
          <w:rFonts w:asciiTheme="minorHAnsi" w:hAnsiTheme="minorHAnsi" w:cstheme="minorHAnsi"/>
          <w:i/>
          <w:sz w:val="24"/>
          <w:szCs w:val="24"/>
        </w:rPr>
        <w:t>home bias</w:t>
      </w:r>
      <w:r w:rsidR="00800406">
        <w:rPr>
          <w:rFonts w:asciiTheme="minorHAnsi" w:hAnsiTheme="minorHAnsi" w:cstheme="minorHAnsi"/>
          <w:i/>
          <w:sz w:val="24"/>
          <w:szCs w:val="24"/>
        </w:rPr>
        <w:t xml:space="preserve"> </w:t>
      </w:r>
      <w:r w:rsidRPr="005E500B">
        <w:rPr>
          <w:rFonts w:asciiTheme="minorHAnsi" w:hAnsiTheme="minorHAnsi" w:cstheme="minorHAnsi"/>
          <w:sz w:val="24"/>
          <w:szCs w:val="24"/>
        </w:rPr>
        <w:t>che si manifesta come aprioristica preferenza della componente obbligazionaria non esposta al rischio di cambio, si è provvedut</w:t>
      </w:r>
      <w:r w:rsidR="00505399" w:rsidRPr="005E500B">
        <w:rPr>
          <w:rFonts w:asciiTheme="minorHAnsi" w:hAnsiTheme="minorHAnsi" w:cstheme="minorHAnsi"/>
          <w:sz w:val="24"/>
          <w:szCs w:val="24"/>
        </w:rPr>
        <w:t>o</w:t>
      </w:r>
      <w:r w:rsidRPr="005E500B">
        <w:rPr>
          <w:rFonts w:asciiTheme="minorHAnsi" w:hAnsiTheme="minorHAnsi" w:cstheme="minorHAnsi"/>
          <w:sz w:val="24"/>
          <w:szCs w:val="24"/>
        </w:rPr>
        <w:t xml:space="preserve"> ad una riduzione del peso della componente obbligazionaria in valuta a favore dell</w:t>
      </w:r>
      <w:r w:rsidR="008C3A6C">
        <w:rPr>
          <w:rFonts w:asciiTheme="minorHAnsi" w:hAnsiTheme="minorHAnsi" w:cstheme="minorHAnsi"/>
          <w:sz w:val="24"/>
          <w:szCs w:val="24"/>
        </w:rPr>
        <w:t>a</w:t>
      </w:r>
      <w:r w:rsidR="00800406">
        <w:rPr>
          <w:rFonts w:asciiTheme="minorHAnsi" w:hAnsiTheme="minorHAnsi" w:cstheme="minorHAnsi"/>
          <w:sz w:val="24"/>
          <w:szCs w:val="24"/>
        </w:rPr>
        <w:t xml:space="preserve"> </w:t>
      </w:r>
      <w:r w:rsidRPr="005E500B">
        <w:rPr>
          <w:rFonts w:asciiTheme="minorHAnsi" w:hAnsiTheme="minorHAnsi" w:cstheme="minorHAnsi"/>
          <w:sz w:val="24"/>
          <w:szCs w:val="24"/>
        </w:rPr>
        <w:t>component</w:t>
      </w:r>
      <w:r w:rsidR="008C3A6C">
        <w:rPr>
          <w:rFonts w:asciiTheme="minorHAnsi" w:hAnsiTheme="minorHAnsi" w:cstheme="minorHAnsi"/>
          <w:sz w:val="24"/>
          <w:szCs w:val="24"/>
        </w:rPr>
        <w:t>e</w:t>
      </w:r>
      <w:r w:rsidRPr="005E500B">
        <w:rPr>
          <w:rFonts w:asciiTheme="minorHAnsi" w:hAnsiTheme="minorHAnsi" w:cstheme="minorHAnsi"/>
          <w:sz w:val="24"/>
          <w:szCs w:val="24"/>
        </w:rPr>
        <w:t xml:space="preserve"> obbligazionari</w:t>
      </w:r>
      <w:r w:rsidR="008C3A6C">
        <w:rPr>
          <w:rFonts w:asciiTheme="minorHAnsi" w:hAnsiTheme="minorHAnsi" w:cstheme="minorHAnsi"/>
          <w:sz w:val="24"/>
          <w:szCs w:val="24"/>
        </w:rPr>
        <w:t>a</w:t>
      </w:r>
      <w:r w:rsidRPr="005E500B">
        <w:rPr>
          <w:rFonts w:asciiTheme="minorHAnsi" w:hAnsiTheme="minorHAnsi" w:cstheme="minorHAnsi"/>
          <w:sz w:val="24"/>
          <w:szCs w:val="24"/>
        </w:rPr>
        <w:t xml:space="preserve"> in euro. Nella </w:t>
      </w:r>
      <w:r w:rsidR="00C557B4" w:rsidRPr="005E500B">
        <w:rPr>
          <w:rFonts w:asciiTheme="minorHAnsi" w:hAnsiTheme="minorHAnsi" w:cstheme="minorHAnsi"/>
          <w:sz w:val="24"/>
          <w:szCs w:val="24"/>
        </w:rPr>
        <w:t>Tabella 3</w:t>
      </w:r>
      <w:r w:rsidRPr="005E500B">
        <w:rPr>
          <w:rFonts w:asciiTheme="minorHAnsi" w:hAnsiTheme="minorHAnsi" w:cstheme="minorHAnsi"/>
          <w:sz w:val="24"/>
          <w:szCs w:val="24"/>
        </w:rPr>
        <w:t xml:space="preserve"> viene riportata la composizione del </w:t>
      </w:r>
      <w:r w:rsidRPr="005E500B">
        <w:rPr>
          <w:rFonts w:asciiTheme="minorHAnsi" w:hAnsiTheme="minorHAnsi" w:cstheme="minorHAnsi"/>
          <w:sz w:val="24"/>
          <w:szCs w:val="24"/>
        </w:rPr>
        <w:lastRenderedPageBreak/>
        <w:t>portafoglio neutrale corretto per l’</w:t>
      </w:r>
      <w:r w:rsidRPr="00AB7CAC">
        <w:rPr>
          <w:rFonts w:asciiTheme="minorHAnsi" w:hAnsiTheme="minorHAnsi" w:cstheme="minorHAnsi"/>
          <w:i/>
          <w:sz w:val="24"/>
          <w:szCs w:val="24"/>
        </w:rPr>
        <w:t>home bias</w:t>
      </w:r>
      <w:r w:rsidR="00E6766E">
        <w:rPr>
          <w:rFonts w:asciiTheme="minorHAnsi" w:hAnsiTheme="minorHAnsi" w:cstheme="minorHAnsi"/>
          <w:sz w:val="24"/>
          <w:szCs w:val="24"/>
        </w:rPr>
        <w:t xml:space="preserve"> (nella tabella è possibile anche fare un confronto tra il portafoglio Market Neutral “puro” e quello poi concretamente utilizzato corretto per l’</w:t>
      </w:r>
      <w:r w:rsidR="00E6766E" w:rsidRPr="00E6766E">
        <w:rPr>
          <w:rFonts w:asciiTheme="minorHAnsi" w:hAnsiTheme="minorHAnsi" w:cstheme="minorHAnsi"/>
          <w:i/>
          <w:sz w:val="24"/>
          <w:szCs w:val="24"/>
        </w:rPr>
        <w:t>home bias</w:t>
      </w:r>
      <w:r w:rsidR="00E6766E">
        <w:rPr>
          <w:rFonts w:asciiTheme="minorHAnsi" w:hAnsiTheme="minorHAnsi" w:cstheme="minorHAnsi"/>
          <w:sz w:val="24"/>
          <w:szCs w:val="24"/>
        </w:rPr>
        <w:t>)</w:t>
      </w:r>
      <w:r w:rsidRPr="005E500B">
        <w:rPr>
          <w:rFonts w:asciiTheme="minorHAnsi" w:hAnsiTheme="minorHAnsi" w:cstheme="minorHAnsi"/>
          <w:sz w:val="24"/>
          <w:szCs w:val="24"/>
        </w:rPr>
        <w:t>.</w:t>
      </w:r>
    </w:p>
    <w:p w:rsidR="00C557B4" w:rsidRDefault="00C557B4" w:rsidP="003710BD">
      <w:pPr>
        <w:spacing w:line="360" w:lineRule="auto"/>
        <w:jc w:val="both"/>
        <w:rPr>
          <w:rFonts w:asciiTheme="minorHAnsi" w:hAnsiTheme="minorHAnsi" w:cstheme="minorHAnsi"/>
          <w:sz w:val="24"/>
          <w:szCs w:val="24"/>
        </w:rPr>
      </w:pPr>
    </w:p>
    <w:p w:rsidR="00C557B4" w:rsidRDefault="00E6766E" w:rsidP="0061076C">
      <w:pPr>
        <w:spacing w:line="360" w:lineRule="auto"/>
        <w:jc w:val="center"/>
        <w:rPr>
          <w:rFonts w:asciiTheme="minorHAnsi" w:hAnsiTheme="minorHAnsi" w:cstheme="minorHAnsi"/>
          <w:sz w:val="24"/>
          <w:szCs w:val="24"/>
        </w:rPr>
      </w:pPr>
      <w:r w:rsidRPr="00E6766E">
        <w:rPr>
          <w:noProof/>
          <w:lang w:eastAsia="it-IT"/>
        </w:rPr>
        <w:drawing>
          <wp:inline distT="0" distB="0" distL="0" distR="0" wp14:anchorId="519B4003" wp14:editId="4BF397F1">
            <wp:extent cx="6120130" cy="254688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546886"/>
                    </a:xfrm>
                    <a:prstGeom prst="rect">
                      <a:avLst/>
                    </a:prstGeom>
                    <a:noFill/>
                    <a:ln>
                      <a:noFill/>
                    </a:ln>
                  </pic:spPr>
                </pic:pic>
              </a:graphicData>
            </a:graphic>
          </wp:inline>
        </w:drawing>
      </w:r>
    </w:p>
    <w:p w:rsidR="006C0C6A" w:rsidRPr="0061076C" w:rsidRDefault="006C0C6A" w:rsidP="00E6766E">
      <w:pPr>
        <w:spacing w:line="360" w:lineRule="auto"/>
        <w:jc w:val="both"/>
        <w:rPr>
          <w:rFonts w:asciiTheme="minorHAnsi" w:hAnsiTheme="minorHAnsi" w:cstheme="minorHAnsi"/>
          <w:b/>
          <w:sz w:val="24"/>
          <w:szCs w:val="24"/>
        </w:rPr>
      </w:pPr>
      <w:r w:rsidRPr="0061076C">
        <w:rPr>
          <w:rFonts w:asciiTheme="minorHAnsi" w:hAnsiTheme="minorHAnsi" w:cstheme="minorHAnsi"/>
          <w:b/>
          <w:sz w:val="24"/>
          <w:szCs w:val="24"/>
        </w:rPr>
        <w:t>Tabella 3</w:t>
      </w:r>
    </w:p>
    <w:p w:rsidR="00C01195" w:rsidRPr="000376E5" w:rsidRDefault="00C01195" w:rsidP="003710BD">
      <w:pPr>
        <w:spacing w:line="360" w:lineRule="auto"/>
        <w:jc w:val="both"/>
        <w:rPr>
          <w:rFonts w:asciiTheme="minorHAnsi" w:hAnsiTheme="minorHAnsi" w:cstheme="minorHAnsi"/>
          <w:sz w:val="24"/>
          <w:szCs w:val="24"/>
        </w:rPr>
      </w:pPr>
    </w:p>
    <w:p w:rsidR="00DC0AF2" w:rsidRPr="005E500B" w:rsidRDefault="00505399"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 xml:space="preserve">Il portafoglio </w:t>
      </w:r>
      <w:r w:rsidRPr="005E500B">
        <w:rPr>
          <w:rFonts w:asciiTheme="minorHAnsi" w:hAnsiTheme="minorHAnsi" w:cstheme="minorHAnsi"/>
          <w:i/>
          <w:sz w:val="24"/>
          <w:szCs w:val="24"/>
        </w:rPr>
        <w:t>market neutral</w:t>
      </w:r>
      <w:r w:rsidR="008D24C4">
        <w:rPr>
          <w:rStyle w:val="Rimandonotaapidipagina"/>
          <w:rFonts w:asciiTheme="minorHAnsi" w:hAnsiTheme="minorHAnsi" w:cstheme="minorHAnsi"/>
          <w:i/>
          <w:sz w:val="24"/>
          <w:szCs w:val="24"/>
        </w:rPr>
        <w:footnoteReference w:id="5"/>
      </w:r>
      <w:r w:rsidRPr="005E500B">
        <w:rPr>
          <w:rFonts w:asciiTheme="minorHAnsi" w:hAnsiTheme="minorHAnsi" w:cstheme="minorHAnsi"/>
          <w:sz w:val="24"/>
          <w:szCs w:val="24"/>
        </w:rPr>
        <w:t xml:space="preserve"> è stato stimato sulla base dei dati disponibili </w:t>
      </w:r>
      <w:r w:rsidR="00A56045">
        <w:rPr>
          <w:rFonts w:asciiTheme="minorHAnsi" w:hAnsiTheme="minorHAnsi" w:cstheme="minorHAnsi"/>
          <w:sz w:val="24"/>
          <w:szCs w:val="24"/>
        </w:rPr>
        <w:t>al momento (</w:t>
      </w:r>
      <w:r w:rsidR="00A56045" w:rsidRPr="005E500B">
        <w:rPr>
          <w:rFonts w:asciiTheme="minorHAnsi" w:hAnsiTheme="minorHAnsi" w:cstheme="minorHAnsi"/>
          <w:sz w:val="24"/>
          <w:szCs w:val="24"/>
        </w:rPr>
        <w:t>aprile 2015</w:t>
      </w:r>
      <w:r w:rsidR="00A56045">
        <w:rPr>
          <w:rFonts w:asciiTheme="minorHAnsi" w:hAnsiTheme="minorHAnsi" w:cstheme="minorHAnsi"/>
          <w:sz w:val="24"/>
          <w:szCs w:val="24"/>
        </w:rPr>
        <w:t>) dello sviluppo delle ottimizzazioni per la costruzione dei portafogli modello</w:t>
      </w:r>
      <w:r w:rsidRPr="005E500B">
        <w:rPr>
          <w:rFonts w:asciiTheme="minorHAnsi" w:hAnsiTheme="minorHAnsi" w:cstheme="minorHAnsi"/>
          <w:sz w:val="24"/>
          <w:szCs w:val="24"/>
        </w:rPr>
        <w:t>. Si procederà ad un nuova stima della composizione neutrale</w:t>
      </w:r>
      <w:r w:rsidR="004B0044" w:rsidRPr="005E500B">
        <w:rPr>
          <w:rFonts w:asciiTheme="minorHAnsi" w:hAnsiTheme="minorHAnsi" w:cstheme="minorHAnsi"/>
          <w:sz w:val="24"/>
          <w:szCs w:val="24"/>
        </w:rPr>
        <w:t xml:space="preserve"> solo</w:t>
      </w:r>
      <w:r w:rsidRPr="005E500B">
        <w:rPr>
          <w:rFonts w:asciiTheme="minorHAnsi" w:hAnsiTheme="minorHAnsi" w:cstheme="minorHAnsi"/>
          <w:sz w:val="24"/>
          <w:szCs w:val="24"/>
        </w:rPr>
        <w:t xml:space="preserve"> in concomitanza con la creazione di nuovi portafogli modello</w:t>
      </w:r>
      <w:r w:rsidR="007642C0">
        <w:rPr>
          <w:rFonts w:asciiTheme="minorHAnsi" w:hAnsiTheme="minorHAnsi" w:cstheme="minorHAnsi"/>
          <w:sz w:val="24"/>
          <w:szCs w:val="24"/>
        </w:rPr>
        <w:t xml:space="preserve"> strategici</w:t>
      </w:r>
      <w:r w:rsidRPr="005E500B">
        <w:rPr>
          <w:rFonts w:asciiTheme="minorHAnsi" w:hAnsiTheme="minorHAnsi" w:cstheme="minorHAnsi"/>
          <w:sz w:val="24"/>
          <w:szCs w:val="24"/>
        </w:rPr>
        <w:t xml:space="preserve">. </w:t>
      </w:r>
    </w:p>
    <w:p w:rsidR="001F494F" w:rsidRDefault="001F494F" w:rsidP="003710BD">
      <w:pPr>
        <w:spacing w:line="360" w:lineRule="auto"/>
        <w:jc w:val="both"/>
        <w:rPr>
          <w:rFonts w:asciiTheme="minorHAnsi" w:hAnsiTheme="minorHAnsi" w:cstheme="minorHAnsi"/>
          <w:sz w:val="22"/>
        </w:rPr>
      </w:pPr>
    </w:p>
    <w:p w:rsidR="00C557B4" w:rsidRPr="000376E5" w:rsidRDefault="009B6BA5" w:rsidP="003710BD">
      <w:pPr>
        <w:pStyle w:val="Titolo2"/>
        <w:spacing w:line="360" w:lineRule="auto"/>
        <w:jc w:val="both"/>
        <w:rPr>
          <w:rFonts w:asciiTheme="minorHAnsi" w:hAnsiTheme="minorHAnsi" w:cstheme="minorHAnsi"/>
        </w:rPr>
      </w:pPr>
      <w:bookmarkStart w:id="38" w:name="_Toc338852431"/>
      <w:bookmarkStart w:id="39" w:name="_Toc373916056"/>
      <w:bookmarkStart w:id="40" w:name="_Toc425154128"/>
      <w:r>
        <w:rPr>
          <w:rFonts w:asciiTheme="minorHAnsi" w:hAnsiTheme="minorHAnsi" w:cstheme="minorHAnsi"/>
        </w:rPr>
        <w:t xml:space="preserve">IL </w:t>
      </w:r>
      <w:r w:rsidR="0067606A" w:rsidRPr="000376E5">
        <w:rPr>
          <w:rFonts w:asciiTheme="minorHAnsi" w:hAnsiTheme="minorHAnsi" w:cstheme="minorHAnsi"/>
        </w:rPr>
        <w:t xml:space="preserve">CALCOLO DEI RENDIMENTI DI </w:t>
      </w:r>
      <w:bookmarkEnd w:id="38"/>
      <w:bookmarkEnd w:id="39"/>
      <w:r w:rsidR="003710BD">
        <w:rPr>
          <w:rFonts w:asciiTheme="minorHAnsi" w:hAnsiTheme="minorHAnsi" w:cstheme="minorHAnsi"/>
        </w:rPr>
        <w:t>MARKET NEUTRAL</w:t>
      </w:r>
      <w:bookmarkEnd w:id="40"/>
    </w:p>
    <w:p w:rsidR="00003A1D" w:rsidRPr="005E500B" w:rsidRDefault="004B0044"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 xml:space="preserve">Noti il portafoglio neutrale e la matrice </w:t>
      </w:r>
      <w:r w:rsidR="007642C0">
        <w:rPr>
          <w:rFonts w:asciiTheme="minorHAnsi" w:hAnsiTheme="minorHAnsi" w:cstheme="minorHAnsi"/>
          <w:sz w:val="24"/>
          <w:szCs w:val="24"/>
        </w:rPr>
        <w:t xml:space="preserve">di </w:t>
      </w:r>
      <w:r w:rsidRPr="005E500B">
        <w:rPr>
          <w:rFonts w:asciiTheme="minorHAnsi" w:hAnsiTheme="minorHAnsi" w:cstheme="minorHAnsi"/>
          <w:sz w:val="24"/>
          <w:szCs w:val="24"/>
        </w:rPr>
        <w:t>varianze-covarianze</w:t>
      </w:r>
      <w:r w:rsidR="008C3A6C">
        <w:rPr>
          <w:rFonts w:asciiTheme="minorHAnsi" w:hAnsiTheme="minorHAnsi" w:cstheme="minorHAnsi"/>
          <w:sz w:val="24"/>
          <w:szCs w:val="24"/>
        </w:rPr>
        <w:t xml:space="preserve"> dei rendimenti</w:t>
      </w:r>
      <w:r w:rsidRPr="005E500B">
        <w:rPr>
          <w:rFonts w:asciiTheme="minorHAnsi" w:hAnsiTheme="minorHAnsi" w:cstheme="minorHAnsi"/>
          <w:sz w:val="24"/>
          <w:szCs w:val="24"/>
        </w:rPr>
        <w:t>,</w:t>
      </w:r>
      <w:r w:rsidR="00003A1D" w:rsidRPr="005E500B">
        <w:rPr>
          <w:rFonts w:asciiTheme="minorHAnsi" w:hAnsiTheme="minorHAnsi" w:cstheme="minorHAnsi"/>
          <w:sz w:val="24"/>
          <w:szCs w:val="24"/>
        </w:rPr>
        <w:t xml:space="preserve"> il calcolo de</w:t>
      </w:r>
      <w:r w:rsidRPr="005E500B">
        <w:rPr>
          <w:rFonts w:asciiTheme="minorHAnsi" w:hAnsiTheme="minorHAnsi" w:cstheme="minorHAnsi"/>
          <w:sz w:val="24"/>
          <w:szCs w:val="24"/>
        </w:rPr>
        <w:t>i</w:t>
      </w:r>
      <w:r w:rsidR="00003A1D" w:rsidRPr="005E500B">
        <w:rPr>
          <w:rFonts w:asciiTheme="minorHAnsi" w:hAnsiTheme="minorHAnsi" w:cstheme="minorHAnsi"/>
          <w:sz w:val="24"/>
          <w:szCs w:val="24"/>
        </w:rPr>
        <w:t xml:space="preserve"> rendiment</w:t>
      </w:r>
      <w:r w:rsidRPr="005E500B">
        <w:rPr>
          <w:rFonts w:asciiTheme="minorHAnsi" w:hAnsiTheme="minorHAnsi" w:cstheme="minorHAnsi"/>
          <w:sz w:val="24"/>
          <w:szCs w:val="24"/>
        </w:rPr>
        <w:t>i attesi market neutral</w:t>
      </w:r>
      <w:r w:rsidR="00003A1D" w:rsidRPr="005E500B">
        <w:rPr>
          <w:rFonts w:asciiTheme="minorHAnsi" w:hAnsiTheme="minorHAnsi" w:cstheme="minorHAnsi"/>
          <w:sz w:val="24"/>
          <w:szCs w:val="24"/>
        </w:rPr>
        <w:t xml:space="preserve"> delle asset class </w:t>
      </w:r>
      <w:r w:rsidRPr="005E500B">
        <w:rPr>
          <w:rFonts w:asciiTheme="minorHAnsi" w:hAnsiTheme="minorHAnsi" w:cstheme="minorHAnsi"/>
          <w:sz w:val="24"/>
          <w:szCs w:val="24"/>
        </w:rPr>
        <w:t xml:space="preserve">(ovvero </w:t>
      </w:r>
      <w:r w:rsidR="00003A1D" w:rsidRPr="005E500B">
        <w:rPr>
          <w:rFonts w:asciiTheme="minorHAnsi" w:hAnsiTheme="minorHAnsi" w:cstheme="minorHAnsi"/>
          <w:sz w:val="24"/>
          <w:szCs w:val="24"/>
        </w:rPr>
        <w:t>dei benchmark</w:t>
      </w:r>
      <w:r w:rsidRPr="005E500B">
        <w:rPr>
          <w:rFonts w:asciiTheme="minorHAnsi" w:hAnsiTheme="minorHAnsi" w:cstheme="minorHAnsi"/>
          <w:sz w:val="24"/>
          <w:szCs w:val="24"/>
        </w:rPr>
        <w:t>),</w:t>
      </w:r>
      <w:r w:rsidR="00003A1D" w:rsidRPr="005E500B">
        <w:rPr>
          <w:rFonts w:asciiTheme="minorHAnsi" w:hAnsiTheme="minorHAnsi" w:cstheme="minorHAnsi"/>
          <w:sz w:val="24"/>
          <w:szCs w:val="24"/>
        </w:rPr>
        <w:t>viene effettuato</w:t>
      </w:r>
      <w:r w:rsidRPr="005E500B">
        <w:rPr>
          <w:rFonts w:asciiTheme="minorHAnsi" w:hAnsiTheme="minorHAnsi" w:cstheme="minorHAnsi"/>
          <w:sz w:val="24"/>
          <w:szCs w:val="24"/>
        </w:rPr>
        <w:t xml:space="preserve"> con il modello della </w:t>
      </w:r>
      <w:r w:rsidRPr="005E500B">
        <w:rPr>
          <w:rFonts w:asciiTheme="minorHAnsi" w:hAnsiTheme="minorHAnsi" w:cstheme="minorHAnsi"/>
          <w:i/>
          <w:sz w:val="24"/>
          <w:szCs w:val="24"/>
        </w:rPr>
        <w:t>reverse optimization</w:t>
      </w:r>
      <w:r w:rsidRPr="005E500B">
        <w:rPr>
          <w:rFonts w:asciiTheme="minorHAnsi" w:hAnsiTheme="minorHAnsi" w:cstheme="minorHAnsi"/>
          <w:sz w:val="24"/>
          <w:szCs w:val="24"/>
        </w:rPr>
        <w:t>. Essendo la matrice varianze-covarianze relativa ai rendimenti annuali, anche tali rendimenti attesi neutrali saranno espressi su base annua.</w:t>
      </w:r>
    </w:p>
    <w:p w:rsidR="00C557B4" w:rsidRPr="005E500B" w:rsidRDefault="004B0044" w:rsidP="003710BD">
      <w:pPr>
        <w:spacing w:after="120" w:line="360" w:lineRule="auto"/>
        <w:jc w:val="both"/>
        <w:rPr>
          <w:rFonts w:asciiTheme="minorHAnsi" w:hAnsiTheme="minorHAnsi" w:cstheme="minorHAnsi"/>
          <w:sz w:val="24"/>
          <w:szCs w:val="24"/>
        </w:rPr>
      </w:pPr>
      <w:r w:rsidRPr="005E500B">
        <w:rPr>
          <w:rFonts w:asciiTheme="minorHAnsi" w:hAnsiTheme="minorHAnsi" w:cstheme="minorHAnsi"/>
          <w:sz w:val="24"/>
          <w:szCs w:val="24"/>
        </w:rPr>
        <w:t>I</w:t>
      </w:r>
      <w:r w:rsidR="00C557B4" w:rsidRPr="005E500B">
        <w:rPr>
          <w:rFonts w:asciiTheme="minorHAnsi" w:hAnsiTheme="minorHAnsi" w:cstheme="minorHAnsi"/>
          <w:sz w:val="24"/>
          <w:szCs w:val="24"/>
        </w:rPr>
        <w:t>l processo di ottimizzazione inversa (reverse optimization)</w:t>
      </w:r>
      <w:r w:rsidRPr="005E500B">
        <w:rPr>
          <w:rFonts w:asciiTheme="minorHAnsi" w:hAnsiTheme="minorHAnsi" w:cstheme="minorHAnsi"/>
          <w:sz w:val="24"/>
          <w:szCs w:val="24"/>
        </w:rPr>
        <w:t xml:space="preserve"> è sintetizzabile nella </w:t>
      </w:r>
      <w:r w:rsidR="00C557B4" w:rsidRPr="005E500B">
        <w:rPr>
          <w:rFonts w:asciiTheme="minorHAnsi" w:hAnsiTheme="minorHAnsi" w:cstheme="minorHAnsi"/>
          <w:sz w:val="24"/>
          <w:szCs w:val="24"/>
        </w:rPr>
        <w:t>seguente formula:</w:t>
      </w:r>
    </w:p>
    <w:p w:rsidR="00C557B4" w:rsidRPr="005E500B" w:rsidRDefault="008C3A6C" w:rsidP="003710BD">
      <w:pPr>
        <w:spacing w:line="360" w:lineRule="auto"/>
        <w:jc w:val="both"/>
        <w:rPr>
          <w:rFonts w:asciiTheme="minorHAnsi" w:hAnsiTheme="minorHAnsi" w:cstheme="minorHAnsi"/>
          <w:sz w:val="24"/>
          <w:szCs w:val="24"/>
        </w:rPr>
      </w:pPr>
      <w:r w:rsidRPr="005E500B">
        <w:rPr>
          <w:rFonts w:asciiTheme="minorHAnsi" w:hAnsiTheme="minorHAnsi" w:cstheme="minorHAnsi"/>
          <w:position w:val="-14"/>
          <w:sz w:val="24"/>
          <w:szCs w:val="24"/>
        </w:rPr>
        <w:object w:dxaOrig="1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65pt;height:19.35pt" o:ole="">
            <v:imagedata r:id="rId11" o:title=""/>
          </v:shape>
          <o:OLEObject Type="Embed" ProgID="Equation.3" ShapeID="_x0000_i1025" DrawAspect="Content" ObjectID="_1614572934" r:id="rId12"/>
        </w:object>
      </w:r>
    </w:p>
    <w:p w:rsidR="00C557B4" w:rsidRPr="005E500B" w:rsidRDefault="00C557B4"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dove:</w:t>
      </w:r>
    </w:p>
    <w:p w:rsidR="00C557B4" w:rsidRPr="00CB1803" w:rsidRDefault="008C3A6C" w:rsidP="00CB1803">
      <w:pPr>
        <w:pStyle w:val="Paragrafoelenco"/>
        <w:numPr>
          <w:ilvl w:val="0"/>
          <w:numId w:val="47"/>
        </w:numPr>
        <w:tabs>
          <w:tab w:val="left" w:pos="720"/>
        </w:tabs>
        <w:spacing w:line="360" w:lineRule="auto"/>
        <w:jc w:val="both"/>
        <w:rPr>
          <w:rFonts w:asciiTheme="minorHAnsi" w:hAnsiTheme="minorHAnsi" w:cstheme="minorHAnsi"/>
        </w:rPr>
      </w:pPr>
      <w:r w:rsidRPr="008C3A6C">
        <w:rPr>
          <w:position w:val="-4"/>
        </w:rPr>
        <w:object w:dxaOrig="260" w:dyaOrig="240">
          <v:shape id="_x0000_i1026" type="#_x0000_t75" style="width:12.65pt;height:12pt" o:ole="">
            <v:imagedata r:id="rId13" o:title=""/>
          </v:shape>
          <o:OLEObject Type="Embed" ProgID="Equation.3" ShapeID="_x0000_i1026" DrawAspect="Content" ObjectID="_1614572935" r:id="rId14"/>
        </w:object>
      </w:r>
      <w:r w:rsidR="00C557B4" w:rsidRPr="00CB1803">
        <w:rPr>
          <w:rFonts w:asciiTheme="minorHAnsi" w:hAnsiTheme="minorHAnsi" w:cstheme="minorHAnsi"/>
        </w:rPr>
        <w:t xml:space="preserve">è il vettore </w:t>
      </w:r>
      <w:r w:rsidR="004B0044" w:rsidRPr="00CB1803">
        <w:rPr>
          <w:rFonts w:asciiTheme="minorHAnsi" w:hAnsiTheme="minorHAnsi" w:cstheme="minorHAnsi"/>
        </w:rPr>
        <w:t>dei rendimenti attesi</w:t>
      </w:r>
      <w:r w:rsidR="00C557B4" w:rsidRPr="00CB1803">
        <w:rPr>
          <w:rFonts w:asciiTheme="minorHAnsi" w:hAnsiTheme="minorHAnsi" w:cstheme="minorHAnsi"/>
        </w:rPr>
        <w:t xml:space="preserve"> impliciti di equilibrio</w:t>
      </w:r>
      <w:r w:rsidR="004B0044" w:rsidRPr="00CB1803">
        <w:rPr>
          <w:rFonts w:asciiTheme="minorHAnsi" w:hAnsiTheme="minorHAnsi" w:cstheme="minorHAnsi"/>
        </w:rPr>
        <w:t xml:space="preserve"> (</w:t>
      </w:r>
      <w:r w:rsidR="004B0044" w:rsidRPr="00CB1803">
        <w:rPr>
          <w:rFonts w:asciiTheme="minorHAnsi" w:hAnsiTheme="minorHAnsi" w:cstheme="minorHAnsi"/>
          <w:i/>
        </w:rPr>
        <w:t>market neutral</w:t>
      </w:r>
      <w:r w:rsidR="004B0044" w:rsidRPr="00CB1803">
        <w:rPr>
          <w:rFonts w:asciiTheme="minorHAnsi" w:hAnsiTheme="minorHAnsi" w:cstheme="minorHAnsi"/>
        </w:rPr>
        <w:t>)</w:t>
      </w:r>
      <w:r w:rsidR="00C557B4" w:rsidRPr="00CB1803">
        <w:rPr>
          <w:rFonts w:asciiTheme="minorHAnsi" w:hAnsiTheme="minorHAnsi" w:cstheme="minorHAnsi"/>
        </w:rPr>
        <w:t>;</w:t>
      </w:r>
    </w:p>
    <w:p w:rsidR="004B0044" w:rsidRPr="00CB1803" w:rsidRDefault="004B0044" w:rsidP="00CB1803">
      <w:pPr>
        <w:pStyle w:val="Paragrafoelenco"/>
        <w:numPr>
          <w:ilvl w:val="0"/>
          <w:numId w:val="47"/>
        </w:numPr>
        <w:tabs>
          <w:tab w:val="left" w:pos="720"/>
        </w:tabs>
        <w:spacing w:line="360" w:lineRule="auto"/>
        <w:jc w:val="both"/>
        <w:rPr>
          <w:rFonts w:asciiTheme="minorHAnsi" w:hAnsiTheme="minorHAnsi" w:cstheme="minorHAnsi"/>
        </w:rPr>
      </w:pPr>
      <w:r w:rsidRPr="00CB1803">
        <w:rPr>
          <w:rFonts w:asciiTheme="minorHAnsi" w:hAnsiTheme="minorHAnsi" w:cstheme="minorHAnsi"/>
        </w:rPr>
        <w:t>r</w:t>
      </w:r>
      <w:r w:rsidRPr="00CB1803">
        <w:rPr>
          <w:rFonts w:asciiTheme="minorHAnsi" w:hAnsiTheme="minorHAnsi" w:cstheme="minorHAnsi"/>
          <w:vertAlign w:val="subscript"/>
        </w:rPr>
        <w:t>f</w:t>
      </w:r>
      <w:r w:rsidRPr="00CB1803">
        <w:rPr>
          <w:rFonts w:asciiTheme="minorHAnsi" w:hAnsiTheme="minorHAnsi" w:cstheme="minorHAnsi"/>
        </w:rPr>
        <w:t xml:space="preserve"> è il tasso di rendimento risk free (espresso su base annua);</w:t>
      </w:r>
    </w:p>
    <w:p w:rsidR="00C557B4" w:rsidRPr="00CB1803" w:rsidRDefault="008C3A6C" w:rsidP="00CB1803">
      <w:pPr>
        <w:pStyle w:val="Paragrafoelenco"/>
        <w:numPr>
          <w:ilvl w:val="0"/>
          <w:numId w:val="47"/>
        </w:numPr>
        <w:tabs>
          <w:tab w:val="left" w:pos="720"/>
        </w:tabs>
        <w:spacing w:line="360" w:lineRule="auto"/>
        <w:jc w:val="both"/>
        <w:rPr>
          <w:rFonts w:asciiTheme="minorHAnsi" w:hAnsiTheme="minorHAnsi" w:cstheme="minorHAnsi"/>
        </w:rPr>
      </w:pPr>
      <w:r w:rsidRPr="008C3A6C">
        <w:rPr>
          <w:position w:val="-4"/>
        </w:rPr>
        <w:object w:dxaOrig="220" w:dyaOrig="240">
          <v:shape id="_x0000_i1027" type="#_x0000_t75" style="width:11.35pt;height:12pt" o:ole="">
            <v:imagedata r:id="rId15" o:title=""/>
          </v:shape>
          <o:OLEObject Type="Embed" ProgID="Equation.3" ShapeID="_x0000_i1027" DrawAspect="Content" ObjectID="_1614572936" r:id="rId16"/>
        </w:object>
      </w:r>
      <w:r w:rsidR="00C557B4" w:rsidRPr="00CB1803">
        <w:rPr>
          <w:rFonts w:asciiTheme="minorHAnsi" w:hAnsiTheme="minorHAnsi" w:cstheme="minorHAnsi"/>
        </w:rPr>
        <w:t>è la matrice varianz</w:t>
      </w:r>
      <w:r w:rsidRPr="00CB1803">
        <w:rPr>
          <w:rFonts w:asciiTheme="minorHAnsi" w:hAnsiTheme="minorHAnsi" w:cstheme="minorHAnsi"/>
        </w:rPr>
        <w:t>e</w:t>
      </w:r>
      <w:r w:rsidR="00C557B4" w:rsidRPr="00CB1803">
        <w:rPr>
          <w:rFonts w:asciiTheme="minorHAnsi" w:hAnsiTheme="minorHAnsi" w:cstheme="minorHAnsi"/>
        </w:rPr>
        <w:t xml:space="preserve"> covarianz</w:t>
      </w:r>
      <w:r w:rsidRPr="00CB1803">
        <w:rPr>
          <w:rFonts w:asciiTheme="minorHAnsi" w:hAnsiTheme="minorHAnsi" w:cstheme="minorHAnsi"/>
        </w:rPr>
        <w:t>e</w:t>
      </w:r>
      <w:r w:rsidR="00C557B4" w:rsidRPr="00CB1803">
        <w:rPr>
          <w:rFonts w:asciiTheme="minorHAnsi" w:hAnsiTheme="minorHAnsi" w:cstheme="minorHAnsi"/>
        </w:rPr>
        <w:t xml:space="preserve"> dei rendimenti, che viene calcolata sulla base delle serie storiche dei dati</w:t>
      </w:r>
      <w:r w:rsidR="004B0044" w:rsidRPr="00CB1803">
        <w:rPr>
          <w:rFonts w:asciiTheme="minorHAnsi" w:hAnsiTheme="minorHAnsi" w:cstheme="minorHAnsi"/>
        </w:rPr>
        <w:t xml:space="preserve"> (trattasi della matrice menzionata nel punto 1.3 del presente documento)</w:t>
      </w:r>
      <w:r w:rsidR="00C557B4" w:rsidRPr="00CB1803">
        <w:rPr>
          <w:rFonts w:asciiTheme="minorHAnsi" w:hAnsiTheme="minorHAnsi" w:cstheme="minorHAnsi"/>
        </w:rPr>
        <w:t>;</w:t>
      </w:r>
    </w:p>
    <w:p w:rsidR="00C557B4" w:rsidRPr="00CB1803" w:rsidRDefault="002E4F5C" w:rsidP="00CB1803">
      <w:pPr>
        <w:pStyle w:val="Paragrafoelenco"/>
        <w:numPr>
          <w:ilvl w:val="0"/>
          <w:numId w:val="47"/>
        </w:numPr>
        <w:tabs>
          <w:tab w:val="left" w:pos="720"/>
        </w:tabs>
        <w:spacing w:line="360" w:lineRule="auto"/>
        <w:jc w:val="both"/>
        <w:rPr>
          <w:rFonts w:asciiTheme="minorHAnsi" w:hAnsiTheme="minorHAnsi" w:cstheme="minorHAnsi"/>
        </w:rPr>
      </w:pPr>
      <w:r w:rsidRPr="005E500B">
        <w:rPr>
          <w:position w:val="-12"/>
        </w:rPr>
        <w:object w:dxaOrig="480" w:dyaOrig="360">
          <v:shape id="_x0000_i1028" type="#_x0000_t75" style="width:24.65pt;height:18pt" o:ole="">
            <v:imagedata r:id="rId17" o:title=""/>
          </v:shape>
          <o:OLEObject Type="Embed" ProgID="Equation.3" ShapeID="_x0000_i1028" DrawAspect="Content" ObjectID="_1614572937" r:id="rId18"/>
        </w:object>
      </w:r>
      <w:r w:rsidR="00C557B4" w:rsidRPr="00CB1803">
        <w:rPr>
          <w:rFonts w:asciiTheme="minorHAnsi" w:hAnsiTheme="minorHAnsi" w:cstheme="minorHAnsi"/>
        </w:rPr>
        <w:t>è il vettore</w:t>
      </w:r>
      <w:r w:rsidR="004B0044" w:rsidRPr="00CB1803">
        <w:rPr>
          <w:rFonts w:asciiTheme="minorHAnsi" w:hAnsiTheme="minorHAnsi" w:cstheme="minorHAnsi"/>
        </w:rPr>
        <w:t xml:space="preserve"> colonna</w:t>
      </w:r>
      <w:r w:rsidR="00C557B4" w:rsidRPr="00CB1803">
        <w:rPr>
          <w:rFonts w:asciiTheme="minorHAnsi" w:hAnsiTheme="minorHAnsi" w:cstheme="minorHAnsi"/>
        </w:rPr>
        <w:t xml:space="preserve"> dei pesi </w:t>
      </w:r>
      <w:r w:rsidR="00C557B4" w:rsidRPr="00CB1803">
        <w:rPr>
          <w:rFonts w:asciiTheme="minorHAnsi" w:hAnsiTheme="minorHAnsi" w:cstheme="minorHAnsi"/>
          <w:i/>
        </w:rPr>
        <w:t>market neutral</w:t>
      </w:r>
      <w:r w:rsidR="00C557B4" w:rsidRPr="00CB1803">
        <w:rPr>
          <w:rFonts w:asciiTheme="minorHAnsi" w:hAnsiTheme="minorHAnsi" w:cstheme="minorHAnsi"/>
        </w:rPr>
        <w:t xml:space="preserve">, derivato dal processo di scomposizione degli indici </w:t>
      </w:r>
      <w:r w:rsidR="004B0044" w:rsidRPr="00CB1803">
        <w:rPr>
          <w:rFonts w:asciiTheme="minorHAnsi" w:hAnsiTheme="minorHAnsi" w:cstheme="minorHAnsi"/>
        </w:rPr>
        <w:t>descritto</w:t>
      </w:r>
      <w:r w:rsidR="00800406">
        <w:rPr>
          <w:rFonts w:asciiTheme="minorHAnsi" w:hAnsiTheme="minorHAnsi" w:cstheme="minorHAnsi"/>
        </w:rPr>
        <w:t xml:space="preserve"> </w:t>
      </w:r>
      <w:r w:rsidR="004B0044" w:rsidRPr="00CB1803">
        <w:rPr>
          <w:rFonts w:asciiTheme="minorHAnsi" w:hAnsiTheme="minorHAnsi" w:cstheme="minorHAnsi"/>
        </w:rPr>
        <w:t xml:space="preserve">al punto 1.4 del </w:t>
      </w:r>
      <w:r w:rsidR="008C3A6C" w:rsidRPr="00CB1803">
        <w:rPr>
          <w:rFonts w:asciiTheme="minorHAnsi" w:hAnsiTheme="minorHAnsi" w:cstheme="minorHAnsi"/>
        </w:rPr>
        <w:t>presente</w:t>
      </w:r>
      <w:r w:rsidR="004B0044" w:rsidRPr="00CB1803">
        <w:rPr>
          <w:rFonts w:asciiTheme="minorHAnsi" w:hAnsiTheme="minorHAnsi" w:cstheme="minorHAnsi"/>
        </w:rPr>
        <w:t xml:space="preserve"> documento</w:t>
      </w:r>
      <w:r w:rsidR="00C557B4" w:rsidRPr="00CB1803">
        <w:rPr>
          <w:rFonts w:asciiTheme="minorHAnsi" w:hAnsiTheme="minorHAnsi" w:cstheme="minorHAnsi"/>
        </w:rPr>
        <w:t>;</w:t>
      </w:r>
    </w:p>
    <w:p w:rsidR="00C557B4" w:rsidRPr="00CB1803" w:rsidRDefault="003710BD" w:rsidP="00CB1803">
      <w:pPr>
        <w:pStyle w:val="Paragrafoelenco"/>
        <w:numPr>
          <w:ilvl w:val="0"/>
          <w:numId w:val="47"/>
        </w:numPr>
        <w:tabs>
          <w:tab w:val="left" w:pos="720"/>
        </w:tabs>
        <w:spacing w:line="360" w:lineRule="auto"/>
        <w:jc w:val="both"/>
        <w:rPr>
          <w:rFonts w:asciiTheme="minorHAnsi" w:hAnsiTheme="minorHAnsi" w:cstheme="minorHAnsi"/>
        </w:rPr>
      </w:pPr>
      <w:r w:rsidRPr="00CB1803">
        <w:rPr>
          <w:rFonts w:asciiTheme="minorHAnsi" w:hAnsiTheme="minorHAnsi" w:cstheme="minorHAnsi"/>
        </w:rPr>
        <w:t>λ</w:t>
      </w:r>
      <w:r w:rsidR="00C557B4" w:rsidRPr="00CB1803">
        <w:rPr>
          <w:rFonts w:asciiTheme="minorHAnsi" w:hAnsiTheme="minorHAnsi" w:cstheme="minorHAnsi"/>
        </w:rPr>
        <w:t xml:space="preserve"> è il coefficiente di avversione al rischio che caratterizza il trade off tra rendimento e rischio attesi</w:t>
      </w:r>
      <w:r w:rsidR="008C3A6C" w:rsidRPr="00CB1803">
        <w:rPr>
          <w:rFonts w:asciiTheme="minorHAnsi" w:hAnsiTheme="minorHAnsi" w:cstheme="minorHAnsi"/>
        </w:rPr>
        <w:t xml:space="preserve">; </w:t>
      </w:r>
      <w:r w:rsidR="00C557B4" w:rsidRPr="00CB1803">
        <w:rPr>
          <w:rFonts w:asciiTheme="minorHAnsi" w:hAnsiTheme="minorHAnsi" w:cstheme="minorHAnsi"/>
        </w:rPr>
        <w:t>e</w:t>
      </w:r>
      <w:r w:rsidR="008C3A6C" w:rsidRPr="00CB1803">
        <w:rPr>
          <w:rFonts w:asciiTheme="minorHAnsi" w:hAnsiTheme="minorHAnsi" w:cstheme="minorHAnsi"/>
        </w:rPr>
        <w:t>sso</w:t>
      </w:r>
      <w:r w:rsidR="00C557B4" w:rsidRPr="00CB1803">
        <w:rPr>
          <w:rFonts w:asciiTheme="minorHAnsi" w:hAnsiTheme="minorHAnsi" w:cstheme="minorHAnsi"/>
        </w:rPr>
        <w:t xml:space="preserve"> indica il rendimento aggiuntivo richiesto affinché l’investitore sia disposto ad assumere un’unità di rischio aggiuntiva.</w:t>
      </w:r>
    </w:p>
    <w:p w:rsidR="00C557B4" w:rsidRPr="005E500B" w:rsidRDefault="00C557B4" w:rsidP="003710BD">
      <w:pPr>
        <w:tabs>
          <w:tab w:val="left" w:pos="720"/>
        </w:tabs>
        <w:spacing w:line="360" w:lineRule="auto"/>
        <w:jc w:val="both"/>
        <w:rPr>
          <w:rFonts w:asciiTheme="minorHAnsi" w:hAnsiTheme="minorHAnsi" w:cstheme="minorHAnsi"/>
          <w:sz w:val="24"/>
          <w:szCs w:val="24"/>
        </w:rPr>
      </w:pPr>
    </w:p>
    <w:p w:rsidR="00C557B4" w:rsidRPr="005E500B" w:rsidRDefault="00C557B4"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La distribuzione a priori dei rendimenti di equilibrio così calcolati ha come assunzione di base l’ipotesi che gli asset manager, in assenza di previsioni su</w:t>
      </w:r>
      <w:r w:rsidR="004B0044" w:rsidRPr="005E500B">
        <w:rPr>
          <w:rFonts w:asciiTheme="minorHAnsi" w:hAnsiTheme="minorHAnsi" w:cstheme="minorHAnsi"/>
          <w:sz w:val="24"/>
          <w:szCs w:val="24"/>
        </w:rPr>
        <w:t>i</w:t>
      </w:r>
      <w:r w:rsidRPr="005E500B">
        <w:rPr>
          <w:rFonts w:asciiTheme="minorHAnsi" w:hAnsiTheme="minorHAnsi" w:cstheme="minorHAnsi"/>
          <w:sz w:val="24"/>
          <w:szCs w:val="24"/>
        </w:rPr>
        <w:t xml:space="preserve"> mercat</w:t>
      </w:r>
      <w:r w:rsidR="004B0044" w:rsidRPr="005E500B">
        <w:rPr>
          <w:rFonts w:asciiTheme="minorHAnsi" w:hAnsiTheme="minorHAnsi" w:cstheme="minorHAnsi"/>
          <w:sz w:val="24"/>
          <w:szCs w:val="24"/>
        </w:rPr>
        <w:t>i</w:t>
      </w:r>
      <w:r w:rsidRPr="005E500B">
        <w:rPr>
          <w:rFonts w:asciiTheme="minorHAnsi" w:hAnsiTheme="minorHAnsi" w:cstheme="minorHAnsi"/>
          <w:sz w:val="24"/>
          <w:szCs w:val="24"/>
        </w:rPr>
        <w:t>, costruiscono portafogli di equilibrio i cui pesi sono</w:t>
      </w:r>
      <w:r w:rsidR="00990B8A">
        <w:rPr>
          <w:rFonts w:asciiTheme="minorHAnsi" w:hAnsiTheme="minorHAnsi" w:cstheme="minorHAnsi"/>
          <w:sz w:val="24"/>
          <w:szCs w:val="24"/>
        </w:rPr>
        <w:t>,</w:t>
      </w:r>
      <w:r w:rsidR="00800406">
        <w:rPr>
          <w:rFonts w:asciiTheme="minorHAnsi" w:hAnsiTheme="minorHAnsi" w:cstheme="minorHAnsi"/>
          <w:sz w:val="24"/>
          <w:szCs w:val="24"/>
        </w:rPr>
        <w:t xml:space="preserve"> </w:t>
      </w:r>
      <w:r w:rsidR="00990B8A">
        <w:rPr>
          <w:rFonts w:asciiTheme="minorHAnsi" w:hAnsiTheme="minorHAnsi" w:cstheme="minorHAnsi"/>
          <w:sz w:val="24"/>
          <w:szCs w:val="24"/>
        </w:rPr>
        <w:t xml:space="preserve">cioè, </w:t>
      </w:r>
      <w:r w:rsidR="002E4F5C" w:rsidRPr="005E500B">
        <w:rPr>
          <w:rFonts w:asciiTheme="minorHAnsi" w:hAnsiTheme="minorHAnsi" w:cstheme="minorHAnsi"/>
          <w:sz w:val="24"/>
          <w:szCs w:val="24"/>
        </w:rPr>
        <w:t>coerenti con</w:t>
      </w:r>
      <w:r w:rsidR="00800406">
        <w:rPr>
          <w:rFonts w:asciiTheme="minorHAnsi" w:hAnsiTheme="minorHAnsi" w:cstheme="minorHAnsi"/>
          <w:sz w:val="24"/>
          <w:szCs w:val="24"/>
        </w:rPr>
        <w:t xml:space="preserve"> </w:t>
      </w:r>
      <w:r w:rsidR="002E4F5C" w:rsidRPr="005E500B">
        <w:rPr>
          <w:rFonts w:asciiTheme="minorHAnsi" w:hAnsiTheme="minorHAnsi" w:cstheme="minorHAnsi"/>
          <w:sz w:val="24"/>
          <w:szCs w:val="24"/>
        </w:rPr>
        <w:t>le</w:t>
      </w:r>
      <w:r w:rsidRPr="005E500B">
        <w:rPr>
          <w:rFonts w:asciiTheme="minorHAnsi" w:hAnsiTheme="minorHAnsi" w:cstheme="minorHAnsi"/>
          <w:sz w:val="24"/>
          <w:szCs w:val="24"/>
        </w:rPr>
        <w:t xml:space="preserve"> capitalizzazion</w:t>
      </w:r>
      <w:r w:rsidR="002E4F5C" w:rsidRPr="005E500B">
        <w:rPr>
          <w:rFonts w:asciiTheme="minorHAnsi" w:hAnsiTheme="minorHAnsi" w:cstheme="minorHAnsi"/>
          <w:sz w:val="24"/>
          <w:szCs w:val="24"/>
        </w:rPr>
        <w:t>i</w:t>
      </w:r>
      <w:r w:rsidRPr="005E500B">
        <w:rPr>
          <w:rFonts w:asciiTheme="minorHAnsi" w:hAnsiTheme="minorHAnsi" w:cstheme="minorHAnsi"/>
          <w:sz w:val="24"/>
          <w:szCs w:val="24"/>
        </w:rPr>
        <w:t xml:space="preserve"> di borsa dei mercati.</w:t>
      </w:r>
    </w:p>
    <w:p w:rsidR="00C557B4" w:rsidRPr="005E500B" w:rsidRDefault="002E4F5C" w:rsidP="003710BD">
      <w:pPr>
        <w:tabs>
          <w:tab w:val="left" w:pos="720"/>
        </w:tabs>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I</w:t>
      </w:r>
      <w:r w:rsidR="00C557B4" w:rsidRPr="005E500B">
        <w:rPr>
          <w:rFonts w:asciiTheme="minorHAnsi" w:hAnsiTheme="minorHAnsi" w:cstheme="minorHAnsi"/>
          <w:sz w:val="24"/>
          <w:szCs w:val="24"/>
        </w:rPr>
        <w:t xml:space="preserve"> rendimenti</w:t>
      </w:r>
      <w:r w:rsidRPr="005E500B">
        <w:rPr>
          <w:rFonts w:asciiTheme="minorHAnsi" w:hAnsiTheme="minorHAnsi" w:cstheme="minorHAnsi"/>
          <w:sz w:val="24"/>
          <w:szCs w:val="24"/>
        </w:rPr>
        <w:t xml:space="preserve"> attesi</w:t>
      </w:r>
      <w:r w:rsidR="00C557B4" w:rsidRPr="005E500B">
        <w:rPr>
          <w:rFonts w:asciiTheme="minorHAnsi" w:hAnsiTheme="minorHAnsi" w:cstheme="minorHAnsi"/>
          <w:sz w:val="24"/>
          <w:szCs w:val="24"/>
        </w:rPr>
        <w:t xml:space="preserve"> impliciti di equilibrio </w:t>
      </w:r>
      <w:r w:rsidRPr="005E500B">
        <w:rPr>
          <w:rFonts w:asciiTheme="minorHAnsi" w:hAnsiTheme="minorHAnsi" w:cstheme="minorHAnsi"/>
          <w:sz w:val="24"/>
          <w:szCs w:val="24"/>
        </w:rPr>
        <w:t>sono</w:t>
      </w:r>
      <w:r w:rsidR="00800406">
        <w:rPr>
          <w:rFonts w:asciiTheme="minorHAnsi" w:hAnsiTheme="minorHAnsi" w:cstheme="minorHAnsi"/>
          <w:sz w:val="24"/>
          <w:szCs w:val="24"/>
        </w:rPr>
        <w:t xml:space="preserve"> </w:t>
      </w:r>
      <w:r w:rsidRPr="005E500B">
        <w:rPr>
          <w:rFonts w:asciiTheme="minorHAnsi" w:hAnsiTheme="minorHAnsi" w:cstheme="minorHAnsi"/>
          <w:sz w:val="24"/>
          <w:szCs w:val="24"/>
        </w:rPr>
        <w:t xml:space="preserve">stati </w:t>
      </w:r>
      <w:r w:rsidR="00C557B4" w:rsidRPr="005E500B">
        <w:rPr>
          <w:rFonts w:asciiTheme="minorHAnsi" w:hAnsiTheme="minorHAnsi" w:cstheme="minorHAnsi"/>
          <w:sz w:val="24"/>
          <w:szCs w:val="24"/>
        </w:rPr>
        <w:t>calcolati in riferimen</w:t>
      </w:r>
      <w:r w:rsidR="003710BD" w:rsidRPr="005E500B">
        <w:rPr>
          <w:rFonts w:asciiTheme="minorHAnsi" w:hAnsiTheme="minorHAnsi" w:cstheme="minorHAnsi"/>
          <w:sz w:val="24"/>
          <w:szCs w:val="24"/>
        </w:rPr>
        <w:t>to all’attività risk-</w:t>
      </w:r>
      <w:r w:rsidR="00C557B4" w:rsidRPr="005E500B">
        <w:rPr>
          <w:rFonts w:asciiTheme="minorHAnsi" w:hAnsiTheme="minorHAnsi" w:cstheme="minorHAnsi"/>
          <w:sz w:val="24"/>
          <w:szCs w:val="24"/>
        </w:rPr>
        <w:t xml:space="preserve">free </w:t>
      </w:r>
      <w:r w:rsidRPr="005E500B">
        <w:rPr>
          <w:rFonts w:asciiTheme="minorHAnsi" w:hAnsiTheme="minorHAnsi" w:cstheme="minorHAnsi"/>
          <w:sz w:val="24"/>
          <w:szCs w:val="24"/>
        </w:rPr>
        <w:t>il cui rendimento è stato fissato pari all’1%.</w:t>
      </w:r>
      <w:r w:rsidR="00A56045">
        <w:rPr>
          <w:rFonts w:asciiTheme="minorHAnsi" w:hAnsiTheme="minorHAnsi" w:cstheme="minorHAnsi"/>
          <w:sz w:val="24"/>
          <w:szCs w:val="24"/>
        </w:rPr>
        <w:t xml:space="preserve"> Questo parametro rappresenta la stima del rendimento medio annuo atteso nel medio lungo termine dal Monetario Area € (che funge quindi da proxy dell’attività risk free).</w:t>
      </w:r>
    </w:p>
    <w:p w:rsidR="00C557B4" w:rsidRPr="005E500B" w:rsidRDefault="00C557B4"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Per quanto riguarda il coefficiente di avversione al rischio</w:t>
      </w:r>
      <w:r w:rsidR="003710BD" w:rsidRPr="005E500B">
        <w:rPr>
          <w:rFonts w:asciiTheme="minorHAnsi" w:hAnsiTheme="minorHAnsi" w:cstheme="minorHAnsi"/>
          <w:sz w:val="24"/>
          <w:szCs w:val="24"/>
        </w:rPr>
        <w:t xml:space="preserve"> (λ)</w:t>
      </w:r>
      <w:r w:rsidRPr="005E500B">
        <w:rPr>
          <w:rFonts w:asciiTheme="minorHAnsi" w:hAnsiTheme="minorHAnsi" w:cstheme="minorHAnsi"/>
          <w:sz w:val="24"/>
          <w:szCs w:val="24"/>
        </w:rPr>
        <w:t xml:space="preserve">, il valore </w:t>
      </w:r>
      <w:r w:rsidR="003710BD" w:rsidRPr="005E500B">
        <w:rPr>
          <w:rFonts w:asciiTheme="minorHAnsi" w:hAnsiTheme="minorHAnsi" w:cstheme="minorHAnsi"/>
          <w:sz w:val="24"/>
          <w:szCs w:val="24"/>
        </w:rPr>
        <w:t xml:space="preserve">è stimato </w:t>
      </w:r>
      <w:r w:rsidR="002E4F5C" w:rsidRPr="005E500B">
        <w:rPr>
          <w:rFonts w:asciiTheme="minorHAnsi" w:hAnsiTheme="minorHAnsi" w:cstheme="minorHAnsi"/>
          <w:sz w:val="24"/>
          <w:szCs w:val="24"/>
        </w:rPr>
        <w:t>attraverso la seguente equazione:</w:t>
      </w:r>
    </w:p>
    <w:p w:rsidR="003710BD" w:rsidRPr="005E500B" w:rsidRDefault="00E96083" w:rsidP="002606A6">
      <w:pPr>
        <w:jc w:val="center"/>
        <w:rPr>
          <w:sz w:val="24"/>
          <w:szCs w:val="24"/>
        </w:rPr>
      </w:pPr>
      <w:r w:rsidRPr="005E500B">
        <w:rPr>
          <w:position w:val="-30"/>
          <w:sz w:val="24"/>
          <w:szCs w:val="24"/>
        </w:rPr>
        <w:object w:dxaOrig="1680" w:dyaOrig="720">
          <v:shape id="_x0000_i1029" type="#_x0000_t75" style="width:84pt;height:36.65pt" o:ole="">
            <v:imagedata r:id="rId19" o:title=""/>
          </v:shape>
          <o:OLEObject Type="Embed" ProgID="Equation.3" ShapeID="_x0000_i1029" DrawAspect="Content" ObjectID="_1614572938" r:id="rId20"/>
        </w:object>
      </w:r>
    </w:p>
    <w:p w:rsidR="002E4F5C" w:rsidRPr="005E500B" w:rsidRDefault="002E4F5C" w:rsidP="002E4F5C">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dove:</w:t>
      </w:r>
    </w:p>
    <w:p w:rsidR="002E4F5C" w:rsidRPr="005E500B" w:rsidRDefault="002E4F5C" w:rsidP="002E4F5C">
      <w:pPr>
        <w:tabs>
          <w:tab w:val="left" w:pos="720"/>
        </w:tabs>
        <w:spacing w:line="360" w:lineRule="auto"/>
        <w:jc w:val="both"/>
        <w:rPr>
          <w:rFonts w:asciiTheme="minorHAnsi" w:hAnsiTheme="minorHAnsi" w:cstheme="minorHAnsi"/>
          <w:sz w:val="24"/>
          <w:szCs w:val="24"/>
        </w:rPr>
      </w:pPr>
      <w:r w:rsidRPr="005E500B">
        <w:rPr>
          <w:position w:val="-14"/>
          <w:sz w:val="24"/>
          <w:szCs w:val="24"/>
        </w:rPr>
        <w:object w:dxaOrig="1219" w:dyaOrig="380">
          <v:shape id="_x0000_i1030" type="#_x0000_t75" style="width:60.65pt;height:19.35pt" o:ole="">
            <v:imagedata r:id="rId21" o:title=""/>
          </v:shape>
          <o:OLEObject Type="Embed" ProgID="Equation.3" ShapeID="_x0000_i1030" DrawAspect="Content" ObjectID="_1614572939" r:id="rId22"/>
        </w:object>
      </w:r>
      <w:r w:rsidRPr="005E500B">
        <w:rPr>
          <w:rFonts w:asciiTheme="minorHAnsi" w:hAnsiTheme="minorHAnsi" w:cstheme="minorHAnsi"/>
          <w:sz w:val="24"/>
          <w:szCs w:val="24"/>
        </w:rPr>
        <w:t xml:space="preserve">è il premio al rischio atteso dal portafoglio </w:t>
      </w:r>
      <w:r w:rsidRPr="005E500B">
        <w:rPr>
          <w:rFonts w:asciiTheme="minorHAnsi" w:hAnsiTheme="minorHAnsi" w:cstheme="minorHAnsi"/>
          <w:i/>
          <w:sz w:val="24"/>
          <w:szCs w:val="24"/>
        </w:rPr>
        <w:t>market neutral</w:t>
      </w:r>
      <w:r w:rsidRPr="005E500B">
        <w:rPr>
          <w:rFonts w:asciiTheme="minorHAnsi" w:hAnsiTheme="minorHAnsi" w:cstheme="minorHAnsi"/>
          <w:sz w:val="24"/>
          <w:szCs w:val="24"/>
        </w:rPr>
        <w:t>;</w:t>
      </w:r>
    </w:p>
    <w:p w:rsidR="002E4F5C" w:rsidRPr="005E500B" w:rsidRDefault="002E4F5C" w:rsidP="002E4F5C">
      <w:pPr>
        <w:tabs>
          <w:tab w:val="left" w:pos="720"/>
        </w:tabs>
        <w:spacing w:line="360" w:lineRule="auto"/>
        <w:jc w:val="both"/>
        <w:rPr>
          <w:rFonts w:asciiTheme="minorHAnsi" w:hAnsiTheme="minorHAnsi" w:cstheme="minorHAnsi"/>
          <w:sz w:val="24"/>
          <w:szCs w:val="24"/>
        </w:rPr>
      </w:pPr>
      <w:r w:rsidRPr="005E500B">
        <w:rPr>
          <w:position w:val="-12"/>
          <w:sz w:val="24"/>
          <w:szCs w:val="24"/>
        </w:rPr>
        <w:object w:dxaOrig="460" w:dyaOrig="380">
          <v:shape id="_x0000_i1031" type="#_x0000_t75" style="width:22.65pt;height:19.35pt" o:ole="">
            <v:imagedata r:id="rId23" o:title=""/>
          </v:shape>
          <o:OLEObject Type="Embed" ProgID="Equation.3" ShapeID="_x0000_i1031" DrawAspect="Content" ObjectID="_1614572940" r:id="rId24"/>
        </w:object>
      </w:r>
      <w:r w:rsidRPr="005E500B">
        <w:rPr>
          <w:rFonts w:asciiTheme="minorHAnsi" w:hAnsiTheme="minorHAnsi" w:cstheme="minorHAnsi"/>
          <w:sz w:val="24"/>
          <w:szCs w:val="24"/>
        </w:rPr>
        <w:t xml:space="preserve">è la varianza attesa dal portafoglio </w:t>
      </w:r>
      <w:r w:rsidRPr="005E500B">
        <w:rPr>
          <w:rFonts w:asciiTheme="minorHAnsi" w:hAnsiTheme="minorHAnsi" w:cstheme="minorHAnsi"/>
          <w:i/>
          <w:sz w:val="24"/>
          <w:szCs w:val="24"/>
        </w:rPr>
        <w:t>market neutral</w:t>
      </w:r>
      <w:r w:rsidR="007642C0">
        <w:rPr>
          <w:rFonts w:asciiTheme="minorHAnsi" w:hAnsiTheme="minorHAnsi" w:cstheme="minorHAnsi"/>
          <w:sz w:val="24"/>
          <w:szCs w:val="24"/>
        </w:rPr>
        <w:t>.</w:t>
      </w:r>
    </w:p>
    <w:p w:rsidR="002E4F5C" w:rsidRDefault="002E4F5C" w:rsidP="002E4F5C">
      <w:pPr>
        <w:pStyle w:val="Titolo1"/>
        <w:numPr>
          <w:ilvl w:val="0"/>
          <w:numId w:val="0"/>
        </w:numPr>
        <w:spacing w:line="360" w:lineRule="auto"/>
        <w:ind w:left="432" w:hanging="432"/>
        <w:jc w:val="both"/>
        <w:rPr>
          <w:rFonts w:asciiTheme="minorHAnsi" w:hAnsiTheme="minorHAnsi" w:cstheme="minorHAnsi"/>
          <w:position w:val="-14"/>
          <w:sz w:val="22"/>
        </w:rPr>
      </w:pPr>
    </w:p>
    <w:p w:rsidR="002E4F5C" w:rsidRDefault="002E4F5C" w:rsidP="002E4F5C">
      <w:pPr>
        <w:pStyle w:val="Titolo1"/>
        <w:numPr>
          <w:ilvl w:val="0"/>
          <w:numId w:val="0"/>
        </w:numPr>
        <w:spacing w:line="360" w:lineRule="auto"/>
        <w:ind w:left="432" w:hanging="432"/>
        <w:jc w:val="center"/>
        <w:rPr>
          <w:rFonts w:asciiTheme="minorHAnsi" w:hAnsiTheme="minorHAnsi" w:cstheme="minorHAnsi"/>
        </w:rPr>
      </w:pPr>
    </w:p>
    <w:p w:rsidR="001F494F" w:rsidRPr="000376E5" w:rsidRDefault="009B6BA5" w:rsidP="003710BD">
      <w:pPr>
        <w:pStyle w:val="Titolo2"/>
        <w:spacing w:line="360" w:lineRule="auto"/>
        <w:jc w:val="both"/>
        <w:rPr>
          <w:rFonts w:asciiTheme="minorHAnsi" w:hAnsiTheme="minorHAnsi" w:cstheme="minorHAnsi"/>
        </w:rPr>
      </w:pPr>
      <w:bookmarkStart w:id="41" w:name="_Toc373916057"/>
      <w:bookmarkStart w:id="42" w:name="_Toc425154129"/>
      <w:r>
        <w:rPr>
          <w:rFonts w:asciiTheme="minorHAnsi" w:hAnsiTheme="minorHAnsi" w:cstheme="minorHAnsi"/>
        </w:rPr>
        <w:t xml:space="preserve">LA </w:t>
      </w:r>
      <w:r w:rsidR="003710BD" w:rsidRPr="000376E5">
        <w:rPr>
          <w:rFonts w:asciiTheme="minorHAnsi" w:hAnsiTheme="minorHAnsi" w:cstheme="minorHAnsi"/>
        </w:rPr>
        <w:t>SPECIFICAZIONE DELLA VIEW</w:t>
      </w:r>
      <w:bookmarkEnd w:id="41"/>
      <w:bookmarkEnd w:id="42"/>
    </w:p>
    <w:p w:rsidR="001F494F" w:rsidRPr="005E500B" w:rsidRDefault="001F494F"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 xml:space="preserve">Il modello </w:t>
      </w:r>
      <w:r w:rsidR="002606A6" w:rsidRPr="005E500B">
        <w:rPr>
          <w:rFonts w:asciiTheme="minorHAnsi" w:hAnsiTheme="minorHAnsi" w:cstheme="minorHAnsi"/>
          <w:sz w:val="24"/>
          <w:szCs w:val="24"/>
        </w:rPr>
        <w:t>di Black e Litterman prevede la necessità</w:t>
      </w:r>
      <w:r w:rsidR="00800406">
        <w:rPr>
          <w:rFonts w:asciiTheme="minorHAnsi" w:hAnsiTheme="minorHAnsi" w:cstheme="minorHAnsi"/>
          <w:sz w:val="24"/>
          <w:szCs w:val="24"/>
        </w:rPr>
        <w:t xml:space="preserve"> </w:t>
      </w:r>
      <w:r w:rsidR="002606A6" w:rsidRPr="005E500B">
        <w:rPr>
          <w:rFonts w:asciiTheme="minorHAnsi" w:hAnsiTheme="minorHAnsi" w:cstheme="minorHAnsi"/>
          <w:sz w:val="24"/>
          <w:szCs w:val="24"/>
        </w:rPr>
        <w:t xml:space="preserve">di esprimere </w:t>
      </w:r>
      <w:r w:rsidRPr="005E500B">
        <w:rPr>
          <w:rFonts w:asciiTheme="minorHAnsi" w:hAnsiTheme="minorHAnsi" w:cstheme="minorHAnsi"/>
          <w:sz w:val="24"/>
          <w:szCs w:val="24"/>
        </w:rPr>
        <w:t>delle view</w:t>
      </w:r>
      <w:r w:rsidR="002606A6" w:rsidRPr="005E500B">
        <w:rPr>
          <w:rStyle w:val="Rimandonotaapidipagina"/>
          <w:rFonts w:asciiTheme="minorHAnsi" w:hAnsiTheme="minorHAnsi" w:cstheme="minorHAnsi"/>
          <w:sz w:val="24"/>
          <w:szCs w:val="24"/>
        </w:rPr>
        <w:footnoteReference w:id="6"/>
      </w:r>
      <w:r w:rsidRPr="005E500B">
        <w:rPr>
          <w:rFonts w:asciiTheme="minorHAnsi" w:hAnsiTheme="minorHAnsi" w:cstheme="minorHAnsi"/>
          <w:sz w:val="24"/>
          <w:szCs w:val="24"/>
        </w:rPr>
        <w:t>:</w:t>
      </w:r>
    </w:p>
    <w:p w:rsidR="001F494F" w:rsidRPr="005E500B" w:rsidRDefault="001F494F" w:rsidP="008C3A6C">
      <w:pPr>
        <w:spacing w:line="360" w:lineRule="auto"/>
        <w:ind w:left="284" w:hanging="284"/>
        <w:jc w:val="both"/>
        <w:rPr>
          <w:rFonts w:asciiTheme="minorHAnsi" w:hAnsiTheme="minorHAnsi" w:cstheme="minorHAnsi"/>
          <w:sz w:val="24"/>
          <w:szCs w:val="24"/>
        </w:rPr>
      </w:pPr>
      <w:r w:rsidRPr="005E500B">
        <w:rPr>
          <w:rFonts w:asciiTheme="minorHAnsi" w:hAnsiTheme="minorHAnsi" w:cstheme="minorHAnsi"/>
          <w:sz w:val="24"/>
          <w:szCs w:val="24"/>
        </w:rPr>
        <w:t>1</w:t>
      </w:r>
      <w:r w:rsidRPr="005E500B">
        <w:rPr>
          <w:rFonts w:asciiTheme="minorHAnsi" w:hAnsiTheme="minorHAnsi" w:cstheme="minorHAnsi"/>
          <w:sz w:val="24"/>
          <w:szCs w:val="24"/>
        </w:rPr>
        <w:tab/>
        <w:t>in merito al rendimento atteso degli asset in portafoglio su un determinato orizzonte temporale;</w:t>
      </w:r>
    </w:p>
    <w:p w:rsidR="001F494F" w:rsidRPr="005E500B" w:rsidRDefault="001F494F" w:rsidP="008C3A6C">
      <w:pPr>
        <w:spacing w:line="360" w:lineRule="auto"/>
        <w:ind w:left="284" w:hanging="284"/>
        <w:jc w:val="both"/>
        <w:rPr>
          <w:rFonts w:asciiTheme="minorHAnsi" w:hAnsiTheme="minorHAnsi" w:cstheme="minorHAnsi"/>
          <w:sz w:val="24"/>
          <w:szCs w:val="24"/>
        </w:rPr>
      </w:pPr>
      <w:r w:rsidRPr="005E500B">
        <w:rPr>
          <w:rFonts w:asciiTheme="minorHAnsi" w:hAnsiTheme="minorHAnsi" w:cstheme="minorHAnsi"/>
          <w:sz w:val="24"/>
          <w:szCs w:val="24"/>
        </w:rPr>
        <w:t>2</w:t>
      </w:r>
      <w:r w:rsidRPr="005E500B">
        <w:rPr>
          <w:rFonts w:asciiTheme="minorHAnsi" w:hAnsiTheme="minorHAnsi" w:cstheme="minorHAnsi"/>
          <w:sz w:val="24"/>
          <w:szCs w:val="24"/>
        </w:rPr>
        <w:tab/>
      </w:r>
      <w:r w:rsidR="002606A6" w:rsidRPr="005E500B">
        <w:rPr>
          <w:rFonts w:asciiTheme="minorHAnsi" w:hAnsiTheme="minorHAnsi" w:cstheme="minorHAnsi"/>
          <w:sz w:val="24"/>
          <w:szCs w:val="24"/>
        </w:rPr>
        <w:t>associate</w:t>
      </w:r>
      <w:r w:rsidR="00800406">
        <w:rPr>
          <w:rFonts w:asciiTheme="minorHAnsi" w:hAnsiTheme="minorHAnsi" w:cstheme="minorHAnsi"/>
          <w:sz w:val="24"/>
          <w:szCs w:val="24"/>
        </w:rPr>
        <w:t xml:space="preserve"> </w:t>
      </w:r>
      <w:r w:rsidR="002606A6" w:rsidRPr="005E500B">
        <w:rPr>
          <w:rFonts w:asciiTheme="minorHAnsi" w:hAnsiTheme="minorHAnsi" w:cstheme="minorHAnsi"/>
          <w:sz w:val="24"/>
          <w:szCs w:val="24"/>
        </w:rPr>
        <w:t>ad</w:t>
      </w:r>
      <w:r w:rsidR="00800406">
        <w:rPr>
          <w:rFonts w:asciiTheme="minorHAnsi" w:hAnsiTheme="minorHAnsi" w:cstheme="minorHAnsi"/>
          <w:sz w:val="24"/>
          <w:szCs w:val="24"/>
        </w:rPr>
        <w:t xml:space="preserve"> </w:t>
      </w:r>
      <w:r w:rsidR="002606A6" w:rsidRPr="005E500B">
        <w:rPr>
          <w:rFonts w:asciiTheme="minorHAnsi" w:hAnsiTheme="minorHAnsi" w:cstheme="minorHAnsi"/>
          <w:sz w:val="24"/>
          <w:szCs w:val="24"/>
        </w:rPr>
        <w:t xml:space="preserve">un </w:t>
      </w:r>
      <w:r w:rsidRPr="005E500B">
        <w:rPr>
          <w:rFonts w:asciiTheme="minorHAnsi" w:hAnsiTheme="minorHAnsi" w:cstheme="minorHAnsi"/>
          <w:sz w:val="24"/>
          <w:szCs w:val="24"/>
        </w:rPr>
        <w:t>dato livello di confidenza, inteso come il grado di fiducia che si ripone nella view espressa.</w:t>
      </w:r>
    </w:p>
    <w:p w:rsidR="008C3A6C" w:rsidRDefault="008C3A6C" w:rsidP="003710BD">
      <w:pPr>
        <w:spacing w:line="360" w:lineRule="auto"/>
        <w:jc w:val="both"/>
        <w:rPr>
          <w:rFonts w:asciiTheme="minorHAnsi" w:hAnsiTheme="minorHAnsi" w:cstheme="minorHAnsi"/>
          <w:sz w:val="24"/>
          <w:szCs w:val="24"/>
        </w:rPr>
      </w:pPr>
    </w:p>
    <w:p w:rsidR="001F494F" w:rsidRPr="005E500B" w:rsidRDefault="002606A6"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L</w:t>
      </w:r>
      <w:r w:rsidR="001F494F" w:rsidRPr="005E500B">
        <w:rPr>
          <w:rFonts w:asciiTheme="minorHAnsi" w:hAnsiTheme="minorHAnsi" w:cstheme="minorHAnsi"/>
          <w:sz w:val="24"/>
          <w:szCs w:val="24"/>
        </w:rPr>
        <w:t xml:space="preserve">’asset manager può esprimere view </w:t>
      </w:r>
      <w:r w:rsidRPr="005E500B">
        <w:rPr>
          <w:rFonts w:asciiTheme="minorHAnsi" w:hAnsiTheme="minorHAnsi" w:cstheme="minorHAnsi"/>
          <w:sz w:val="24"/>
          <w:szCs w:val="24"/>
        </w:rPr>
        <w:t xml:space="preserve">anche </w:t>
      </w:r>
      <w:r w:rsidR="001F494F" w:rsidRPr="005E500B">
        <w:rPr>
          <w:rFonts w:asciiTheme="minorHAnsi" w:hAnsiTheme="minorHAnsi" w:cstheme="minorHAnsi"/>
          <w:sz w:val="24"/>
          <w:szCs w:val="24"/>
        </w:rPr>
        <w:t>solo su un</w:t>
      </w:r>
      <w:r w:rsidRPr="005E500B">
        <w:rPr>
          <w:rFonts w:asciiTheme="minorHAnsi" w:hAnsiTheme="minorHAnsi" w:cstheme="minorHAnsi"/>
          <w:sz w:val="24"/>
          <w:szCs w:val="24"/>
        </w:rPr>
        <w:t xml:space="preserve"> sotto-insieme</w:t>
      </w:r>
      <w:r w:rsidR="001F494F" w:rsidRPr="005E500B">
        <w:rPr>
          <w:rFonts w:asciiTheme="minorHAnsi" w:hAnsiTheme="minorHAnsi" w:cstheme="minorHAnsi"/>
          <w:sz w:val="24"/>
          <w:szCs w:val="24"/>
        </w:rPr>
        <w:t xml:space="preserve"> delle asset class in portafoglio.</w:t>
      </w:r>
    </w:p>
    <w:p w:rsidR="001F494F" w:rsidRPr="005E500B" w:rsidRDefault="001F494F"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 xml:space="preserve">Le opinioni possono essere espresse in termini </w:t>
      </w:r>
      <w:r w:rsidR="00B66079">
        <w:rPr>
          <w:rFonts w:asciiTheme="minorHAnsi" w:hAnsiTheme="minorHAnsi" w:cstheme="minorHAnsi"/>
          <w:sz w:val="24"/>
          <w:szCs w:val="24"/>
        </w:rPr>
        <w:t xml:space="preserve">sia </w:t>
      </w:r>
      <w:r w:rsidRPr="005E500B">
        <w:rPr>
          <w:rFonts w:asciiTheme="minorHAnsi" w:hAnsiTheme="minorHAnsi" w:cstheme="minorHAnsi"/>
          <w:sz w:val="24"/>
          <w:szCs w:val="24"/>
        </w:rPr>
        <w:t>assoluti</w:t>
      </w:r>
      <w:r w:rsidR="00B66079">
        <w:rPr>
          <w:rFonts w:asciiTheme="minorHAnsi" w:hAnsiTheme="minorHAnsi" w:cstheme="minorHAnsi"/>
          <w:sz w:val="24"/>
          <w:szCs w:val="24"/>
        </w:rPr>
        <w:t xml:space="preserve">, sia </w:t>
      </w:r>
      <w:r w:rsidRPr="005E500B">
        <w:rPr>
          <w:rFonts w:asciiTheme="minorHAnsi" w:hAnsiTheme="minorHAnsi" w:cstheme="minorHAnsi"/>
          <w:sz w:val="24"/>
          <w:szCs w:val="24"/>
        </w:rPr>
        <w:t>relativi:</w:t>
      </w:r>
    </w:p>
    <w:p w:rsidR="00C01195" w:rsidRPr="005E500B" w:rsidRDefault="00C01195" w:rsidP="00C01195">
      <w:pPr>
        <w:pStyle w:val="Paragrafoelenco"/>
        <w:numPr>
          <w:ilvl w:val="0"/>
          <w:numId w:val="29"/>
        </w:numPr>
        <w:spacing w:line="360" w:lineRule="auto"/>
        <w:jc w:val="both"/>
        <w:rPr>
          <w:rFonts w:asciiTheme="minorHAnsi" w:hAnsiTheme="minorHAnsi" w:cstheme="minorHAnsi"/>
        </w:rPr>
      </w:pPr>
      <w:r w:rsidRPr="005E500B">
        <w:rPr>
          <w:rFonts w:asciiTheme="minorHAnsi" w:hAnsiTheme="minorHAnsi" w:cstheme="minorHAnsi"/>
        </w:rPr>
        <w:t>View Assolute (Esempio: “View molto positiva sull’Azionario Europa”);</w:t>
      </w:r>
    </w:p>
    <w:p w:rsidR="00C01195" w:rsidRPr="005E500B" w:rsidRDefault="00C01195" w:rsidP="00C01195">
      <w:pPr>
        <w:pStyle w:val="Paragrafoelenco"/>
        <w:numPr>
          <w:ilvl w:val="0"/>
          <w:numId w:val="29"/>
        </w:numPr>
        <w:spacing w:line="360" w:lineRule="auto"/>
        <w:jc w:val="both"/>
        <w:rPr>
          <w:rFonts w:asciiTheme="minorHAnsi" w:hAnsiTheme="minorHAnsi" w:cstheme="minorHAnsi"/>
        </w:rPr>
      </w:pPr>
      <w:r w:rsidRPr="005E500B">
        <w:rPr>
          <w:rFonts w:asciiTheme="minorHAnsi" w:hAnsiTheme="minorHAnsi" w:cstheme="minorHAnsi"/>
        </w:rPr>
        <w:t>View Assolute Infra-gruppo (Esempio: “View molto positiva sul Comparto Azionario”);</w:t>
      </w:r>
    </w:p>
    <w:p w:rsidR="00C01195" w:rsidRPr="005E500B" w:rsidRDefault="00C01195" w:rsidP="00C01195">
      <w:pPr>
        <w:pStyle w:val="Paragrafoelenco"/>
        <w:numPr>
          <w:ilvl w:val="0"/>
          <w:numId w:val="29"/>
        </w:numPr>
        <w:spacing w:line="360" w:lineRule="auto"/>
        <w:jc w:val="both"/>
        <w:rPr>
          <w:rFonts w:asciiTheme="minorHAnsi" w:hAnsiTheme="minorHAnsi" w:cstheme="minorHAnsi"/>
        </w:rPr>
      </w:pPr>
      <w:r w:rsidRPr="005E500B">
        <w:rPr>
          <w:rFonts w:asciiTheme="minorHAnsi" w:hAnsiTheme="minorHAnsi" w:cstheme="minorHAnsi"/>
        </w:rPr>
        <w:t>View Relative (Esempio: “L’Azionario Europa batte di poco l’Azionario Nord America”);</w:t>
      </w:r>
    </w:p>
    <w:p w:rsidR="00C01195" w:rsidRPr="005E500B" w:rsidRDefault="00C01195" w:rsidP="00C01195">
      <w:pPr>
        <w:pStyle w:val="Paragrafoelenco"/>
        <w:numPr>
          <w:ilvl w:val="0"/>
          <w:numId w:val="29"/>
        </w:numPr>
        <w:spacing w:line="360" w:lineRule="auto"/>
        <w:jc w:val="both"/>
        <w:rPr>
          <w:rFonts w:asciiTheme="minorHAnsi" w:hAnsiTheme="minorHAnsi" w:cstheme="minorHAnsi"/>
        </w:rPr>
      </w:pPr>
      <w:r w:rsidRPr="005E500B">
        <w:rPr>
          <w:rFonts w:asciiTheme="minorHAnsi" w:hAnsiTheme="minorHAnsi" w:cstheme="minorHAnsi"/>
        </w:rPr>
        <w:t>View Relative Infra-gruppo (Esempio: “Il comparto Azionario batte di molto il comparto Obbligazionario ”).</w:t>
      </w:r>
    </w:p>
    <w:p w:rsidR="001F494F" w:rsidRPr="005E500B" w:rsidRDefault="001F494F"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Le view possono essere espress</w:t>
      </w:r>
      <w:r w:rsidR="00B66079">
        <w:rPr>
          <w:rFonts w:asciiTheme="minorHAnsi" w:hAnsiTheme="minorHAnsi" w:cstheme="minorHAnsi"/>
          <w:sz w:val="24"/>
          <w:szCs w:val="24"/>
        </w:rPr>
        <w:t xml:space="preserve">e in forma sia quantitativa, sia </w:t>
      </w:r>
      <w:r w:rsidRPr="005E500B">
        <w:rPr>
          <w:rFonts w:asciiTheme="minorHAnsi" w:hAnsiTheme="minorHAnsi" w:cstheme="minorHAnsi"/>
          <w:sz w:val="24"/>
          <w:szCs w:val="24"/>
        </w:rPr>
        <w:t>qualitativa.</w:t>
      </w:r>
    </w:p>
    <w:p w:rsidR="001F494F" w:rsidRPr="005E500B" w:rsidRDefault="00C01195"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Nel primo caso il C</w:t>
      </w:r>
      <w:r w:rsidR="001F494F" w:rsidRPr="005E500B">
        <w:rPr>
          <w:rFonts w:asciiTheme="minorHAnsi" w:hAnsiTheme="minorHAnsi" w:cstheme="minorHAnsi"/>
          <w:sz w:val="24"/>
          <w:szCs w:val="24"/>
        </w:rPr>
        <w:t xml:space="preserve">omitato fornisce un’indicazione numerica, nel secondo caso si indica un giudizio qualitativo che in seguito viene tradotto in </w:t>
      </w:r>
      <w:r w:rsidR="00B66079">
        <w:rPr>
          <w:rFonts w:asciiTheme="minorHAnsi" w:hAnsiTheme="minorHAnsi" w:cstheme="minorHAnsi"/>
          <w:sz w:val="24"/>
          <w:szCs w:val="24"/>
        </w:rPr>
        <w:t xml:space="preserve">un </w:t>
      </w:r>
      <w:r w:rsidR="001F494F" w:rsidRPr="005E500B">
        <w:rPr>
          <w:rFonts w:asciiTheme="minorHAnsi" w:hAnsiTheme="minorHAnsi" w:cstheme="minorHAnsi"/>
          <w:sz w:val="24"/>
          <w:szCs w:val="24"/>
        </w:rPr>
        <w:t>valore quantitativo.</w:t>
      </w:r>
      <w:r w:rsidR="00800406">
        <w:rPr>
          <w:rFonts w:asciiTheme="minorHAnsi" w:hAnsiTheme="minorHAnsi" w:cstheme="minorHAnsi"/>
          <w:sz w:val="24"/>
          <w:szCs w:val="24"/>
        </w:rPr>
        <w:t xml:space="preserve"> </w:t>
      </w:r>
      <w:r w:rsidR="001F494F" w:rsidRPr="005E500B">
        <w:rPr>
          <w:rFonts w:asciiTheme="minorHAnsi" w:hAnsiTheme="minorHAnsi" w:cstheme="minorHAnsi"/>
          <w:sz w:val="24"/>
          <w:szCs w:val="24"/>
        </w:rPr>
        <w:t>Al momento non si prevede la possibilità che il Comitato inserisca view di tipo quantitativo.</w:t>
      </w:r>
    </w:p>
    <w:p w:rsidR="00FD29C7" w:rsidRPr="000376E5" w:rsidRDefault="00FD29C7" w:rsidP="003710BD">
      <w:pPr>
        <w:spacing w:line="360" w:lineRule="auto"/>
        <w:jc w:val="both"/>
        <w:rPr>
          <w:rFonts w:asciiTheme="minorHAnsi" w:hAnsiTheme="minorHAnsi" w:cstheme="minorHAnsi"/>
          <w:sz w:val="22"/>
        </w:rPr>
      </w:pPr>
    </w:p>
    <w:p w:rsidR="001F494F" w:rsidRPr="000376E5" w:rsidRDefault="00031B7F" w:rsidP="003710BD">
      <w:pPr>
        <w:pStyle w:val="Titolo2"/>
        <w:spacing w:line="360" w:lineRule="auto"/>
        <w:jc w:val="both"/>
        <w:rPr>
          <w:rFonts w:asciiTheme="minorHAnsi" w:hAnsiTheme="minorHAnsi" w:cstheme="minorHAnsi"/>
        </w:rPr>
      </w:pPr>
      <w:bookmarkStart w:id="43" w:name="_Toc373916058"/>
      <w:bookmarkStart w:id="44" w:name="_Toc425154130"/>
      <w:r>
        <w:rPr>
          <w:rFonts w:asciiTheme="minorHAnsi" w:hAnsiTheme="minorHAnsi" w:cstheme="minorHAnsi"/>
        </w:rPr>
        <w:t>LA GESTIONE ANALITICA</w:t>
      </w:r>
      <w:r w:rsidR="0065064B" w:rsidRPr="000376E5">
        <w:rPr>
          <w:rFonts w:asciiTheme="minorHAnsi" w:hAnsiTheme="minorHAnsi" w:cstheme="minorHAnsi"/>
        </w:rPr>
        <w:t xml:space="preserve"> DELL</w:t>
      </w:r>
      <w:r>
        <w:rPr>
          <w:rFonts w:asciiTheme="minorHAnsi" w:hAnsiTheme="minorHAnsi" w:cstheme="minorHAnsi"/>
        </w:rPr>
        <w:t>E</w:t>
      </w:r>
      <w:r w:rsidR="0065064B" w:rsidRPr="000376E5">
        <w:rPr>
          <w:rFonts w:asciiTheme="minorHAnsi" w:hAnsiTheme="minorHAnsi" w:cstheme="minorHAnsi"/>
        </w:rPr>
        <w:t xml:space="preserve"> VIEW STRATEGIC</w:t>
      </w:r>
      <w:bookmarkEnd w:id="43"/>
      <w:r>
        <w:rPr>
          <w:rFonts w:asciiTheme="minorHAnsi" w:hAnsiTheme="minorHAnsi" w:cstheme="minorHAnsi"/>
        </w:rPr>
        <w:t>HE</w:t>
      </w:r>
      <w:bookmarkEnd w:id="44"/>
    </w:p>
    <w:p w:rsidR="001F494F" w:rsidRPr="005E500B" w:rsidRDefault="001F494F"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Per l’implementazione</w:t>
      </w:r>
      <w:r w:rsidR="008C3A6C">
        <w:rPr>
          <w:rFonts w:asciiTheme="minorHAnsi" w:hAnsiTheme="minorHAnsi" w:cstheme="minorHAnsi"/>
          <w:sz w:val="24"/>
          <w:szCs w:val="24"/>
        </w:rPr>
        <w:t xml:space="preserve"> di Black-Litterman</w:t>
      </w:r>
      <w:r w:rsidRPr="005E500B">
        <w:rPr>
          <w:rFonts w:asciiTheme="minorHAnsi" w:hAnsiTheme="minorHAnsi" w:cstheme="minorHAnsi"/>
          <w:sz w:val="24"/>
          <w:szCs w:val="24"/>
        </w:rPr>
        <w:t xml:space="preserve"> in </w:t>
      </w:r>
      <w:r w:rsidR="000376E5" w:rsidRPr="005E500B">
        <w:rPr>
          <w:rFonts w:asciiTheme="minorHAnsi" w:hAnsiTheme="minorHAnsi" w:cstheme="minorHAnsi"/>
          <w:sz w:val="24"/>
          <w:szCs w:val="24"/>
        </w:rPr>
        <w:t>CheBanca!</w:t>
      </w:r>
      <w:r w:rsidR="00800406">
        <w:rPr>
          <w:rFonts w:asciiTheme="minorHAnsi" w:hAnsiTheme="minorHAnsi" w:cstheme="minorHAnsi"/>
          <w:sz w:val="24"/>
          <w:szCs w:val="24"/>
        </w:rPr>
        <w:t xml:space="preserve"> </w:t>
      </w:r>
      <w:r w:rsidRPr="005E500B">
        <w:rPr>
          <w:rFonts w:asciiTheme="minorHAnsi" w:hAnsiTheme="minorHAnsi" w:cstheme="minorHAnsi"/>
          <w:sz w:val="24"/>
          <w:szCs w:val="24"/>
        </w:rPr>
        <w:t xml:space="preserve">il modello presuppone che il </w:t>
      </w:r>
      <w:r w:rsidR="0067606A" w:rsidRPr="005E500B">
        <w:rPr>
          <w:rFonts w:asciiTheme="minorHAnsi" w:hAnsiTheme="minorHAnsi" w:cstheme="minorHAnsi"/>
          <w:sz w:val="24"/>
          <w:szCs w:val="24"/>
        </w:rPr>
        <w:t>Comitato Investimenti</w:t>
      </w:r>
      <w:r w:rsidR="00800406">
        <w:rPr>
          <w:rFonts w:asciiTheme="minorHAnsi" w:hAnsiTheme="minorHAnsi" w:cstheme="minorHAnsi"/>
          <w:sz w:val="24"/>
          <w:szCs w:val="24"/>
        </w:rPr>
        <w:t xml:space="preserve"> </w:t>
      </w:r>
      <w:r w:rsidRPr="005E500B">
        <w:rPr>
          <w:rFonts w:asciiTheme="minorHAnsi" w:hAnsiTheme="minorHAnsi" w:cstheme="minorHAnsi"/>
          <w:sz w:val="24"/>
          <w:szCs w:val="24"/>
        </w:rPr>
        <w:t xml:space="preserve">si esprima sull’andamento delle asset class. </w:t>
      </w:r>
    </w:p>
    <w:p w:rsidR="001F494F" w:rsidRPr="005E500B" w:rsidRDefault="001F494F" w:rsidP="003710BD">
      <w:pPr>
        <w:spacing w:line="360" w:lineRule="auto"/>
        <w:jc w:val="both"/>
        <w:rPr>
          <w:rFonts w:asciiTheme="minorHAnsi" w:hAnsiTheme="minorHAnsi" w:cstheme="minorHAnsi"/>
          <w:sz w:val="24"/>
          <w:szCs w:val="24"/>
        </w:rPr>
      </w:pPr>
      <w:r w:rsidRPr="005E500B">
        <w:rPr>
          <w:rFonts w:asciiTheme="minorHAnsi" w:hAnsiTheme="minorHAnsi" w:cstheme="minorHAnsi"/>
          <w:sz w:val="24"/>
          <w:szCs w:val="24"/>
        </w:rPr>
        <w:t>A ciascun membro del Comitato viene richiesto di esprimere una view strategica con un</w:t>
      </w:r>
      <w:r w:rsidR="00C01195" w:rsidRPr="005E500B">
        <w:rPr>
          <w:rFonts w:asciiTheme="minorHAnsi" w:hAnsiTheme="minorHAnsi" w:cstheme="minorHAnsi"/>
          <w:sz w:val="24"/>
          <w:szCs w:val="24"/>
        </w:rPr>
        <w:t xml:space="preserve"> orizzonte temporale </w:t>
      </w:r>
      <w:r w:rsidR="0024771A" w:rsidRPr="005E500B">
        <w:rPr>
          <w:rFonts w:asciiTheme="minorHAnsi" w:hAnsiTheme="minorHAnsi" w:cstheme="minorHAnsi"/>
          <w:sz w:val="24"/>
          <w:szCs w:val="24"/>
        </w:rPr>
        <w:t>pluriennale</w:t>
      </w:r>
      <w:r w:rsidR="00C01195" w:rsidRPr="005E500B">
        <w:rPr>
          <w:rFonts w:asciiTheme="minorHAnsi" w:hAnsiTheme="minorHAnsi" w:cstheme="minorHAnsi"/>
          <w:sz w:val="24"/>
          <w:szCs w:val="24"/>
        </w:rPr>
        <w:t xml:space="preserve"> e </w:t>
      </w:r>
      <w:r w:rsidRPr="005E500B">
        <w:rPr>
          <w:rFonts w:asciiTheme="minorHAnsi" w:hAnsiTheme="minorHAnsi" w:cstheme="minorHAnsi"/>
          <w:sz w:val="24"/>
          <w:szCs w:val="24"/>
        </w:rPr>
        <w:t>di fornire indicazioni su</w:t>
      </w:r>
      <w:r w:rsidR="0024771A" w:rsidRPr="005E500B">
        <w:rPr>
          <w:rFonts w:asciiTheme="minorHAnsi" w:hAnsiTheme="minorHAnsi" w:cstheme="minorHAnsi"/>
          <w:sz w:val="24"/>
          <w:szCs w:val="24"/>
        </w:rPr>
        <w:t>i livelli di confidenza associati a ciascuna view</w:t>
      </w:r>
      <w:r w:rsidRPr="005E500B">
        <w:rPr>
          <w:rFonts w:asciiTheme="minorHAnsi" w:hAnsiTheme="minorHAnsi" w:cstheme="minorHAnsi"/>
          <w:sz w:val="24"/>
          <w:szCs w:val="24"/>
        </w:rPr>
        <w:t xml:space="preserve">. Per rendere più agevole tale compito si è </w:t>
      </w:r>
      <w:r w:rsidR="0024771A" w:rsidRPr="005E500B">
        <w:rPr>
          <w:rFonts w:asciiTheme="minorHAnsi" w:hAnsiTheme="minorHAnsi" w:cstheme="minorHAnsi"/>
          <w:sz w:val="24"/>
          <w:szCs w:val="24"/>
        </w:rPr>
        <w:t>imposto</w:t>
      </w:r>
      <w:r w:rsidRPr="005E500B">
        <w:rPr>
          <w:rFonts w:asciiTheme="minorHAnsi" w:hAnsiTheme="minorHAnsi" w:cstheme="minorHAnsi"/>
          <w:sz w:val="24"/>
          <w:szCs w:val="24"/>
        </w:rPr>
        <w:t xml:space="preserve"> di esprimere, per le asset class, </w:t>
      </w:r>
      <w:r w:rsidR="008C3A6C">
        <w:rPr>
          <w:rFonts w:asciiTheme="minorHAnsi" w:hAnsiTheme="minorHAnsi" w:cstheme="minorHAnsi"/>
          <w:sz w:val="24"/>
          <w:szCs w:val="24"/>
        </w:rPr>
        <w:t xml:space="preserve">delle </w:t>
      </w:r>
      <w:r w:rsidRPr="005E500B">
        <w:rPr>
          <w:rFonts w:asciiTheme="minorHAnsi" w:hAnsiTheme="minorHAnsi" w:cstheme="minorHAnsi"/>
          <w:sz w:val="24"/>
          <w:szCs w:val="24"/>
        </w:rPr>
        <w:t xml:space="preserve">view di tipo qualitativo e di tipo </w:t>
      </w:r>
      <w:r w:rsidR="00DC0AF2" w:rsidRPr="005E500B">
        <w:rPr>
          <w:rFonts w:asciiTheme="minorHAnsi" w:hAnsiTheme="minorHAnsi" w:cstheme="minorHAnsi"/>
          <w:sz w:val="24"/>
          <w:szCs w:val="24"/>
        </w:rPr>
        <w:t xml:space="preserve">sia </w:t>
      </w:r>
      <w:r w:rsidRPr="005E500B">
        <w:rPr>
          <w:rFonts w:asciiTheme="minorHAnsi" w:hAnsiTheme="minorHAnsi" w:cstheme="minorHAnsi"/>
          <w:sz w:val="24"/>
          <w:szCs w:val="24"/>
        </w:rPr>
        <w:t>assoluto</w:t>
      </w:r>
      <w:r w:rsidR="009B6BA5">
        <w:rPr>
          <w:rFonts w:asciiTheme="minorHAnsi" w:hAnsiTheme="minorHAnsi" w:cstheme="minorHAnsi"/>
          <w:sz w:val="24"/>
          <w:szCs w:val="24"/>
        </w:rPr>
        <w:t xml:space="preserve">, sia </w:t>
      </w:r>
      <w:r w:rsidR="00DC0AF2" w:rsidRPr="005E500B">
        <w:rPr>
          <w:rFonts w:asciiTheme="minorHAnsi" w:hAnsiTheme="minorHAnsi" w:cstheme="minorHAnsi"/>
          <w:sz w:val="24"/>
          <w:szCs w:val="24"/>
        </w:rPr>
        <w:t>relativ</w:t>
      </w:r>
      <w:r w:rsidR="0024771A" w:rsidRPr="005E500B">
        <w:rPr>
          <w:rFonts w:asciiTheme="minorHAnsi" w:hAnsiTheme="minorHAnsi" w:cstheme="minorHAnsi"/>
          <w:sz w:val="24"/>
          <w:szCs w:val="24"/>
        </w:rPr>
        <w:t>o</w:t>
      </w:r>
      <w:r w:rsidRPr="005E500B">
        <w:rPr>
          <w:rFonts w:asciiTheme="minorHAnsi" w:hAnsiTheme="minorHAnsi" w:cstheme="minorHAnsi"/>
          <w:sz w:val="24"/>
          <w:szCs w:val="24"/>
        </w:rPr>
        <w:t>.</w:t>
      </w:r>
    </w:p>
    <w:p w:rsidR="009839FB" w:rsidRDefault="009839FB"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Il</w:t>
      </w:r>
      <w:r w:rsidR="0024771A" w:rsidRPr="005E500B">
        <w:rPr>
          <w:rFonts w:asciiTheme="minorHAnsi" w:hAnsiTheme="minorHAnsi" w:cstheme="minorHAnsi"/>
          <w:sz w:val="24"/>
          <w:szCs w:val="24"/>
        </w:rPr>
        <w:t xml:space="preserve"> processo di traduzione delle view qualitative in quantitative</w:t>
      </w:r>
      <w:r w:rsidR="0024771A" w:rsidRPr="005E500B">
        <w:rPr>
          <w:rStyle w:val="Rimandonotaapidipagina"/>
          <w:rFonts w:asciiTheme="minorHAnsi" w:hAnsiTheme="minorHAnsi" w:cstheme="minorHAnsi"/>
          <w:sz w:val="24"/>
          <w:szCs w:val="24"/>
        </w:rPr>
        <w:footnoteReference w:id="7"/>
      </w:r>
      <w:r w:rsidR="005E500B">
        <w:rPr>
          <w:rFonts w:asciiTheme="minorHAnsi" w:hAnsiTheme="minorHAnsi" w:cstheme="minorHAnsi"/>
          <w:sz w:val="24"/>
          <w:szCs w:val="24"/>
        </w:rPr>
        <w:t xml:space="preserve"> viene effettuato nel modo di seguito descritto.</w:t>
      </w:r>
    </w:p>
    <w:p w:rsidR="009839FB" w:rsidRDefault="009839FB"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Con riferimento</w:t>
      </w:r>
      <w:r w:rsidR="005E500B">
        <w:rPr>
          <w:rFonts w:asciiTheme="minorHAnsi" w:hAnsiTheme="minorHAnsi" w:cstheme="minorHAnsi"/>
          <w:sz w:val="24"/>
          <w:szCs w:val="24"/>
        </w:rPr>
        <w:t xml:space="preserve"> alle view </w:t>
      </w:r>
      <w:r w:rsidR="008C3A6C">
        <w:rPr>
          <w:rFonts w:asciiTheme="minorHAnsi" w:hAnsiTheme="minorHAnsi" w:cstheme="minorHAnsi"/>
          <w:sz w:val="24"/>
          <w:szCs w:val="24"/>
        </w:rPr>
        <w:t xml:space="preserve">qualitative </w:t>
      </w:r>
      <w:r w:rsidR="005E500B">
        <w:rPr>
          <w:rFonts w:asciiTheme="minorHAnsi" w:hAnsiTheme="minorHAnsi" w:cstheme="minorHAnsi"/>
          <w:sz w:val="24"/>
          <w:szCs w:val="24"/>
        </w:rPr>
        <w:t>assolute</w:t>
      </w:r>
      <w:r w:rsidR="00800406">
        <w:rPr>
          <w:rFonts w:asciiTheme="minorHAnsi" w:hAnsiTheme="minorHAnsi" w:cstheme="minorHAnsi"/>
          <w:sz w:val="24"/>
          <w:szCs w:val="24"/>
        </w:rPr>
        <w:t xml:space="preserve"> </w:t>
      </w:r>
      <w:r>
        <w:rPr>
          <w:rFonts w:asciiTheme="minorHAnsi" w:hAnsiTheme="minorHAnsi" w:cstheme="minorHAnsi"/>
          <w:sz w:val="24"/>
          <w:szCs w:val="24"/>
        </w:rPr>
        <w:t xml:space="preserve">viene associato </w:t>
      </w:r>
      <w:r w:rsidR="008C3A6C">
        <w:rPr>
          <w:rFonts w:asciiTheme="minorHAnsi" w:hAnsiTheme="minorHAnsi" w:cstheme="minorHAnsi"/>
          <w:sz w:val="24"/>
          <w:szCs w:val="24"/>
        </w:rPr>
        <w:t xml:space="preserve">ad ogni opinione qualitativa </w:t>
      </w:r>
      <w:r>
        <w:rPr>
          <w:rFonts w:asciiTheme="minorHAnsi" w:hAnsiTheme="minorHAnsi" w:cstheme="minorHAnsi"/>
          <w:sz w:val="24"/>
          <w:szCs w:val="24"/>
        </w:rPr>
        <w:t xml:space="preserve">uno specifico livello di </w:t>
      </w:r>
      <w:r w:rsidR="00A56045">
        <w:rPr>
          <w:rFonts w:asciiTheme="minorHAnsi" w:hAnsiTheme="minorHAnsi" w:cstheme="minorHAnsi"/>
          <w:sz w:val="24"/>
          <w:szCs w:val="24"/>
        </w:rPr>
        <w:t>fiducia</w:t>
      </w:r>
      <w:r>
        <w:rPr>
          <w:rFonts w:asciiTheme="minorHAnsi" w:hAnsiTheme="minorHAnsi" w:cstheme="minorHAnsi"/>
          <w:sz w:val="24"/>
          <w:szCs w:val="24"/>
        </w:rPr>
        <w:t>:</w:t>
      </w:r>
    </w:p>
    <w:p w:rsidR="005E500B" w:rsidRDefault="00A56045" w:rsidP="009839FB">
      <w:pPr>
        <w:spacing w:line="360" w:lineRule="auto"/>
        <w:jc w:val="center"/>
        <w:rPr>
          <w:rFonts w:asciiTheme="minorHAnsi" w:hAnsiTheme="minorHAnsi" w:cstheme="minorHAnsi"/>
          <w:sz w:val="24"/>
          <w:szCs w:val="24"/>
        </w:rPr>
      </w:pPr>
      <w:r w:rsidRPr="00A56045">
        <w:rPr>
          <w:noProof/>
          <w:lang w:eastAsia="it-IT"/>
        </w:rPr>
        <w:drawing>
          <wp:inline distT="0" distB="0" distL="0" distR="0" wp14:anchorId="5B18E51F" wp14:editId="651AB7AB">
            <wp:extent cx="2343150" cy="12382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3150" cy="1238250"/>
                    </a:xfrm>
                    <a:prstGeom prst="rect">
                      <a:avLst/>
                    </a:prstGeom>
                    <a:noFill/>
                    <a:ln>
                      <a:noFill/>
                    </a:ln>
                  </pic:spPr>
                </pic:pic>
              </a:graphicData>
            </a:graphic>
          </wp:inline>
        </w:drawing>
      </w:r>
    </w:p>
    <w:p w:rsidR="00A56045" w:rsidRDefault="00A56045" w:rsidP="009839FB">
      <w:pPr>
        <w:spacing w:line="360" w:lineRule="auto"/>
        <w:jc w:val="both"/>
        <w:rPr>
          <w:rFonts w:asciiTheme="minorHAnsi" w:hAnsiTheme="minorHAnsi" w:cstheme="minorHAnsi"/>
          <w:sz w:val="24"/>
          <w:szCs w:val="24"/>
        </w:rPr>
      </w:pPr>
    </w:p>
    <w:p w:rsidR="009839FB" w:rsidRPr="009839FB" w:rsidRDefault="009839FB" w:rsidP="009839FB">
      <w:pPr>
        <w:spacing w:line="360" w:lineRule="auto"/>
        <w:jc w:val="both"/>
        <w:rPr>
          <w:rFonts w:asciiTheme="minorHAnsi" w:hAnsiTheme="minorHAnsi" w:cstheme="minorHAnsi"/>
          <w:sz w:val="24"/>
          <w:szCs w:val="24"/>
        </w:rPr>
      </w:pPr>
      <w:bookmarkStart w:id="45" w:name="OLE_LINK19"/>
      <w:r w:rsidRPr="009839FB">
        <w:rPr>
          <w:rFonts w:asciiTheme="minorHAnsi" w:hAnsiTheme="minorHAnsi" w:cstheme="minorHAnsi"/>
          <w:sz w:val="24"/>
          <w:szCs w:val="24"/>
        </w:rPr>
        <w:t xml:space="preserve">Il </w:t>
      </w:r>
      <w:bookmarkStart w:id="46" w:name="OLE_LINK18"/>
      <w:r w:rsidRPr="009839FB">
        <w:rPr>
          <w:rFonts w:asciiTheme="minorHAnsi" w:hAnsiTheme="minorHAnsi" w:cstheme="minorHAnsi"/>
          <w:sz w:val="24"/>
          <w:szCs w:val="24"/>
        </w:rPr>
        <w:t>rendimento atteso</w:t>
      </w:r>
      <w:bookmarkEnd w:id="46"/>
      <w:r w:rsidRPr="009839FB">
        <w:rPr>
          <w:rFonts w:asciiTheme="minorHAnsi" w:hAnsiTheme="minorHAnsi" w:cstheme="minorHAnsi"/>
          <w:sz w:val="24"/>
          <w:szCs w:val="24"/>
        </w:rPr>
        <w:t xml:space="preserve"> dall’analista</w:t>
      </w:r>
      <w:r w:rsidR="0016712C">
        <w:rPr>
          <w:rFonts w:asciiTheme="minorHAnsi" w:hAnsiTheme="minorHAnsi" w:cstheme="minorHAnsi"/>
          <w:sz w:val="24"/>
          <w:szCs w:val="24"/>
        </w:rPr>
        <w:t xml:space="preserve"> (ovvero la view quantitativa)</w:t>
      </w:r>
      <w:r w:rsidR="002E47C5">
        <w:rPr>
          <w:rFonts w:asciiTheme="minorHAnsi" w:hAnsiTheme="minorHAnsi" w:cstheme="minorHAnsi"/>
          <w:sz w:val="24"/>
          <w:szCs w:val="24"/>
        </w:rPr>
        <w:t xml:space="preserve"> </w:t>
      </w:r>
      <w:r w:rsidR="0016712C">
        <w:rPr>
          <w:rFonts w:asciiTheme="minorHAnsi" w:hAnsiTheme="minorHAnsi" w:cstheme="minorHAnsi"/>
          <w:sz w:val="24"/>
          <w:szCs w:val="24"/>
        </w:rPr>
        <w:t>che va poi a comporre il vettore colonna Q</w:t>
      </w:r>
      <w:r w:rsidRPr="009839FB">
        <w:rPr>
          <w:rFonts w:asciiTheme="minorHAnsi" w:hAnsiTheme="minorHAnsi" w:cstheme="minorHAnsi"/>
          <w:sz w:val="24"/>
          <w:szCs w:val="24"/>
        </w:rPr>
        <w:t xml:space="preserve">) </w:t>
      </w:r>
      <w:r w:rsidR="0016712C">
        <w:rPr>
          <w:rFonts w:asciiTheme="minorHAnsi" w:hAnsiTheme="minorHAnsi" w:cstheme="minorHAnsi"/>
          <w:sz w:val="24"/>
          <w:szCs w:val="24"/>
        </w:rPr>
        <w:t>viene</w:t>
      </w:r>
      <w:r w:rsidRPr="009839FB">
        <w:rPr>
          <w:rFonts w:asciiTheme="minorHAnsi" w:hAnsiTheme="minorHAnsi" w:cstheme="minorHAnsi"/>
          <w:sz w:val="24"/>
          <w:szCs w:val="24"/>
        </w:rPr>
        <w:t xml:space="preserve"> calcolato nel modo seguente:</w:t>
      </w:r>
      <w:bookmarkEnd w:id="45"/>
    </w:p>
    <w:p w:rsidR="009839FB" w:rsidRDefault="006B7620" w:rsidP="009839FB">
      <w:pPr>
        <w:spacing w:line="360" w:lineRule="auto"/>
        <w:jc w:val="center"/>
        <w:rPr>
          <w:rFonts w:asciiTheme="minorHAnsi" w:hAnsiTheme="minorHAnsi" w:cstheme="minorHAnsi"/>
          <w:sz w:val="24"/>
          <w:szCs w:val="24"/>
        </w:rPr>
      </w:pPr>
      <w:r>
        <w:rPr>
          <w:rFonts w:asciiTheme="minorHAnsi" w:hAnsiTheme="minorHAnsi" w:cstheme="minorHAnsi"/>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134620</wp:posOffset>
                </wp:positionV>
                <wp:extent cx="5952490" cy="501650"/>
                <wp:effectExtent l="0" t="0" r="0" b="0"/>
                <wp:wrapNone/>
                <wp:docPr id="87348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501650"/>
                        </a:xfrm>
                        <a:prstGeom prst="rect">
                          <a:avLst/>
                        </a:prstGeom>
                        <a:solidFill>
                          <a:schemeClr val="bg1"/>
                        </a:solidFill>
                        <a:ln w="9525">
                          <a:noFill/>
                          <a:miter lim="800000"/>
                          <a:headEnd/>
                          <a:tailEnd/>
                        </a:ln>
                        <a:effectLst/>
                      </wps:spPr>
                      <wps:txbx>
                        <w:txbxContent>
                          <w:p w:rsidR="00C5468C" w:rsidRPr="0016712C" w:rsidRDefault="00C5468C" w:rsidP="009839FB">
                            <w:pPr>
                              <w:pStyle w:val="NormaleWeb"/>
                              <w:kinsoku w:val="0"/>
                              <w:overflowPunct w:val="0"/>
                              <w:spacing w:before="240" w:beforeAutospacing="0" w:after="0" w:afterAutospacing="0"/>
                              <w:jc w:val="center"/>
                              <w:textAlignment w:val="baseline"/>
                              <w:rPr>
                                <w:rFonts w:asciiTheme="minorHAnsi" w:hAnsiTheme="minorHAnsi"/>
                                <w:sz w:val="16"/>
                              </w:rPr>
                            </w:pP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analista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xml:space="preserve">= </w:t>
                            </w:r>
                            <w:bookmarkStart w:id="47" w:name="OLE_LINK17"/>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mkt.neutral</w:t>
                            </w:r>
                            <w:bookmarkEnd w:id="47"/>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inv.norm.st(liv.fiducia)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sym w:font="Symbol" w:char="F0B4"/>
                            </w:r>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Theme="minorHAnsi" w:hAnsiTheme="minorHAnsi" w:cstheme="minorBidi"/>
                                <w:i/>
                                <w:iCs/>
                                <w:kern w:val="24"/>
                                <w:position w:val="-10"/>
                                <w:szCs w:val="40"/>
                                <w:vertAlign w:val="subscript"/>
                                <w14:shadow w14:blurRad="50800" w14:dist="38100" w14:dir="2700000" w14:sx="100000" w14:sy="100000" w14:kx="0" w14:ky="0" w14:algn="tl">
                                  <w14:srgbClr w14:val="000000">
                                    <w14:alpha w14:val="60000"/>
                                  </w14:srgbClr>
                                </w14:shadow>
                              </w:rPr>
                              <w:t>Rend atteso(asset)</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4.5pt;margin-top:10.6pt;width:468.7pt;height: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" fillcolor="white [3212]" stroked="f">
                <v:textbox style="mso-fit-shape-to-text:t">
                  <w:txbxContent>
                    <w:p w:rsidR="00C5468C" w:rsidRPr="0016712C" w:rsidRDefault="00C5468C" w:rsidP="009839FB">
                      <w:pPr>
                        <w:pStyle w:val="NormaleWeb"/>
                        <w:kinsoku w:val="0"/>
                        <w:overflowPunct w:val="0"/>
                        <w:spacing w:before="240" w:beforeAutospacing="0" w:after="0" w:afterAutospacing="0"/>
                        <w:jc w:val="center"/>
                        <w:textAlignment w:val="baseline"/>
                        <w:rPr>
                          <w:rFonts w:asciiTheme="minorHAnsi" w:hAnsiTheme="minorHAnsi"/>
                          <w:sz w:val="16"/>
                        </w:rPr>
                      </w:pP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analista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xml:space="preserve">= </w:t>
                      </w:r>
                      <w:bookmarkStart w:id="48" w:name="OLE_LINK17"/>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mkt.neutral</w:t>
                      </w:r>
                      <w:bookmarkEnd w:id="48"/>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inv.norm.st(liv.fiducia)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sym w:font="Symbol" w:char="F0B4"/>
                      </w:r>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Theme="minorHAnsi" w:hAnsiTheme="minorHAnsi" w:cstheme="minorBidi"/>
                          <w:i/>
                          <w:iCs/>
                          <w:kern w:val="24"/>
                          <w:position w:val="-10"/>
                          <w:szCs w:val="40"/>
                          <w:vertAlign w:val="subscript"/>
                          <w14:shadow w14:blurRad="50800" w14:dist="38100" w14:dir="2700000" w14:sx="100000" w14:sy="100000" w14:kx="0" w14:ky="0" w14:algn="tl">
                            <w14:srgbClr w14:val="000000">
                              <w14:alpha w14:val="60000"/>
                            </w14:srgbClr>
                          </w14:shadow>
                        </w:rPr>
                        <w:t>Rend atteso(asset)</w:t>
                      </w:r>
                    </w:p>
                  </w:txbxContent>
                </v:textbox>
              </v:shape>
            </w:pict>
          </mc:Fallback>
        </mc:AlternateContent>
      </w:r>
    </w:p>
    <w:p w:rsidR="006C0C6A" w:rsidRDefault="006C0C6A" w:rsidP="009839FB">
      <w:pPr>
        <w:spacing w:line="360" w:lineRule="auto"/>
        <w:jc w:val="center"/>
        <w:rPr>
          <w:rFonts w:asciiTheme="minorHAnsi" w:hAnsiTheme="minorHAnsi" w:cstheme="minorHAnsi"/>
          <w:sz w:val="24"/>
          <w:szCs w:val="24"/>
        </w:rPr>
      </w:pPr>
    </w:p>
    <w:p w:rsidR="006C0C6A" w:rsidRDefault="006C0C6A" w:rsidP="009839FB">
      <w:pPr>
        <w:spacing w:line="360" w:lineRule="auto"/>
        <w:jc w:val="center"/>
        <w:rPr>
          <w:rFonts w:asciiTheme="minorHAnsi" w:hAnsiTheme="minorHAnsi" w:cstheme="minorHAnsi"/>
          <w:sz w:val="24"/>
          <w:szCs w:val="24"/>
        </w:rPr>
      </w:pPr>
    </w:p>
    <w:p w:rsidR="0016712C" w:rsidRDefault="0016712C"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Dove:</w:t>
      </w:r>
    </w:p>
    <w:p w:rsidR="0016712C" w:rsidRDefault="0016712C" w:rsidP="003710BD">
      <w:pPr>
        <w:spacing w:line="360" w:lineRule="auto"/>
        <w:jc w:val="both"/>
        <w:rPr>
          <w:rFonts w:asciiTheme="minorHAnsi" w:hAnsiTheme="minorHAnsi" w:cstheme="minorHAnsi"/>
          <w:sz w:val="24"/>
          <w:szCs w:val="24"/>
        </w:rPr>
      </w:pPr>
      <w:bookmarkStart w:id="49" w:name="OLE_LINK20"/>
      <w:r>
        <w:rPr>
          <w:rFonts w:asciiTheme="minorHAnsi" w:hAnsiTheme="minorHAnsi" w:cstheme="minorHAnsi"/>
          <w:sz w:val="24"/>
          <w:szCs w:val="24"/>
        </w:rPr>
        <w:t>E(R)</w:t>
      </w:r>
      <w:r w:rsidRPr="0016712C">
        <w:rPr>
          <w:rFonts w:asciiTheme="minorHAnsi" w:hAnsiTheme="minorHAnsi" w:cstheme="minorHAnsi"/>
          <w:sz w:val="24"/>
          <w:szCs w:val="24"/>
          <w:vertAlign w:val="subscript"/>
        </w:rPr>
        <w:t>mkt.neutral</w:t>
      </w:r>
      <w:r>
        <w:rPr>
          <w:rFonts w:asciiTheme="minorHAnsi" w:hAnsiTheme="minorHAnsi" w:cstheme="minorHAnsi"/>
          <w:sz w:val="24"/>
          <w:szCs w:val="24"/>
        </w:rPr>
        <w:t xml:space="preserve"> identifica il rendimento atteso market neutral della asset class;</w:t>
      </w:r>
    </w:p>
    <w:p w:rsidR="0016712C" w:rsidRDefault="0016712C"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inv.norm.st(liv.fiducia) identifica l’inversa della normale standardizzata corrispondente al livello di fiducia della view;</w:t>
      </w:r>
    </w:p>
    <w:p w:rsidR="0016712C" w:rsidRPr="0016712C" w:rsidRDefault="0016712C" w:rsidP="003710BD">
      <w:pPr>
        <w:spacing w:line="360" w:lineRule="auto"/>
        <w:jc w:val="both"/>
        <w:rPr>
          <w:rFonts w:asciiTheme="minorHAnsi" w:hAnsiTheme="minorHAnsi" w:cstheme="minorHAnsi"/>
          <w:sz w:val="24"/>
          <w:szCs w:val="24"/>
        </w:rPr>
      </w:pPr>
      <w:r w:rsidRPr="0016712C">
        <w:rPr>
          <w:rFonts w:ascii="Symbol" w:hAnsi="Symbol" w:cstheme="minorHAnsi"/>
          <w:sz w:val="24"/>
          <w:szCs w:val="24"/>
        </w:rPr>
        <w:t></w:t>
      </w:r>
      <w:r w:rsidRPr="0016712C">
        <w:rPr>
          <w:rFonts w:asciiTheme="minorHAnsi" w:hAnsiTheme="minorHAnsi" w:cstheme="minorHAnsi"/>
          <w:sz w:val="24"/>
          <w:szCs w:val="24"/>
          <w:vertAlign w:val="subscript"/>
        </w:rPr>
        <w:t>rend atteso(asset)</w:t>
      </w:r>
      <w:r>
        <w:rPr>
          <w:rFonts w:asciiTheme="minorHAnsi" w:hAnsiTheme="minorHAnsi" w:cstheme="minorHAnsi"/>
          <w:sz w:val="24"/>
          <w:szCs w:val="24"/>
        </w:rPr>
        <w:t xml:space="preserve"> identifica la deviazione standard dei rendimenti attesi dell’asset class (tale valore</w:t>
      </w:r>
      <w:r w:rsidR="002F0386">
        <w:rPr>
          <w:rFonts w:asciiTheme="minorHAnsi" w:hAnsiTheme="minorHAnsi" w:cstheme="minorHAnsi"/>
          <w:sz w:val="24"/>
          <w:szCs w:val="24"/>
        </w:rPr>
        <w:t xml:space="preserve"> viene calcolato</w:t>
      </w:r>
      <w:r w:rsidR="00800406">
        <w:rPr>
          <w:rFonts w:asciiTheme="minorHAnsi" w:hAnsiTheme="minorHAnsi" w:cstheme="minorHAnsi"/>
          <w:sz w:val="24"/>
          <w:szCs w:val="24"/>
        </w:rPr>
        <w:t xml:space="preserve"> </w:t>
      </w:r>
      <w:r w:rsidR="002F0386">
        <w:rPr>
          <w:rFonts w:asciiTheme="minorHAnsi" w:hAnsiTheme="minorHAnsi" w:cstheme="minorHAnsi"/>
          <w:sz w:val="24"/>
          <w:szCs w:val="24"/>
        </w:rPr>
        <w:t>partendo</w:t>
      </w:r>
      <w:r>
        <w:rPr>
          <w:rFonts w:asciiTheme="minorHAnsi" w:hAnsiTheme="minorHAnsi" w:cstheme="minorHAnsi"/>
          <w:sz w:val="24"/>
          <w:szCs w:val="24"/>
        </w:rPr>
        <w:t xml:space="preserve"> dalla deviazione standard dei rendimenti dell’asset class calcolata </w:t>
      </w:r>
      <w:r w:rsidR="002F0386">
        <w:rPr>
          <w:rFonts w:asciiTheme="minorHAnsi" w:hAnsiTheme="minorHAnsi" w:cstheme="minorHAnsi"/>
          <w:sz w:val="24"/>
          <w:szCs w:val="24"/>
        </w:rPr>
        <w:t>c</w:t>
      </w:r>
      <w:r>
        <w:rPr>
          <w:rFonts w:asciiTheme="minorHAnsi" w:hAnsiTheme="minorHAnsi" w:cstheme="minorHAnsi"/>
          <w:sz w:val="24"/>
          <w:szCs w:val="24"/>
        </w:rPr>
        <w:t xml:space="preserve">on il processo descritto nel paragrafo 1.3; </w:t>
      </w:r>
      <w:r w:rsidR="002F0386">
        <w:rPr>
          <w:rFonts w:asciiTheme="minorHAnsi" w:hAnsiTheme="minorHAnsi" w:cstheme="minorHAnsi"/>
          <w:sz w:val="24"/>
          <w:szCs w:val="24"/>
        </w:rPr>
        <w:t>la</w:t>
      </w:r>
      <w:r>
        <w:rPr>
          <w:rFonts w:asciiTheme="minorHAnsi" w:hAnsiTheme="minorHAnsi" w:cstheme="minorHAnsi"/>
          <w:sz w:val="24"/>
          <w:szCs w:val="24"/>
        </w:rPr>
        <w:t xml:space="preserve"> deviazione standard dei rendimenti viene poi trasformata in deviazione standard dei rendimenti attesi mediante l’uso dello scalare </w:t>
      </w:r>
      <w:r w:rsidRPr="002F0386">
        <w:rPr>
          <w:rFonts w:ascii="Symbol" w:hAnsi="Symbol" w:cstheme="minorHAnsi"/>
          <w:sz w:val="24"/>
          <w:szCs w:val="24"/>
        </w:rPr>
        <w:t></w:t>
      </w:r>
      <w:r>
        <w:rPr>
          <w:rFonts w:asciiTheme="minorHAnsi" w:hAnsiTheme="minorHAnsi" w:cstheme="minorHAnsi"/>
          <w:sz w:val="24"/>
          <w:szCs w:val="24"/>
        </w:rPr>
        <w:t xml:space="preserve"> che sarà oggetto di descrizione nel paragrafo 1.9).</w:t>
      </w:r>
    </w:p>
    <w:bookmarkEnd w:id="49"/>
    <w:p w:rsidR="009839FB" w:rsidRDefault="009839FB"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Coerentemente con questa logica di definizione delle view, nell’ipotesi in cui l’analista si attenda da una asset class un rendimento maggiore di quello di equilibrio, egli dovrà esprimere una view Positiva o Molto Positiva. Di contro, nell’ipotesi in cui l’analista si attenda da una asset class un rendimento </w:t>
      </w:r>
      <w:r w:rsidR="008C3A6C">
        <w:rPr>
          <w:rFonts w:asciiTheme="minorHAnsi" w:hAnsiTheme="minorHAnsi" w:cstheme="minorHAnsi"/>
          <w:sz w:val="24"/>
          <w:szCs w:val="24"/>
        </w:rPr>
        <w:t>peggiore</w:t>
      </w:r>
      <w:r>
        <w:rPr>
          <w:rFonts w:asciiTheme="minorHAnsi" w:hAnsiTheme="minorHAnsi" w:cstheme="minorHAnsi"/>
          <w:sz w:val="24"/>
          <w:szCs w:val="24"/>
        </w:rPr>
        <w:t xml:space="preserve"> di quello di equilibrio, egli dovrà esprimere una view Negativa o Molto Negativa.</w:t>
      </w:r>
    </w:p>
    <w:p w:rsidR="009839FB" w:rsidRDefault="009839FB" w:rsidP="003710BD">
      <w:pPr>
        <w:spacing w:line="360" w:lineRule="auto"/>
        <w:jc w:val="both"/>
        <w:rPr>
          <w:rFonts w:asciiTheme="minorHAnsi" w:hAnsiTheme="minorHAnsi" w:cstheme="minorHAnsi"/>
          <w:sz w:val="24"/>
          <w:szCs w:val="24"/>
        </w:rPr>
      </w:pPr>
    </w:p>
    <w:p w:rsidR="009839FB" w:rsidRDefault="009839FB" w:rsidP="009839FB">
      <w:pPr>
        <w:spacing w:line="360" w:lineRule="auto"/>
        <w:jc w:val="both"/>
        <w:rPr>
          <w:rFonts w:asciiTheme="minorHAnsi" w:hAnsiTheme="minorHAnsi" w:cstheme="minorHAnsi"/>
          <w:sz w:val="24"/>
          <w:szCs w:val="24"/>
        </w:rPr>
      </w:pPr>
      <w:r>
        <w:rPr>
          <w:rFonts w:asciiTheme="minorHAnsi" w:hAnsiTheme="minorHAnsi" w:cstheme="minorHAnsi"/>
          <w:sz w:val="24"/>
          <w:szCs w:val="24"/>
        </w:rPr>
        <w:t>Con riferimento alle view</w:t>
      </w:r>
      <w:r w:rsidR="008C3A6C">
        <w:rPr>
          <w:rFonts w:asciiTheme="minorHAnsi" w:hAnsiTheme="minorHAnsi" w:cstheme="minorHAnsi"/>
          <w:sz w:val="24"/>
          <w:szCs w:val="24"/>
        </w:rPr>
        <w:t xml:space="preserve"> qualitative </w:t>
      </w:r>
      <w:r>
        <w:rPr>
          <w:rFonts w:asciiTheme="minorHAnsi" w:hAnsiTheme="minorHAnsi" w:cstheme="minorHAnsi"/>
          <w:sz w:val="24"/>
          <w:szCs w:val="24"/>
        </w:rPr>
        <w:t>relative:</w:t>
      </w:r>
    </w:p>
    <w:p w:rsidR="009839FB" w:rsidRDefault="009839FB" w:rsidP="009839FB">
      <w:pPr>
        <w:spacing w:line="360" w:lineRule="auto"/>
        <w:jc w:val="center"/>
        <w:rPr>
          <w:rFonts w:asciiTheme="minorHAnsi" w:hAnsiTheme="minorHAnsi" w:cstheme="minorHAnsi"/>
          <w:sz w:val="24"/>
          <w:szCs w:val="24"/>
        </w:rPr>
      </w:pPr>
      <w:r w:rsidRPr="009839FB">
        <w:rPr>
          <w:rFonts w:asciiTheme="minorHAnsi" w:hAnsiTheme="minorHAnsi" w:cstheme="minorHAnsi"/>
          <w:noProof/>
          <w:sz w:val="24"/>
          <w:szCs w:val="24"/>
          <w:lang w:eastAsia="it-IT"/>
        </w:rPr>
        <w:drawing>
          <wp:inline distT="0" distB="0" distL="0" distR="0" wp14:anchorId="4D04FA0E" wp14:editId="52F9CA3E">
            <wp:extent cx="991376" cy="902822"/>
            <wp:effectExtent l="0" t="0" r="0" b="0"/>
            <wp:docPr id="8745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08"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2822" cy="904139"/>
                    </a:xfrm>
                    <a:prstGeom prst="rect">
                      <a:avLst/>
                    </a:prstGeom>
                    <a:noFill/>
                    <a:ln>
                      <a:noFill/>
                    </a:ln>
                    <a:extLst/>
                  </pic:spPr>
                </pic:pic>
              </a:graphicData>
            </a:graphic>
          </wp:inline>
        </w:drawing>
      </w:r>
    </w:p>
    <w:p w:rsidR="009839FB" w:rsidRDefault="009839FB" w:rsidP="009839FB">
      <w:pPr>
        <w:spacing w:line="360" w:lineRule="auto"/>
        <w:jc w:val="both"/>
        <w:rPr>
          <w:rFonts w:asciiTheme="minorHAnsi" w:hAnsiTheme="minorHAnsi" w:cstheme="minorHAnsi"/>
          <w:sz w:val="24"/>
          <w:szCs w:val="24"/>
        </w:rPr>
      </w:pPr>
      <w:r>
        <w:rPr>
          <w:rFonts w:asciiTheme="minorHAnsi" w:hAnsiTheme="minorHAnsi" w:cstheme="minorHAnsi"/>
          <w:sz w:val="24"/>
          <w:szCs w:val="24"/>
        </w:rPr>
        <w:t>anche in tal caso associato</w:t>
      </w:r>
      <w:r w:rsidR="008C3A6C">
        <w:rPr>
          <w:rFonts w:asciiTheme="minorHAnsi" w:hAnsiTheme="minorHAnsi" w:cstheme="minorHAnsi"/>
          <w:sz w:val="24"/>
          <w:szCs w:val="24"/>
        </w:rPr>
        <w:t xml:space="preserve"> ad ogni opinione qualitativa</w:t>
      </w:r>
      <w:r>
        <w:rPr>
          <w:rFonts w:asciiTheme="minorHAnsi" w:hAnsiTheme="minorHAnsi" w:cstheme="minorHAnsi"/>
          <w:sz w:val="24"/>
          <w:szCs w:val="24"/>
        </w:rPr>
        <w:t xml:space="preserve"> uno specifico livello di </w:t>
      </w:r>
      <w:r w:rsidR="00964256">
        <w:rPr>
          <w:rFonts w:asciiTheme="minorHAnsi" w:hAnsiTheme="minorHAnsi" w:cstheme="minorHAnsi"/>
          <w:sz w:val="24"/>
          <w:szCs w:val="24"/>
        </w:rPr>
        <w:t>fiducia</w:t>
      </w:r>
      <w:r>
        <w:rPr>
          <w:rFonts w:asciiTheme="minorHAnsi" w:hAnsiTheme="minorHAnsi" w:cstheme="minorHAnsi"/>
          <w:sz w:val="24"/>
          <w:szCs w:val="24"/>
        </w:rPr>
        <w:t>:</w:t>
      </w:r>
    </w:p>
    <w:p w:rsidR="009839FB" w:rsidRDefault="002F0386" w:rsidP="009839FB">
      <w:pPr>
        <w:spacing w:line="360" w:lineRule="auto"/>
        <w:jc w:val="center"/>
        <w:rPr>
          <w:rFonts w:asciiTheme="minorHAnsi" w:hAnsiTheme="minorHAnsi" w:cstheme="minorHAnsi"/>
          <w:sz w:val="24"/>
          <w:szCs w:val="24"/>
        </w:rPr>
      </w:pPr>
      <w:r w:rsidRPr="002F0386">
        <w:rPr>
          <w:noProof/>
          <w:lang w:eastAsia="it-IT"/>
        </w:rPr>
        <w:drawing>
          <wp:inline distT="0" distB="0" distL="0" distR="0" wp14:anchorId="53D0A096" wp14:editId="05AD8232">
            <wp:extent cx="2343150" cy="7143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714375"/>
                    </a:xfrm>
                    <a:prstGeom prst="rect">
                      <a:avLst/>
                    </a:prstGeom>
                    <a:noFill/>
                    <a:ln>
                      <a:noFill/>
                    </a:ln>
                  </pic:spPr>
                </pic:pic>
              </a:graphicData>
            </a:graphic>
          </wp:inline>
        </w:drawing>
      </w:r>
    </w:p>
    <w:p w:rsidR="00964256" w:rsidRDefault="00964256" w:rsidP="009839FB">
      <w:pPr>
        <w:spacing w:line="360" w:lineRule="auto"/>
        <w:jc w:val="center"/>
        <w:rPr>
          <w:rFonts w:asciiTheme="minorHAnsi" w:hAnsiTheme="minorHAnsi" w:cstheme="minorHAnsi"/>
          <w:sz w:val="24"/>
          <w:szCs w:val="24"/>
        </w:rPr>
      </w:pPr>
    </w:p>
    <w:p w:rsidR="009839FB" w:rsidRPr="009839FB" w:rsidRDefault="00964256" w:rsidP="009839FB">
      <w:pPr>
        <w:spacing w:line="360" w:lineRule="auto"/>
        <w:jc w:val="both"/>
        <w:rPr>
          <w:rFonts w:asciiTheme="minorHAnsi" w:hAnsiTheme="minorHAnsi" w:cstheme="minorHAnsi"/>
          <w:sz w:val="24"/>
          <w:szCs w:val="24"/>
        </w:rPr>
      </w:pPr>
      <w:r w:rsidRPr="009839FB">
        <w:rPr>
          <w:rFonts w:asciiTheme="minorHAnsi" w:hAnsiTheme="minorHAnsi" w:cstheme="minorHAnsi"/>
          <w:sz w:val="24"/>
          <w:szCs w:val="24"/>
        </w:rPr>
        <w:t>Il rendimento atteso dall’analista</w:t>
      </w:r>
      <w:r>
        <w:rPr>
          <w:rFonts w:asciiTheme="minorHAnsi" w:hAnsiTheme="minorHAnsi" w:cstheme="minorHAnsi"/>
          <w:sz w:val="24"/>
          <w:szCs w:val="24"/>
        </w:rPr>
        <w:t xml:space="preserve"> (ovvero la view quantitativa)che va poi a comporre il vettore colonna Q</w:t>
      </w:r>
      <w:r w:rsidRPr="009839FB">
        <w:rPr>
          <w:rFonts w:asciiTheme="minorHAnsi" w:hAnsiTheme="minorHAnsi" w:cstheme="minorHAnsi"/>
          <w:sz w:val="24"/>
          <w:szCs w:val="24"/>
        </w:rPr>
        <w:t xml:space="preserve">) </w:t>
      </w:r>
      <w:r>
        <w:rPr>
          <w:rFonts w:asciiTheme="minorHAnsi" w:hAnsiTheme="minorHAnsi" w:cstheme="minorHAnsi"/>
          <w:sz w:val="24"/>
          <w:szCs w:val="24"/>
        </w:rPr>
        <w:t>viene</w:t>
      </w:r>
      <w:r w:rsidRPr="009839FB">
        <w:rPr>
          <w:rFonts w:asciiTheme="minorHAnsi" w:hAnsiTheme="minorHAnsi" w:cstheme="minorHAnsi"/>
          <w:sz w:val="24"/>
          <w:szCs w:val="24"/>
        </w:rPr>
        <w:t xml:space="preserve"> calcolato nel modo seguente:</w:t>
      </w:r>
    </w:p>
    <w:p w:rsidR="009839FB" w:rsidRDefault="006B7620" w:rsidP="006B7620">
      <w:pPr>
        <w:spacing w:line="360" w:lineRule="auto"/>
        <w:jc w:val="center"/>
        <w:rPr>
          <w:rFonts w:asciiTheme="minorHAnsi" w:hAnsiTheme="minorHAnsi" w:cstheme="minorHAnsi"/>
          <w:sz w:val="24"/>
          <w:szCs w:val="24"/>
        </w:rPr>
      </w:pPr>
      <w:r>
        <w:rPr>
          <w:rFonts w:asciiTheme="minorHAnsi" w:hAnsiTheme="minorHAnsi" w:cstheme="minorHAnsi"/>
          <w:noProof/>
          <w:sz w:val="24"/>
          <w:szCs w:val="24"/>
          <w:lang w:eastAsia="it-IT"/>
        </w:rPr>
        <w:lastRenderedPageBreak/>
        <mc:AlternateContent>
          <mc:Choice Requires="wps">
            <w:drawing>
              <wp:anchor distT="0" distB="0" distL="114300" distR="114300" simplePos="0" relativeHeight="251661312" behindDoc="0" locked="0" layoutInCell="1" allowOverlap="1">
                <wp:simplePos x="0" y="0"/>
                <wp:positionH relativeFrom="column">
                  <wp:posOffset>-36830</wp:posOffset>
                </wp:positionH>
                <wp:positionV relativeFrom="paragraph">
                  <wp:posOffset>69850</wp:posOffset>
                </wp:positionV>
                <wp:extent cx="6093460" cy="501650"/>
                <wp:effectExtent l="0" t="0" r="2540" b="0"/>
                <wp:wrapNone/>
                <wp:docPr id="87450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501650"/>
                        </a:xfrm>
                        <a:prstGeom prst="rect">
                          <a:avLst/>
                        </a:prstGeom>
                        <a:solidFill>
                          <a:schemeClr val="bg1"/>
                        </a:solidFill>
                        <a:ln w="9525">
                          <a:noFill/>
                          <a:miter lim="800000"/>
                          <a:headEnd/>
                          <a:tailEnd/>
                        </a:ln>
                        <a:effectLst/>
                      </wps:spPr>
                      <wps:txbx>
                        <w:txbxContent>
                          <w:p w:rsidR="00C5468C" w:rsidRPr="00964256" w:rsidRDefault="00C5468C" w:rsidP="009839FB">
                            <w:pPr>
                              <w:pStyle w:val="NormaleWeb"/>
                              <w:kinsoku w:val="0"/>
                              <w:overflowPunct w:val="0"/>
                              <w:spacing w:before="240" w:beforeAutospacing="0" w:after="0" w:afterAutospacing="0"/>
                              <w:jc w:val="center"/>
                              <w:textAlignment w:val="baseline"/>
                              <w:rPr>
                                <w:rFonts w:asciiTheme="minorHAnsi" w:hAnsiTheme="minorHAnsi"/>
                                <w:sz w:val="16"/>
                              </w:rPr>
                            </w:pP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E(R)</w:t>
                            </w:r>
                            <w:r w:rsidRPr="006B7620">
                              <w:rPr>
                                <w:rFonts w:asciiTheme="minorHAnsi" w:hAnsiTheme="minorHAnsi" w:cstheme="minorBidi"/>
                                <w:kern w:val="24"/>
                                <w:position w:val="-6"/>
                                <w:szCs w:val="40"/>
                                <w:vertAlign w:val="subscript"/>
                                <w14:shadow w14:blurRad="50800" w14:dist="38100" w14:dir="2700000" w14:sx="100000" w14:sy="100000" w14:kx="0" w14:ky="0" w14:algn="tl">
                                  <w14:srgbClr w14:val="000000">
                                    <w14:alpha w14:val="60000"/>
                                  </w14:srgbClr>
                                </w14:shadow>
                              </w:rPr>
                              <w:t>differ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analista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E(R)</w:t>
                            </w:r>
                            <w:r w:rsidRPr="006B7620">
                              <w:rPr>
                                <w:rFonts w:asciiTheme="minorHAnsi" w:hAnsiTheme="minorHAnsi" w:cstheme="minorBidi"/>
                                <w:kern w:val="24"/>
                                <w:position w:val="-6"/>
                                <w:szCs w:val="40"/>
                                <w:vertAlign w:val="subscript"/>
                                <w14:shadow w14:blurRad="50800" w14:dist="38100" w14:dir="2700000" w14:sx="100000" w14:sy="100000" w14:kx="0" w14:ky="0" w14:algn="tl">
                                  <w14:srgbClr w14:val="000000">
                                    <w14:alpha w14:val="60000"/>
                                  </w14:srgbClr>
                                </w14:shadow>
                              </w:rPr>
                              <w:t>differ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mkt.neutral</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xml:space="preserve"> + inv.norm.st(liv.fiducia)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sym w:font="Symbol" w:char="F0B4"/>
                            </w:r>
                            <w:bookmarkStart w:id="50" w:name="OLE_LINK22"/>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Theme="minorHAnsi" w:hAnsiTheme="minorHAnsi" w:cstheme="minorBidi"/>
                                <w:kern w:val="24"/>
                                <w:position w:val="-6"/>
                                <w:szCs w:val="40"/>
                                <w:vertAlign w:val="subscript"/>
                                <w14:shadow w14:blurRad="50800" w14:dist="38100" w14:dir="2700000" w14:sx="100000" w14:sy="100000" w14:kx="0" w14:ky="0" w14:algn="tl">
                                  <w14:srgbClr w14:val="000000">
                                    <w14:alpha w14:val="60000"/>
                                  </w14:srgbClr>
                                </w14:shadow>
                              </w:rPr>
                              <w:t>differ</w:t>
                            </w:r>
                            <w:r w:rsidRPr="006B7620">
                              <w:rPr>
                                <w:rFonts w:asciiTheme="minorHAnsi" w:hAnsiTheme="minorHAnsi" w:cstheme="minorBidi"/>
                                <w:i/>
                                <w:iCs/>
                                <w:kern w:val="24"/>
                                <w:position w:val="-10"/>
                                <w:szCs w:val="40"/>
                                <w:vertAlign w:val="subscript"/>
                                <w14:shadow w14:blurRad="50800" w14:dist="38100" w14:dir="2700000" w14:sx="100000" w14:sy="100000" w14:kx="0" w14:ky="0" w14:algn="tl">
                                  <w14:srgbClr w14:val="000000">
                                    <w14:alpha w14:val="60000"/>
                                  </w14:srgbClr>
                                </w14:shadow>
                              </w:rPr>
                              <w:t>Rend. Atteso asset</w:t>
                            </w:r>
                            <w:bookmarkEnd w:id="50"/>
                          </w:p>
                        </w:txbxContent>
                      </wps:txbx>
                      <wps:bodyPr>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2.9pt;margin-top:5.5pt;width:479.8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" fillcolor="white [3212]" stroked="f">
                <v:textbox style="mso-fit-shape-to-text:t">
                  <w:txbxContent>
                    <w:p w:rsidR="00C5468C" w:rsidRPr="00964256" w:rsidRDefault="00C5468C" w:rsidP="009839FB">
                      <w:pPr>
                        <w:pStyle w:val="NormaleWeb"/>
                        <w:kinsoku w:val="0"/>
                        <w:overflowPunct w:val="0"/>
                        <w:spacing w:before="240" w:beforeAutospacing="0" w:after="0" w:afterAutospacing="0"/>
                        <w:jc w:val="center"/>
                        <w:textAlignment w:val="baseline"/>
                        <w:rPr>
                          <w:rFonts w:asciiTheme="minorHAnsi" w:hAnsiTheme="minorHAnsi"/>
                          <w:sz w:val="16"/>
                        </w:rPr>
                      </w:pP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E(R)</w:t>
                      </w:r>
                      <w:r w:rsidRPr="006B7620">
                        <w:rPr>
                          <w:rFonts w:asciiTheme="minorHAnsi" w:hAnsiTheme="minorHAnsi" w:cstheme="minorBidi"/>
                          <w:kern w:val="24"/>
                          <w:position w:val="-6"/>
                          <w:szCs w:val="40"/>
                          <w:vertAlign w:val="subscript"/>
                          <w14:shadow w14:blurRad="50800" w14:dist="38100" w14:dir="2700000" w14:sx="100000" w14:sy="100000" w14:kx="0" w14:ky="0" w14:algn="tl">
                            <w14:srgbClr w14:val="000000">
                              <w14:alpha w14:val="60000"/>
                            </w14:srgbClr>
                          </w14:shadow>
                        </w:rPr>
                        <w:t>differ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analista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E(R)</w:t>
                      </w:r>
                      <w:r w:rsidRPr="006B7620">
                        <w:rPr>
                          <w:rFonts w:asciiTheme="minorHAnsi" w:hAnsiTheme="minorHAnsi" w:cstheme="minorBidi"/>
                          <w:kern w:val="24"/>
                          <w:position w:val="-6"/>
                          <w:szCs w:val="40"/>
                          <w:vertAlign w:val="subscript"/>
                          <w14:shadow w14:blurRad="50800" w14:dist="38100" w14:dir="2700000" w14:sx="100000" w14:sy="100000" w14:kx="0" w14:ky="0" w14:algn="tl">
                            <w14:srgbClr w14:val="000000">
                              <w14:alpha w14:val="60000"/>
                            </w14:srgbClr>
                          </w14:shadow>
                        </w:rPr>
                        <w:t>differ</w:t>
                      </w:r>
                      <w:r w:rsidRPr="006B7620">
                        <w:rPr>
                          <w:rFonts w:asciiTheme="minorHAnsi" w:hAnsiTheme="minorHAnsi" w:cstheme="minorBidi"/>
                          <w:kern w:val="24"/>
                          <w:position w:val="-10"/>
                          <w:szCs w:val="40"/>
                          <w:vertAlign w:val="subscript"/>
                          <w14:shadow w14:blurRad="50800" w14:dist="38100" w14:dir="2700000" w14:sx="100000" w14:sy="100000" w14:kx="0" w14:ky="0" w14:algn="tl">
                            <w14:srgbClr w14:val="000000">
                              <w14:alpha w14:val="60000"/>
                            </w14:srgbClr>
                          </w14:shadow>
                        </w:rPr>
                        <w:t>mkt.neutral</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t xml:space="preserve"> + inv.norm.st(liv.fiducia)</w:t>
                      </w:r>
                      <w:r w:rsidRPr="006B7620">
                        <w:rPr>
                          <w:rFonts w:asciiTheme="minorHAnsi" w:hAnsiTheme="minorHAnsi" w:cstheme="minorBidi"/>
                          <w:kern w:val="24"/>
                          <w:szCs w:val="40"/>
                          <w14:shadow w14:blurRad="50800" w14:dist="38100" w14:dir="2700000" w14:sx="100000" w14:sy="100000" w14:kx="0" w14:ky="0" w14:algn="tl">
                            <w14:srgbClr w14:val="000000">
                              <w14:alpha w14:val="60000"/>
                            </w14:srgbClr>
                          </w14:shadow>
                        </w:rPr>
                        <w:sym w:font="Symbol" w:char="F0B4"/>
                      </w:r>
                      <w:bookmarkStart w:id="51" w:name="OLE_LINK22"/>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Theme="minorHAnsi" w:hAnsiTheme="minorHAnsi" w:cstheme="minorBidi"/>
                          <w:kern w:val="24"/>
                          <w:position w:val="-6"/>
                          <w:szCs w:val="40"/>
                          <w:vertAlign w:val="subscript"/>
                          <w14:shadow w14:blurRad="50800" w14:dist="38100" w14:dir="2700000" w14:sx="100000" w14:sy="100000" w14:kx="0" w14:ky="0" w14:algn="tl">
                            <w14:srgbClr w14:val="000000">
                              <w14:alpha w14:val="60000"/>
                            </w14:srgbClr>
                          </w14:shadow>
                        </w:rPr>
                        <w:t>differ</w:t>
                      </w:r>
                      <w:r w:rsidRPr="006B7620">
                        <w:rPr>
                          <w:rFonts w:asciiTheme="minorHAnsi" w:hAnsiTheme="minorHAnsi" w:cstheme="minorBidi"/>
                          <w:i/>
                          <w:iCs/>
                          <w:kern w:val="24"/>
                          <w:position w:val="-10"/>
                          <w:szCs w:val="40"/>
                          <w:vertAlign w:val="subscript"/>
                          <w14:shadow w14:blurRad="50800" w14:dist="38100" w14:dir="2700000" w14:sx="100000" w14:sy="100000" w14:kx="0" w14:ky="0" w14:algn="tl">
                            <w14:srgbClr w14:val="000000">
                              <w14:alpha w14:val="60000"/>
                            </w14:srgbClr>
                          </w14:shadow>
                        </w:rPr>
                        <w:t>Rend. Atteso asset</w:t>
                      </w:r>
                      <w:bookmarkEnd w:id="51"/>
                    </w:p>
                  </w:txbxContent>
                </v:textbox>
              </v:shape>
            </w:pict>
          </mc:Fallback>
        </mc:AlternateContent>
      </w:r>
    </w:p>
    <w:p w:rsidR="006B7620" w:rsidRDefault="006B7620" w:rsidP="006B7620">
      <w:pPr>
        <w:spacing w:line="360" w:lineRule="auto"/>
        <w:jc w:val="center"/>
        <w:rPr>
          <w:rFonts w:asciiTheme="minorHAnsi" w:hAnsiTheme="minorHAnsi" w:cstheme="minorHAnsi"/>
          <w:sz w:val="24"/>
          <w:szCs w:val="24"/>
        </w:rPr>
      </w:pPr>
    </w:p>
    <w:p w:rsidR="006B7620" w:rsidRDefault="006B7620" w:rsidP="009839FB">
      <w:pPr>
        <w:spacing w:line="360" w:lineRule="auto"/>
        <w:jc w:val="both"/>
        <w:rPr>
          <w:rFonts w:asciiTheme="minorHAnsi" w:hAnsiTheme="minorHAnsi" w:cstheme="minorHAnsi"/>
          <w:sz w:val="24"/>
          <w:szCs w:val="24"/>
        </w:rPr>
      </w:pPr>
    </w:p>
    <w:p w:rsidR="00432C1F" w:rsidRDefault="00964256" w:rsidP="009839FB">
      <w:pPr>
        <w:spacing w:line="360" w:lineRule="auto"/>
        <w:jc w:val="both"/>
        <w:rPr>
          <w:rFonts w:asciiTheme="minorHAnsi" w:hAnsiTheme="minorHAnsi" w:cstheme="minorHAnsi"/>
          <w:sz w:val="24"/>
          <w:szCs w:val="24"/>
        </w:rPr>
      </w:pPr>
      <w:r>
        <w:rPr>
          <w:rFonts w:asciiTheme="minorHAnsi" w:hAnsiTheme="minorHAnsi" w:cstheme="minorHAnsi"/>
          <w:sz w:val="24"/>
          <w:szCs w:val="24"/>
        </w:rPr>
        <w:t>Dove:</w:t>
      </w:r>
    </w:p>
    <w:p w:rsidR="00964256" w:rsidRDefault="00964256" w:rsidP="00964256">
      <w:pPr>
        <w:spacing w:line="360" w:lineRule="auto"/>
        <w:jc w:val="both"/>
        <w:rPr>
          <w:rFonts w:asciiTheme="minorHAnsi" w:hAnsiTheme="minorHAnsi" w:cstheme="minorHAnsi"/>
          <w:sz w:val="24"/>
          <w:szCs w:val="24"/>
        </w:rPr>
      </w:pPr>
      <w:r>
        <w:rPr>
          <w:rFonts w:asciiTheme="minorHAnsi" w:hAnsiTheme="minorHAnsi" w:cstheme="minorHAnsi"/>
          <w:sz w:val="24"/>
          <w:szCs w:val="24"/>
        </w:rPr>
        <w:t>E(R)</w:t>
      </w:r>
      <w:r w:rsidRPr="00964256">
        <w:rPr>
          <w:rFonts w:asciiTheme="minorHAnsi" w:hAnsiTheme="minorHAnsi" w:cstheme="minorHAnsi"/>
          <w:sz w:val="24"/>
          <w:szCs w:val="24"/>
          <w:vertAlign w:val="subscript"/>
        </w:rPr>
        <w:t>differ</w:t>
      </w:r>
      <w:r w:rsidRPr="0016712C">
        <w:rPr>
          <w:rFonts w:asciiTheme="minorHAnsi" w:hAnsiTheme="minorHAnsi" w:cstheme="minorHAnsi"/>
          <w:sz w:val="24"/>
          <w:szCs w:val="24"/>
          <w:vertAlign w:val="subscript"/>
        </w:rPr>
        <w:t>mkt.neutral</w:t>
      </w:r>
      <w:r>
        <w:rPr>
          <w:rFonts w:asciiTheme="minorHAnsi" w:hAnsiTheme="minorHAnsi" w:cstheme="minorHAnsi"/>
          <w:sz w:val="24"/>
          <w:szCs w:val="24"/>
        </w:rPr>
        <w:t xml:space="preserve"> identifica la differenza dei rendimenti attesi market neutral delle due asset class coinvolte nella view;</w:t>
      </w:r>
    </w:p>
    <w:p w:rsidR="00964256" w:rsidRDefault="00964256" w:rsidP="00964256">
      <w:pPr>
        <w:spacing w:line="360" w:lineRule="auto"/>
        <w:jc w:val="both"/>
        <w:rPr>
          <w:rFonts w:asciiTheme="minorHAnsi" w:hAnsiTheme="minorHAnsi" w:cstheme="minorHAnsi"/>
          <w:sz w:val="24"/>
          <w:szCs w:val="24"/>
        </w:rPr>
      </w:pPr>
      <w:r>
        <w:rPr>
          <w:rFonts w:asciiTheme="minorHAnsi" w:hAnsiTheme="minorHAnsi" w:cstheme="minorHAnsi"/>
          <w:sz w:val="24"/>
          <w:szCs w:val="24"/>
        </w:rPr>
        <w:t>inv.norm.st(liv.fiducia) identifica l’inversa della normale standardizzata corrispondente al livello di fiducia della view;</w:t>
      </w:r>
    </w:p>
    <w:p w:rsidR="00964256" w:rsidRPr="0016712C" w:rsidRDefault="00964256" w:rsidP="00964256">
      <w:pPr>
        <w:spacing w:line="360" w:lineRule="auto"/>
        <w:jc w:val="both"/>
        <w:rPr>
          <w:rFonts w:asciiTheme="minorHAnsi" w:hAnsiTheme="minorHAnsi" w:cstheme="minorHAnsi"/>
          <w:sz w:val="24"/>
          <w:szCs w:val="24"/>
        </w:rPr>
      </w:pPr>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Symbol" w:hAnsi="Symbol" w:cstheme="minorBidi"/>
          <w:i/>
          <w:iCs/>
          <w:kern w:val="24"/>
          <w:szCs w:val="40"/>
          <w14:shadow w14:blurRad="50800" w14:dist="38100" w14:dir="2700000" w14:sx="100000" w14:sy="100000" w14:kx="0" w14:ky="0" w14:algn="tl">
            <w14:srgbClr w14:val="000000">
              <w14:alpha w14:val="60000"/>
            </w14:srgbClr>
          </w14:shadow>
        </w:rPr>
        <w:t></w:t>
      </w:r>
      <w:r w:rsidRPr="006B7620">
        <w:rPr>
          <w:rFonts w:asciiTheme="minorHAnsi" w:hAnsiTheme="minorHAnsi" w:cstheme="minorBidi"/>
          <w:kern w:val="24"/>
          <w:position w:val="-6"/>
          <w:szCs w:val="40"/>
          <w:vertAlign w:val="subscript"/>
          <w14:shadow w14:blurRad="50800" w14:dist="38100" w14:dir="2700000" w14:sx="100000" w14:sy="100000" w14:kx="0" w14:ky="0" w14:algn="tl">
            <w14:srgbClr w14:val="000000">
              <w14:alpha w14:val="60000"/>
            </w14:srgbClr>
          </w14:shadow>
        </w:rPr>
        <w:t>differ</w:t>
      </w:r>
      <w:r w:rsidRPr="006B7620">
        <w:rPr>
          <w:rFonts w:asciiTheme="minorHAnsi" w:hAnsiTheme="minorHAnsi" w:cstheme="minorBidi"/>
          <w:i/>
          <w:iCs/>
          <w:kern w:val="24"/>
          <w:position w:val="-10"/>
          <w:szCs w:val="40"/>
          <w:vertAlign w:val="subscript"/>
          <w14:shadow w14:blurRad="50800" w14:dist="38100" w14:dir="2700000" w14:sx="100000" w14:sy="100000" w14:kx="0" w14:ky="0" w14:algn="tl">
            <w14:srgbClr w14:val="000000">
              <w14:alpha w14:val="60000"/>
            </w14:srgbClr>
          </w14:shadow>
        </w:rPr>
        <w:t>Rend. Atteso asset</w:t>
      </w:r>
      <w:r>
        <w:rPr>
          <w:rFonts w:asciiTheme="minorHAnsi" w:hAnsiTheme="minorHAnsi" w:cstheme="minorHAnsi"/>
          <w:sz w:val="24"/>
          <w:szCs w:val="24"/>
        </w:rPr>
        <w:t xml:space="preserve"> identifica la deviazione standard dei rendimenti attesi del portafoglio differenziale composto dalle due asset class coinvolte nella view (tale valore viene calcolato partendo dalla deviazione standard dei rendimenti del portafoglio differenziale calcolata con il processo descritto nel paragrafo 1.3; la deviazione standard dei rendimenti viene poi trasformata in deviazione standard dei rendimenti attesi mediante l’uso dello scalare </w:t>
      </w:r>
      <w:r w:rsidRPr="002F0386">
        <w:rPr>
          <w:rFonts w:ascii="Symbol" w:hAnsi="Symbol" w:cstheme="minorHAnsi"/>
          <w:sz w:val="24"/>
          <w:szCs w:val="24"/>
        </w:rPr>
        <w:t></w:t>
      </w:r>
      <w:r>
        <w:rPr>
          <w:rFonts w:asciiTheme="minorHAnsi" w:hAnsiTheme="minorHAnsi" w:cstheme="minorHAnsi"/>
          <w:sz w:val="24"/>
          <w:szCs w:val="24"/>
        </w:rPr>
        <w:t xml:space="preserve"> che sarà oggetto di descrizione nel paragrafo 1.9).</w:t>
      </w:r>
    </w:p>
    <w:p w:rsidR="006B7620" w:rsidRDefault="006B7620" w:rsidP="009839FB">
      <w:pPr>
        <w:spacing w:line="360" w:lineRule="auto"/>
        <w:jc w:val="both"/>
        <w:rPr>
          <w:rFonts w:asciiTheme="minorHAnsi" w:hAnsiTheme="minorHAnsi" w:cstheme="minorHAnsi"/>
          <w:sz w:val="24"/>
          <w:szCs w:val="24"/>
        </w:rPr>
      </w:pPr>
    </w:p>
    <w:p w:rsidR="009839FB" w:rsidRDefault="009839FB" w:rsidP="009839FB">
      <w:pPr>
        <w:spacing w:line="360" w:lineRule="auto"/>
        <w:jc w:val="both"/>
        <w:rPr>
          <w:rFonts w:asciiTheme="minorHAnsi" w:hAnsiTheme="minorHAnsi" w:cstheme="minorHAnsi"/>
          <w:sz w:val="24"/>
          <w:szCs w:val="24"/>
        </w:rPr>
      </w:pPr>
      <w:r>
        <w:rPr>
          <w:rFonts w:asciiTheme="minorHAnsi" w:hAnsiTheme="minorHAnsi" w:cstheme="minorHAnsi"/>
          <w:sz w:val="24"/>
          <w:szCs w:val="24"/>
        </w:rPr>
        <w:t>Coerentemente con questa logica di definizione delle view, nell’ipotesi in cui l’analista si attenda che un</w:t>
      </w:r>
      <w:r w:rsidR="00B66079">
        <w:rPr>
          <w:rFonts w:asciiTheme="minorHAnsi" w:hAnsiTheme="minorHAnsi" w:cstheme="minorHAnsi"/>
          <w:sz w:val="24"/>
          <w:szCs w:val="24"/>
        </w:rPr>
        <w:t>’</w:t>
      </w:r>
      <w:r>
        <w:rPr>
          <w:rFonts w:asciiTheme="minorHAnsi" w:hAnsiTheme="minorHAnsi" w:cstheme="minorHAnsi"/>
          <w:sz w:val="24"/>
          <w:szCs w:val="24"/>
        </w:rPr>
        <w:t xml:space="preserve">asset class sovraperformi un’altra asset class di un </w:t>
      </w:r>
      <w:r w:rsidR="008C3A6C">
        <w:rPr>
          <w:rFonts w:asciiTheme="minorHAnsi" w:hAnsiTheme="minorHAnsi" w:cstheme="minorHAnsi"/>
          <w:sz w:val="24"/>
          <w:szCs w:val="24"/>
        </w:rPr>
        <w:t>importo</w:t>
      </w:r>
      <w:r>
        <w:rPr>
          <w:rFonts w:asciiTheme="minorHAnsi" w:hAnsiTheme="minorHAnsi" w:cstheme="minorHAnsi"/>
          <w:sz w:val="24"/>
          <w:szCs w:val="24"/>
        </w:rPr>
        <w:t xml:space="preserve"> superiore rispetto al differenziale di rendimento</w:t>
      </w:r>
      <w:r w:rsidR="00432C1F">
        <w:rPr>
          <w:rFonts w:asciiTheme="minorHAnsi" w:hAnsiTheme="minorHAnsi" w:cstheme="minorHAnsi"/>
          <w:sz w:val="24"/>
          <w:szCs w:val="24"/>
        </w:rPr>
        <w:t xml:space="preserve"> identificato</w:t>
      </w:r>
      <w:r w:rsidR="00800406">
        <w:rPr>
          <w:rFonts w:asciiTheme="minorHAnsi" w:hAnsiTheme="minorHAnsi" w:cstheme="minorHAnsi"/>
          <w:sz w:val="24"/>
          <w:szCs w:val="24"/>
        </w:rPr>
        <w:t xml:space="preserve"> </w:t>
      </w:r>
      <w:r w:rsidR="00432C1F">
        <w:rPr>
          <w:rFonts w:asciiTheme="minorHAnsi" w:hAnsiTheme="minorHAnsi" w:cstheme="minorHAnsi"/>
          <w:sz w:val="24"/>
          <w:szCs w:val="24"/>
        </w:rPr>
        <w:t>dai rendimenti attesi di equilibrio</w:t>
      </w:r>
      <w:r>
        <w:rPr>
          <w:rFonts w:asciiTheme="minorHAnsi" w:hAnsiTheme="minorHAnsi" w:cstheme="minorHAnsi"/>
          <w:sz w:val="24"/>
          <w:szCs w:val="24"/>
        </w:rPr>
        <w:t xml:space="preserve">, egli dovrà esprimere una view </w:t>
      </w:r>
      <w:r w:rsidR="00432C1F">
        <w:rPr>
          <w:rFonts w:asciiTheme="minorHAnsi" w:hAnsiTheme="minorHAnsi" w:cstheme="minorHAnsi"/>
          <w:sz w:val="24"/>
          <w:szCs w:val="24"/>
        </w:rPr>
        <w:t xml:space="preserve">del tipo </w:t>
      </w:r>
      <w:r w:rsidR="008C3A6C">
        <w:rPr>
          <w:rFonts w:asciiTheme="minorHAnsi" w:hAnsiTheme="minorHAnsi" w:cstheme="minorHAnsi"/>
          <w:sz w:val="24"/>
          <w:szCs w:val="24"/>
        </w:rPr>
        <w:t>“b</w:t>
      </w:r>
      <w:r w:rsidR="00432C1F">
        <w:rPr>
          <w:rFonts w:asciiTheme="minorHAnsi" w:hAnsiTheme="minorHAnsi" w:cstheme="minorHAnsi"/>
          <w:sz w:val="24"/>
          <w:szCs w:val="24"/>
        </w:rPr>
        <w:t>atte di poco</w:t>
      </w:r>
      <w:r w:rsidR="008C3A6C">
        <w:rPr>
          <w:rFonts w:asciiTheme="minorHAnsi" w:hAnsiTheme="minorHAnsi" w:cstheme="minorHAnsi"/>
          <w:sz w:val="24"/>
          <w:szCs w:val="24"/>
        </w:rPr>
        <w:t>”</w:t>
      </w:r>
      <w:r>
        <w:rPr>
          <w:rFonts w:asciiTheme="minorHAnsi" w:hAnsiTheme="minorHAnsi" w:cstheme="minorHAnsi"/>
          <w:sz w:val="24"/>
          <w:szCs w:val="24"/>
        </w:rPr>
        <w:t xml:space="preserve"> o </w:t>
      </w:r>
      <w:r w:rsidR="008C3A6C">
        <w:rPr>
          <w:rFonts w:asciiTheme="minorHAnsi" w:hAnsiTheme="minorHAnsi" w:cstheme="minorHAnsi"/>
          <w:sz w:val="24"/>
          <w:szCs w:val="24"/>
        </w:rPr>
        <w:t>“b</w:t>
      </w:r>
      <w:r w:rsidR="00432C1F">
        <w:rPr>
          <w:rFonts w:asciiTheme="minorHAnsi" w:hAnsiTheme="minorHAnsi" w:cstheme="minorHAnsi"/>
          <w:sz w:val="24"/>
          <w:szCs w:val="24"/>
        </w:rPr>
        <w:t>atte di molto</w:t>
      </w:r>
      <w:r w:rsidR="008C3A6C">
        <w:rPr>
          <w:rFonts w:asciiTheme="minorHAnsi" w:hAnsiTheme="minorHAnsi" w:cstheme="minorHAnsi"/>
          <w:sz w:val="24"/>
          <w:szCs w:val="24"/>
        </w:rPr>
        <w:t>”</w:t>
      </w:r>
      <w:r>
        <w:rPr>
          <w:rFonts w:asciiTheme="minorHAnsi" w:hAnsiTheme="minorHAnsi" w:cstheme="minorHAnsi"/>
          <w:sz w:val="24"/>
          <w:szCs w:val="24"/>
        </w:rPr>
        <w:t>.</w:t>
      </w:r>
    </w:p>
    <w:p w:rsidR="001F494F" w:rsidRPr="000376E5" w:rsidRDefault="00432C1F"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In conclusione,</w:t>
      </w:r>
      <w:r w:rsidR="008C3A6C">
        <w:rPr>
          <w:rFonts w:asciiTheme="minorHAnsi" w:hAnsiTheme="minorHAnsi" w:cstheme="minorHAnsi"/>
          <w:sz w:val="24"/>
          <w:szCs w:val="24"/>
        </w:rPr>
        <w:t xml:space="preserve"> il </w:t>
      </w:r>
      <w:r w:rsidRPr="000376E5">
        <w:rPr>
          <w:rFonts w:asciiTheme="minorHAnsi" w:hAnsiTheme="minorHAnsi" w:cstheme="minorHAnsi"/>
          <w:sz w:val="24"/>
          <w:szCs w:val="24"/>
        </w:rPr>
        <w:t xml:space="preserve">rendimento </w:t>
      </w:r>
      <w:r>
        <w:rPr>
          <w:rFonts w:asciiTheme="minorHAnsi" w:hAnsiTheme="minorHAnsi" w:cstheme="minorHAnsi"/>
          <w:sz w:val="24"/>
          <w:szCs w:val="24"/>
        </w:rPr>
        <w:t>espresso nella</w:t>
      </w:r>
      <w:r w:rsidRPr="000376E5">
        <w:rPr>
          <w:rFonts w:asciiTheme="minorHAnsi" w:hAnsiTheme="minorHAnsi" w:cstheme="minorHAnsi"/>
          <w:sz w:val="24"/>
          <w:szCs w:val="24"/>
        </w:rPr>
        <w:t xml:space="preserve"> view è dato dal</w:t>
      </w:r>
      <w:r w:rsidR="00800406">
        <w:rPr>
          <w:rFonts w:asciiTheme="minorHAnsi" w:hAnsiTheme="minorHAnsi" w:cstheme="minorHAnsi"/>
          <w:sz w:val="24"/>
          <w:szCs w:val="24"/>
        </w:rPr>
        <w:t xml:space="preserve"> </w:t>
      </w:r>
      <w:r w:rsidRPr="000376E5">
        <w:rPr>
          <w:rFonts w:asciiTheme="minorHAnsi" w:hAnsiTheme="minorHAnsi" w:cstheme="minorHAnsi"/>
          <w:sz w:val="24"/>
          <w:szCs w:val="24"/>
        </w:rPr>
        <w:t>rendimento di equilibrio a cui è sommato/sottratto, a seconda dell’aspettativa di sovra/sottoperformance rispetto al</w:t>
      </w:r>
      <w:r w:rsidR="00800406">
        <w:rPr>
          <w:rFonts w:asciiTheme="minorHAnsi" w:hAnsiTheme="minorHAnsi" w:cstheme="minorHAnsi"/>
          <w:sz w:val="24"/>
          <w:szCs w:val="24"/>
        </w:rPr>
        <w:t xml:space="preserve"> </w:t>
      </w:r>
      <w:r w:rsidRPr="000376E5">
        <w:rPr>
          <w:rFonts w:asciiTheme="minorHAnsi" w:hAnsiTheme="minorHAnsi" w:cstheme="minorHAnsi"/>
          <w:sz w:val="24"/>
          <w:szCs w:val="24"/>
        </w:rPr>
        <w:t>rendimento di equilibrio, la porzione di volatilità</w:t>
      </w:r>
      <w:r>
        <w:rPr>
          <w:rFonts w:asciiTheme="minorHAnsi" w:hAnsiTheme="minorHAnsi" w:cstheme="minorHAnsi"/>
          <w:sz w:val="24"/>
          <w:szCs w:val="24"/>
        </w:rPr>
        <w:t xml:space="preserve"> dei rendimenti attesi</w:t>
      </w:r>
      <w:r w:rsidRPr="000376E5">
        <w:rPr>
          <w:rFonts w:asciiTheme="minorHAnsi" w:hAnsiTheme="minorHAnsi" w:cstheme="minorHAnsi"/>
          <w:sz w:val="24"/>
          <w:szCs w:val="24"/>
        </w:rPr>
        <w:t xml:space="preserve"> dell’asset class</w:t>
      </w:r>
      <w:r>
        <w:rPr>
          <w:rFonts w:asciiTheme="minorHAnsi" w:hAnsiTheme="minorHAnsi" w:cstheme="minorHAnsi"/>
          <w:sz w:val="24"/>
          <w:szCs w:val="24"/>
        </w:rPr>
        <w:t xml:space="preserve"> (o del differenziale di asset class, nel caso di view relative)</w:t>
      </w:r>
      <w:r w:rsidRPr="000376E5">
        <w:rPr>
          <w:rFonts w:asciiTheme="minorHAnsi" w:hAnsiTheme="minorHAnsi" w:cstheme="minorHAnsi"/>
          <w:sz w:val="24"/>
          <w:szCs w:val="24"/>
        </w:rPr>
        <w:t>; tale volatilità viene ponderata a seconda del livello di confidenza associato alla view. In questo modo, a parità di view, ad asset più volatili vengono associati valori più distanti dal</w:t>
      </w:r>
      <w:r>
        <w:rPr>
          <w:rFonts w:asciiTheme="minorHAnsi" w:hAnsiTheme="minorHAnsi" w:cstheme="minorHAnsi"/>
          <w:sz w:val="24"/>
          <w:szCs w:val="24"/>
        </w:rPr>
        <w:t xml:space="preserve"> rendimento di equilibrio che funge da rendimento medio</w:t>
      </w:r>
      <w:r w:rsidRPr="000376E5">
        <w:rPr>
          <w:rFonts w:asciiTheme="minorHAnsi" w:hAnsiTheme="minorHAnsi" w:cstheme="minorHAnsi"/>
          <w:sz w:val="24"/>
          <w:szCs w:val="24"/>
        </w:rPr>
        <w:t>.</w:t>
      </w:r>
    </w:p>
    <w:p w:rsidR="001F494F" w:rsidRDefault="001F494F" w:rsidP="003710BD">
      <w:pPr>
        <w:spacing w:line="360" w:lineRule="auto"/>
        <w:jc w:val="both"/>
        <w:rPr>
          <w:rFonts w:asciiTheme="minorHAnsi" w:hAnsiTheme="minorHAnsi" w:cstheme="minorHAnsi"/>
          <w:sz w:val="24"/>
          <w:szCs w:val="24"/>
        </w:rPr>
      </w:pPr>
    </w:p>
    <w:p w:rsidR="001F494F" w:rsidRPr="000376E5" w:rsidRDefault="0065064B" w:rsidP="003710BD">
      <w:pPr>
        <w:pStyle w:val="Titolo2"/>
        <w:spacing w:line="360" w:lineRule="auto"/>
        <w:jc w:val="both"/>
        <w:rPr>
          <w:rFonts w:asciiTheme="minorHAnsi" w:hAnsiTheme="minorHAnsi" w:cstheme="minorHAnsi"/>
        </w:rPr>
      </w:pPr>
      <w:bookmarkStart w:id="52" w:name="_Toc373916069"/>
      <w:bookmarkStart w:id="53" w:name="_Toc425154131"/>
      <w:r w:rsidRPr="000376E5">
        <w:rPr>
          <w:rFonts w:asciiTheme="minorHAnsi" w:hAnsiTheme="minorHAnsi" w:cstheme="minorHAnsi"/>
        </w:rPr>
        <w:t>LA CONFIDENZA DELLE VIEW</w:t>
      </w:r>
      <w:bookmarkEnd w:id="52"/>
      <w:bookmarkEnd w:id="53"/>
    </w:p>
    <w:p w:rsidR="00AC2570" w:rsidRPr="0012264C" w:rsidRDefault="006B4C24" w:rsidP="003710BD">
      <w:pPr>
        <w:tabs>
          <w:tab w:val="left" w:pos="360"/>
        </w:tabs>
        <w:spacing w:before="120" w:line="360" w:lineRule="auto"/>
        <w:jc w:val="both"/>
        <w:rPr>
          <w:rFonts w:asciiTheme="minorHAnsi" w:hAnsiTheme="minorHAnsi" w:cstheme="minorHAnsi"/>
          <w:sz w:val="24"/>
          <w:szCs w:val="24"/>
        </w:rPr>
      </w:pPr>
      <w:r>
        <w:rPr>
          <w:rFonts w:asciiTheme="minorHAnsi" w:hAnsiTheme="minorHAnsi" w:cstheme="minorHAnsi"/>
          <w:sz w:val="24"/>
          <w:szCs w:val="24"/>
        </w:rPr>
        <w:t xml:space="preserve">I livelli di </w:t>
      </w:r>
      <w:r w:rsidR="001F494F" w:rsidRPr="0012264C">
        <w:rPr>
          <w:rFonts w:asciiTheme="minorHAnsi" w:hAnsiTheme="minorHAnsi" w:cstheme="minorHAnsi"/>
          <w:sz w:val="24"/>
          <w:szCs w:val="24"/>
        </w:rPr>
        <w:t>confidenza delle view</w:t>
      </w:r>
      <w:r>
        <w:rPr>
          <w:rFonts w:asciiTheme="minorHAnsi" w:hAnsiTheme="minorHAnsi" w:cstheme="minorHAnsi"/>
          <w:sz w:val="24"/>
          <w:szCs w:val="24"/>
        </w:rPr>
        <w:t xml:space="preserve"> vanno a</w:t>
      </w:r>
      <w:r w:rsidR="00964256">
        <w:rPr>
          <w:rFonts w:asciiTheme="minorHAnsi" w:hAnsiTheme="minorHAnsi" w:cstheme="minorHAnsi"/>
          <w:sz w:val="24"/>
          <w:szCs w:val="24"/>
        </w:rPr>
        <w:t xml:space="preserve"> compo</w:t>
      </w:r>
      <w:r>
        <w:rPr>
          <w:rFonts w:asciiTheme="minorHAnsi" w:hAnsiTheme="minorHAnsi" w:cstheme="minorHAnsi"/>
          <w:sz w:val="24"/>
          <w:szCs w:val="24"/>
        </w:rPr>
        <w:t>rre</w:t>
      </w:r>
      <w:r w:rsidR="00964256">
        <w:rPr>
          <w:rFonts w:asciiTheme="minorHAnsi" w:hAnsiTheme="minorHAnsi" w:cstheme="minorHAnsi"/>
          <w:sz w:val="24"/>
          <w:szCs w:val="24"/>
        </w:rPr>
        <w:t xml:space="preserve"> il vettore colonna C. Nello specifico, </w:t>
      </w:r>
      <w:r>
        <w:rPr>
          <w:rFonts w:asciiTheme="minorHAnsi" w:hAnsiTheme="minorHAnsi" w:cstheme="minorHAnsi"/>
          <w:sz w:val="24"/>
          <w:szCs w:val="24"/>
        </w:rPr>
        <w:t xml:space="preserve">i livelli di confidenza delle view sono </w:t>
      </w:r>
      <w:r w:rsidR="00765E8B">
        <w:rPr>
          <w:rFonts w:asciiTheme="minorHAnsi" w:hAnsiTheme="minorHAnsi" w:cstheme="minorHAnsi"/>
          <w:sz w:val="24"/>
          <w:szCs w:val="24"/>
        </w:rPr>
        <w:t xml:space="preserve">i </w:t>
      </w:r>
      <w:r w:rsidR="00964256">
        <w:rPr>
          <w:rFonts w:asciiTheme="minorHAnsi" w:hAnsiTheme="minorHAnsi" w:cstheme="minorHAnsi"/>
          <w:sz w:val="24"/>
          <w:szCs w:val="24"/>
        </w:rPr>
        <w:t>singoli elementi (c</w:t>
      </w:r>
      <w:r w:rsidR="00964256" w:rsidRPr="00964256">
        <w:rPr>
          <w:rFonts w:asciiTheme="minorHAnsi" w:hAnsiTheme="minorHAnsi" w:cstheme="minorHAnsi"/>
          <w:sz w:val="24"/>
          <w:szCs w:val="24"/>
          <w:vertAlign w:val="subscript"/>
        </w:rPr>
        <w:t>1</w:t>
      </w:r>
      <w:r w:rsidR="00964256">
        <w:rPr>
          <w:rFonts w:asciiTheme="minorHAnsi" w:hAnsiTheme="minorHAnsi" w:cstheme="minorHAnsi"/>
          <w:sz w:val="24"/>
          <w:szCs w:val="24"/>
        </w:rPr>
        <w:t>, c</w:t>
      </w:r>
      <w:r w:rsidR="00964256" w:rsidRPr="00964256">
        <w:rPr>
          <w:rFonts w:asciiTheme="minorHAnsi" w:hAnsiTheme="minorHAnsi" w:cstheme="minorHAnsi"/>
          <w:sz w:val="24"/>
          <w:szCs w:val="24"/>
          <w:vertAlign w:val="subscript"/>
        </w:rPr>
        <w:t>2</w:t>
      </w:r>
      <w:r w:rsidR="00964256">
        <w:rPr>
          <w:rFonts w:asciiTheme="minorHAnsi" w:hAnsiTheme="minorHAnsi" w:cstheme="minorHAnsi"/>
          <w:sz w:val="24"/>
          <w:szCs w:val="24"/>
        </w:rPr>
        <w:t>, c</w:t>
      </w:r>
      <w:r w:rsidR="00964256" w:rsidRPr="00964256">
        <w:rPr>
          <w:rFonts w:asciiTheme="minorHAnsi" w:hAnsiTheme="minorHAnsi" w:cstheme="minorHAnsi"/>
          <w:sz w:val="24"/>
          <w:szCs w:val="24"/>
          <w:vertAlign w:val="subscript"/>
        </w:rPr>
        <w:t>3</w:t>
      </w:r>
      <w:r w:rsidR="00964256">
        <w:rPr>
          <w:rFonts w:asciiTheme="minorHAnsi" w:hAnsiTheme="minorHAnsi" w:cstheme="minorHAnsi"/>
          <w:sz w:val="24"/>
          <w:szCs w:val="24"/>
        </w:rPr>
        <w:t>, …, c</w:t>
      </w:r>
      <w:r w:rsidR="00964256" w:rsidRPr="00964256">
        <w:rPr>
          <w:rFonts w:asciiTheme="minorHAnsi" w:hAnsiTheme="minorHAnsi" w:cstheme="minorHAnsi"/>
          <w:sz w:val="24"/>
          <w:szCs w:val="24"/>
          <w:vertAlign w:val="subscript"/>
        </w:rPr>
        <w:t>k</w:t>
      </w:r>
      <w:r w:rsidR="00964256">
        <w:rPr>
          <w:rFonts w:asciiTheme="minorHAnsi" w:hAnsiTheme="minorHAnsi" w:cstheme="minorHAnsi"/>
          <w:sz w:val="24"/>
          <w:szCs w:val="24"/>
        </w:rPr>
        <w:t>) del vettore C</w:t>
      </w:r>
      <w:r>
        <w:rPr>
          <w:rFonts w:asciiTheme="minorHAnsi" w:hAnsiTheme="minorHAnsi" w:cstheme="minorHAnsi"/>
          <w:sz w:val="24"/>
          <w:szCs w:val="24"/>
        </w:rPr>
        <w:t>. Per la definizione dei livelli di confidenza</w:t>
      </w:r>
      <w:r w:rsidR="00800406">
        <w:rPr>
          <w:rFonts w:asciiTheme="minorHAnsi" w:hAnsiTheme="minorHAnsi" w:cstheme="minorHAnsi"/>
          <w:sz w:val="24"/>
          <w:szCs w:val="24"/>
        </w:rPr>
        <w:t xml:space="preserve"> </w:t>
      </w:r>
      <w:r>
        <w:rPr>
          <w:rFonts w:asciiTheme="minorHAnsi" w:hAnsiTheme="minorHAnsi" w:cstheme="minorHAnsi"/>
          <w:sz w:val="24"/>
          <w:szCs w:val="24"/>
        </w:rPr>
        <w:t>vengono</w:t>
      </w:r>
      <w:r w:rsidR="001F494F" w:rsidRPr="0012264C">
        <w:rPr>
          <w:rFonts w:asciiTheme="minorHAnsi" w:hAnsiTheme="minorHAnsi" w:cstheme="minorHAnsi"/>
          <w:sz w:val="24"/>
          <w:szCs w:val="24"/>
        </w:rPr>
        <w:t xml:space="preserve"> definiti i seguenti livelli</w:t>
      </w:r>
      <w:r w:rsidR="003B48A7">
        <w:rPr>
          <w:rFonts w:asciiTheme="minorHAnsi" w:hAnsiTheme="minorHAnsi" w:cstheme="minorHAnsi"/>
          <w:sz w:val="24"/>
          <w:szCs w:val="24"/>
        </w:rPr>
        <w:t xml:space="preserve"> (Tabella 4)</w:t>
      </w:r>
      <w:r w:rsidR="001F494F" w:rsidRPr="0012264C">
        <w:rPr>
          <w:rFonts w:asciiTheme="minorHAnsi" w:hAnsiTheme="minorHAnsi" w:cstheme="minorHAnsi"/>
          <w:sz w:val="24"/>
          <w:szCs w:val="24"/>
        </w:rPr>
        <w:t xml:space="preserve">: </w:t>
      </w:r>
    </w:p>
    <w:p w:rsidR="00E30EE2" w:rsidRDefault="00E30EE2" w:rsidP="00E30EE2">
      <w:pPr>
        <w:spacing w:line="360" w:lineRule="auto"/>
        <w:ind w:left="284"/>
        <w:jc w:val="both"/>
        <w:rPr>
          <w:rFonts w:asciiTheme="minorHAnsi" w:hAnsiTheme="minorHAnsi" w:cstheme="minorHAnsi"/>
          <w:b/>
          <w:sz w:val="24"/>
          <w:szCs w:val="24"/>
        </w:rPr>
      </w:pPr>
    </w:p>
    <w:p w:rsidR="006B7620" w:rsidRDefault="006B7620" w:rsidP="00E30EE2">
      <w:pPr>
        <w:spacing w:line="360" w:lineRule="auto"/>
        <w:ind w:left="284"/>
        <w:jc w:val="both"/>
        <w:rPr>
          <w:rFonts w:asciiTheme="minorHAnsi" w:hAnsiTheme="minorHAnsi" w:cstheme="minorHAnsi"/>
          <w:b/>
          <w:sz w:val="24"/>
          <w:szCs w:val="24"/>
        </w:rPr>
      </w:pPr>
    </w:p>
    <w:tbl>
      <w:tblPr>
        <w:tblW w:w="9580" w:type="dxa"/>
        <w:tblInd w:w="57" w:type="dxa"/>
        <w:tblCellMar>
          <w:left w:w="70" w:type="dxa"/>
          <w:right w:w="70" w:type="dxa"/>
        </w:tblCellMar>
        <w:tblLook w:val="04A0" w:firstRow="1" w:lastRow="0" w:firstColumn="1" w:lastColumn="0" w:noHBand="0" w:noVBand="1"/>
      </w:tblPr>
      <w:tblGrid>
        <w:gridCol w:w="1474"/>
        <w:gridCol w:w="1460"/>
        <w:gridCol w:w="1140"/>
        <w:gridCol w:w="5506"/>
      </w:tblGrid>
      <w:tr w:rsidR="00AC2570" w:rsidRPr="0012264C" w:rsidTr="00E30EE2">
        <w:trPr>
          <w:trHeight w:val="315"/>
        </w:trPr>
        <w:tc>
          <w:tcPr>
            <w:tcW w:w="147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AC2570" w:rsidRPr="0012264C" w:rsidRDefault="00AC2570" w:rsidP="00AC2570">
            <w:pPr>
              <w:autoSpaceDE/>
              <w:autoSpaceDN/>
              <w:adjustRightInd/>
              <w:rPr>
                <w:rFonts w:ascii="Calibri" w:hAnsi="Calibri" w:cs="Calibri"/>
                <w:b/>
                <w:color w:val="000000"/>
                <w:sz w:val="24"/>
                <w:szCs w:val="24"/>
                <w:lang w:eastAsia="it-IT"/>
              </w:rPr>
            </w:pPr>
            <w:r w:rsidRPr="0012264C">
              <w:rPr>
                <w:rFonts w:ascii="Calibri" w:hAnsi="Calibri" w:cs="Calibri"/>
                <w:b/>
                <w:color w:val="000000"/>
                <w:sz w:val="24"/>
                <w:szCs w:val="24"/>
                <w:lang w:eastAsia="it-IT"/>
              </w:rPr>
              <w:lastRenderedPageBreak/>
              <w:t>PROBABILITÀ</w:t>
            </w:r>
          </w:p>
        </w:tc>
        <w:tc>
          <w:tcPr>
            <w:tcW w:w="1460" w:type="dxa"/>
            <w:tcBorders>
              <w:top w:val="single" w:sz="8" w:space="0" w:color="auto"/>
              <w:left w:val="nil"/>
              <w:bottom w:val="single" w:sz="8" w:space="0" w:color="auto"/>
              <w:right w:val="single" w:sz="4" w:space="0" w:color="auto"/>
            </w:tcBorders>
            <w:shd w:val="clear" w:color="auto" w:fill="auto"/>
            <w:vAlign w:val="center"/>
            <w:hideMark/>
          </w:tcPr>
          <w:p w:rsidR="00AC2570" w:rsidRPr="0012264C" w:rsidRDefault="00AC2570" w:rsidP="00AC2570">
            <w:pPr>
              <w:autoSpaceDE/>
              <w:autoSpaceDN/>
              <w:adjustRightInd/>
              <w:rPr>
                <w:rFonts w:ascii="Calibri" w:hAnsi="Calibri" w:cs="Calibri"/>
                <w:b/>
                <w:color w:val="000000"/>
                <w:sz w:val="24"/>
                <w:szCs w:val="24"/>
                <w:lang w:eastAsia="it-IT"/>
              </w:rPr>
            </w:pPr>
            <w:r w:rsidRPr="0012264C">
              <w:rPr>
                <w:rFonts w:ascii="Calibri" w:hAnsi="Calibri" w:cs="Calibri"/>
                <w:b/>
                <w:color w:val="000000"/>
                <w:sz w:val="24"/>
                <w:szCs w:val="24"/>
                <w:lang w:eastAsia="it-IT"/>
              </w:rPr>
              <w:t>CONFIDENZA</w:t>
            </w:r>
          </w:p>
        </w:tc>
        <w:tc>
          <w:tcPr>
            <w:tcW w:w="1140" w:type="dxa"/>
            <w:tcBorders>
              <w:top w:val="single" w:sz="8" w:space="0" w:color="auto"/>
              <w:left w:val="nil"/>
              <w:bottom w:val="single" w:sz="8" w:space="0" w:color="auto"/>
              <w:right w:val="single" w:sz="4" w:space="0" w:color="auto"/>
            </w:tcBorders>
            <w:shd w:val="clear" w:color="auto" w:fill="auto"/>
            <w:noWrap/>
            <w:vAlign w:val="center"/>
            <w:hideMark/>
          </w:tcPr>
          <w:p w:rsidR="00AC2570" w:rsidRPr="0012264C" w:rsidRDefault="00AC2570" w:rsidP="00AC2570">
            <w:pPr>
              <w:autoSpaceDE/>
              <w:autoSpaceDN/>
              <w:adjustRightInd/>
              <w:rPr>
                <w:rFonts w:ascii="Calibri" w:hAnsi="Calibri" w:cs="Calibri"/>
                <w:b/>
                <w:color w:val="000000"/>
                <w:sz w:val="24"/>
                <w:szCs w:val="24"/>
                <w:lang w:eastAsia="it-IT"/>
              </w:rPr>
            </w:pPr>
            <w:r w:rsidRPr="0012264C">
              <w:rPr>
                <w:rFonts w:ascii="Calibri" w:hAnsi="Calibri" w:cs="Calibri"/>
                <w:b/>
                <w:color w:val="000000"/>
                <w:sz w:val="24"/>
                <w:szCs w:val="24"/>
                <w:lang w:eastAsia="it-IT"/>
              </w:rPr>
              <w:t>VALORE</w:t>
            </w:r>
          </w:p>
        </w:tc>
        <w:tc>
          <w:tcPr>
            <w:tcW w:w="5506" w:type="dxa"/>
            <w:tcBorders>
              <w:top w:val="single" w:sz="8" w:space="0" w:color="auto"/>
              <w:left w:val="nil"/>
              <w:bottom w:val="single" w:sz="8" w:space="0" w:color="auto"/>
              <w:right w:val="single" w:sz="8" w:space="0" w:color="auto"/>
            </w:tcBorders>
            <w:shd w:val="clear" w:color="auto" w:fill="auto"/>
            <w:vAlign w:val="center"/>
            <w:hideMark/>
          </w:tcPr>
          <w:p w:rsidR="00AC2570" w:rsidRPr="0012264C" w:rsidRDefault="00AC2570" w:rsidP="00AC2570">
            <w:pPr>
              <w:autoSpaceDE/>
              <w:autoSpaceDN/>
              <w:adjustRightInd/>
              <w:rPr>
                <w:rFonts w:ascii="Calibri" w:hAnsi="Calibri" w:cs="Calibri"/>
                <w:b/>
                <w:color w:val="000000"/>
                <w:sz w:val="24"/>
                <w:szCs w:val="24"/>
                <w:lang w:eastAsia="it-IT"/>
              </w:rPr>
            </w:pPr>
            <w:r w:rsidRPr="0012264C">
              <w:rPr>
                <w:rFonts w:ascii="Calibri" w:hAnsi="Calibri" w:cs="Calibri"/>
                <w:b/>
                <w:color w:val="000000"/>
                <w:sz w:val="24"/>
                <w:szCs w:val="24"/>
                <w:lang w:eastAsia="it-IT"/>
              </w:rPr>
              <w:t>DESCRIZIONE</w:t>
            </w:r>
          </w:p>
        </w:tc>
      </w:tr>
      <w:tr w:rsidR="00AC2570" w:rsidRPr="0012264C" w:rsidTr="00E30EE2">
        <w:trPr>
          <w:trHeight w:val="300"/>
        </w:trPr>
        <w:tc>
          <w:tcPr>
            <w:tcW w:w="1474" w:type="dxa"/>
            <w:tcBorders>
              <w:top w:val="nil"/>
              <w:left w:val="single" w:sz="8" w:space="0" w:color="auto"/>
              <w:bottom w:val="single" w:sz="4" w:space="0" w:color="auto"/>
              <w:right w:val="single" w:sz="4" w:space="0" w:color="auto"/>
            </w:tcBorders>
            <w:shd w:val="clear" w:color="auto" w:fill="auto"/>
            <w:noWrap/>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Alta</w:t>
            </w:r>
          </w:p>
        </w:tc>
        <w:tc>
          <w:tcPr>
            <w:tcW w:w="1460" w:type="dxa"/>
            <w:tcBorders>
              <w:top w:val="nil"/>
              <w:left w:val="nil"/>
              <w:bottom w:val="single" w:sz="4" w:space="0" w:color="auto"/>
              <w:right w:val="single" w:sz="4" w:space="0" w:color="auto"/>
            </w:tcBorders>
            <w:shd w:val="clear" w:color="auto" w:fill="auto"/>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Certo</w:t>
            </w:r>
          </w:p>
        </w:tc>
        <w:tc>
          <w:tcPr>
            <w:tcW w:w="1140" w:type="dxa"/>
            <w:tcBorders>
              <w:top w:val="nil"/>
              <w:left w:val="nil"/>
              <w:bottom w:val="single" w:sz="4" w:space="0" w:color="auto"/>
              <w:right w:val="single" w:sz="4" w:space="0" w:color="auto"/>
            </w:tcBorders>
            <w:shd w:val="clear" w:color="auto" w:fill="auto"/>
            <w:noWrap/>
            <w:vAlign w:val="center"/>
            <w:hideMark/>
          </w:tcPr>
          <w:p w:rsidR="00AC2570" w:rsidRPr="0012264C" w:rsidRDefault="00432C1F"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22%</w:t>
            </w:r>
          </w:p>
        </w:tc>
        <w:tc>
          <w:tcPr>
            <w:tcW w:w="5506" w:type="dxa"/>
            <w:tcBorders>
              <w:top w:val="nil"/>
              <w:left w:val="nil"/>
              <w:bottom w:val="single" w:sz="4" w:space="0" w:color="auto"/>
              <w:right w:val="single" w:sz="8" w:space="0" w:color="auto"/>
            </w:tcBorders>
            <w:shd w:val="clear" w:color="auto" w:fill="auto"/>
            <w:vAlign w:val="center"/>
            <w:hideMark/>
          </w:tcPr>
          <w:p w:rsidR="00AC2570" w:rsidRPr="0012264C" w:rsidRDefault="00AC2570" w:rsidP="008C3A6C">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 xml:space="preserve">L'investitore </w:t>
            </w:r>
            <w:r w:rsidR="008C3A6C">
              <w:rPr>
                <w:rFonts w:ascii="Calibri" w:hAnsi="Calibri" w:cs="Calibri"/>
                <w:color w:val="000000"/>
                <w:sz w:val="24"/>
                <w:szCs w:val="24"/>
                <w:lang w:eastAsia="it-IT"/>
              </w:rPr>
              <w:t>ha un’</w:t>
            </w:r>
            <w:r w:rsidR="00654C75" w:rsidRPr="0012264C">
              <w:rPr>
                <w:rFonts w:ascii="Calibri" w:hAnsi="Calibri" w:cs="Calibri"/>
                <w:color w:val="000000"/>
                <w:sz w:val="24"/>
                <w:szCs w:val="24"/>
                <w:lang w:eastAsia="it-IT"/>
              </w:rPr>
              <w:t>alta confidenza</w:t>
            </w:r>
            <w:r w:rsidR="00800406">
              <w:rPr>
                <w:rFonts w:ascii="Calibri" w:hAnsi="Calibri" w:cs="Calibri"/>
                <w:color w:val="000000"/>
                <w:sz w:val="24"/>
                <w:szCs w:val="24"/>
                <w:lang w:eastAsia="it-IT"/>
              </w:rPr>
              <w:t xml:space="preserve"> </w:t>
            </w:r>
            <w:r w:rsidR="00654C75" w:rsidRPr="0012264C">
              <w:rPr>
                <w:rFonts w:ascii="Calibri" w:hAnsi="Calibri" w:cs="Calibri"/>
                <w:color w:val="000000"/>
                <w:sz w:val="24"/>
                <w:szCs w:val="24"/>
                <w:lang w:eastAsia="it-IT"/>
              </w:rPr>
              <w:t xml:space="preserve">circa </w:t>
            </w:r>
            <w:r w:rsidRPr="0012264C">
              <w:rPr>
                <w:rFonts w:ascii="Calibri" w:hAnsi="Calibri" w:cs="Calibri"/>
                <w:color w:val="000000"/>
                <w:sz w:val="24"/>
                <w:szCs w:val="24"/>
                <w:lang w:eastAsia="it-IT"/>
              </w:rPr>
              <w:t>la realizzazione dell'evento</w:t>
            </w:r>
          </w:p>
        </w:tc>
      </w:tr>
      <w:tr w:rsidR="00AC2570" w:rsidRPr="0012264C" w:rsidTr="00E30EE2">
        <w:trPr>
          <w:trHeight w:val="600"/>
        </w:trPr>
        <w:tc>
          <w:tcPr>
            <w:tcW w:w="1474" w:type="dxa"/>
            <w:tcBorders>
              <w:top w:val="nil"/>
              <w:left w:val="single" w:sz="8" w:space="0" w:color="auto"/>
              <w:bottom w:val="single" w:sz="4" w:space="0" w:color="auto"/>
              <w:right w:val="single" w:sz="4" w:space="0" w:color="auto"/>
            </w:tcBorders>
            <w:shd w:val="clear" w:color="auto" w:fill="auto"/>
            <w:noWrap/>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Media</w:t>
            </w:r>
          </w:p>
        </w:tc>
        <w:tc>
          <w:tcPr>
            <w:tcW w:w="1460" w:type="dxa"/>
            <w:tcBorders>
              <w:top w:val="nil"/>
              <w:left w:val="nil"/>
              <w:bottom w:val="single" w:sz="4" w:space="0" w:color="auto"/>
              <w:right w:val="single" w:sz="4" w:space="0" w:color="auto"/>
            </w:tcBorders>
            <w:shd w:val="clear" w:color="auto" w:fill="auto"/>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Decisamente probabile</w:t>
            </w:r>
          </w:p>
        </w:tc>
        <w:tc>
          <w:tcPr>
            <w:tcW w:w="1140" w:type="dxa"/>
            <w:tcBorders>
              <w:top w:val="nil"/>
              <w:left w:val="nil"/>
              <w:bottom w:val="single" w:sz="4" w:space="0" w:color="auto"/>
              <w:right w:val="single" w:sz="4" w:space="0" w:color="auto"/>
            </w:tcBorders>
            <w:shd w:val="clear" w:color="auto" w:fill="auto"/>
            <w:noWrap/>
            <w:vAlign w:val="center"/>
            <w:hideMark/>
          </w:tcPr>
          <w:p w:rsidR="00AC2570" w:rsidRPr="0012264C" w:rsidRDefault="00432C1F"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12%</w:t>
            </w:r>
          </w:p>
        </w:tc>
        <w:tc>
          <w:tcPr>
            <w:tcW w:w="5506" w:type="dxa"/>
            <w:tcBorders>
              <w:top w:val="nil"/>
              <w:left w:val="nil"/>
              <w:bottom w:val="single" w:sz="4" w:space="0" w:color="auto"/>
              <w:right w:val="single" w:sz="8" w:space="0" w:color="auto"/>
            </w:tcBorders>
            <w:shd w:val="clear" w:color="auto" w:fill="auto"/>
            <w:vAlign w:val="center"/>
            <w:hideMark/>
          </w:tcPr>
          <w:p w:rsidR="00AC2570" w:rsidRPr="0012264C" w:rsidRDefault="00AC2570" w:rsidP="008C3A6C">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 xml:space="preserve">Le attese dell'investitore </w:t>
            </w:r>
            <w:r w:rsidR="00654C75" w:rsidRPr="0012264C">
              <w:rPr>
                <w:rFonts w:ascii="Calibri" w:hAnsi="Calibri" w:cs="Calibri"/>
                <w:color w:val="000000"/>
                <w:sz w:val="24"/>
                <w:szCs w:val="24"/>
                <w:lang w:eastAsia="it-IT"/>
              </w:rPr>
              <w:t>circa la realizzazione della aspettativa</w:t>
            </w:r>
            <w:r w:rsidR="00800406">
              <w:rPr>
                <w:rFonts w:ascii="Calibri" w:hAnsi="Calibri" w:cs="Calibri"/>
                <w:color w:val="000000"/>
                <w:sz w:val="24"/>
                <w:szCs w:val="24"/>
                <w:lang w:eastAsia="it-IT"/>
              </w:rPr>
              <w:t xml:space="preserve"> </w:t>
            </w:r>
            <w:r w:rsidR="008C3A6C">
              <w:rPr>
                <w:rFonts w:ascii="Calibri" w:hAnsi="Calibri" w:cs="Calibri"/>
                <w:color w:val="000000"/>
                <w:sz w:val="24"/>
                <w:szCs w:val="24"/>
                <w:lang w:eastAsia="it-IT"/>
              </w:rPr>
              <w:t>sono</w:t>
            </w:r>
            <w:r w:rsidR="00654C75" w:rsidRPr="0012264C">
              <w:rPr>
                <w:rFonts w:ascii="Calibri" w:hAnsi="Calibri" w:cs="Calibri"/>
                <w:color w:val="000000"/>
                <w:sz w:val="24"/>
                <w:szCs w:val="24"/>
                <w:lang w:eastAsia="it-IT"/>
              </w:rPr>
              <w:t xml:space="preserve"> medi</w:t>
            </w:r>
            <w:r w:rsidR="008C3A6C">
              <w:rPr>
                <w:rFonts w:ascii="Calibri" w:hAnsi="Calibri" w:cs="Calibri"/>
                <w:color w:val="000000"/>
                <w:sz w:val="24"/>
                <w:szCs w:val="24"/>
                <w:lang w:eastAsia="it-IT"/>
              </w:rPr>
              <w:t>e</w:t>
            </w:r>
          </w:p>
        </w:tc>
      </w:tr>
      <w:tr w:rsidR="00AC2570" w:rsidRPr="0012264C" w:rsidTr="00E30EE2">
        <w:trPr>
          <w:trHeight w:val="600"/>
        </w:trPr>
        <w:tc>
          <w:tcPr>
            <w:tcW w:w="1474" w:type="dxa"/>
            <w:tcBorders>
              <w:top w:val="nil"/>
              <w:left w:val="single" w:sz="8" w:space="0" w:color="auto"/>
              <w:bottom w:val="single" w:sz="4" w:space="0" w:color="auto"/>
              <w:right w:val="single" w:sz="4" w:space="0" w:color="auto"/>
            </w:tcBorders>
            <w:shd w:val="clear" w:color="auto" w:fill="auto"/>
            <w:noWrap/>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Bassa</w:t>
            </w:r>
          </w:p>
        </w:tc>
        <w:tc>
          <w:tcPr>
            <w:tcW w:w="1460" w:type="dxa"/>
            <w:tcBorders>
              <w:top w:val="nil"/>
              <w:left w:val="nil"/>
              <w:bottom w:val="single" w:sz="4" w:space="0" w:color="auto"/>
              <w:right w:val="single" w:sz="4" w:space="0" w:color="auto"/>
            </w:tcBorders>
            <w:shd w:val="clear" w:color="auto" w:fill="auto"/>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Probabile</w:t>
            </w:r>
          </w:p>
        </w:tc>
        <w:tc>
          <w:tcPr>
            <w:tcW w:w="1140" w:type="dxa"/>
            <w:tcBorders>
              <w:top w:val="nil"/>
              <w:left w:val="nil"/>
              <w:bottom w:val="single" w:sz="4" w:space="0" w:color="auto"/>
              <w:right w:val="single" w:sz="4" w:space="0" w:color="auto"/>
            </w:tcBorders>
            <w:shd w:val="clear" w:color="auto" w:fill="auto"/>
            <w:noWrap/>
            <w:vAlign w:val="center"/>
            <w:hideMark/>
          </w:tcPr>
          <w:p w:rsidR="00AC2570" w:rsidRPr="0012264C" w:rsidRDefault="00432C1F"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6%</w:t>
            </w:r>
          </w:p>
        </w:tc>
        <w:tc>
          <w:tcPr>
            <w:tcW w:w="5506" w:type="dxa"/>
            <w:tcBorders>
              <w:top w:val="nil"/>
              <w:left w:val="nil"/>
              <w:bottom w:val="single" w:sz="4" w:space="0" w:color="auto"/>
              <w:right w:val="single" w:sz="8" w:space="0" w:color="auto"/>
            </w:tcBorders>
            <w:shd w:val="clear" w:color="auto" w:fill="auto"/>
            <w:vAlign w:val="center"/>
            <w:hideMark/>
          </w:tcPr>
          <w:p w:rsidR="00AC2570" w:rsidRPr="0012264C" w:rsidRDefault="00654C75" w:rsidP="00654C75">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I</w:t>
            </w:r>
            <w:r w:rsidR="00AC2570" w:rsidRPr="0012264C">
              <w:rPr>
                <w:rFonts w:ascii="Calibri" w:hAnsi="Calibri" w:cs="Calibri"/>
                <w:color w:val="000000"/>
                <w:sz w:val="24"/>
                <w:szCs w:val="24"/>
                <w:lang w:eastAsia="it-IT"/>
              </w:rPr>
              <w:t xml:space="preserve">l grado di affidabilità della previsione </w:t>
            </w:r>
            <w:r w:rsidRPr="0012264C">
              <w:rPr>
                <w:rFonts w:ascii="Calibri" w:hAnsi="Calibri" w:cs="Calibri"/>
                <w:color w:val="000000"/>
                <w:sz w:val="24"/>
                <w:szCs w:val="24"/>
                <w:lang w:eastAsia="it-IT"/>
              </w:rPr>
              <w:t>è basso</w:t>
            </w:r>
          </w:p>
        </w:tc>
      </w:tr>
      <w:tr w:rsidR="00AC2570" w:rsidRPr="0012264C" w:rsidTr="00E30EE2">
        <w:trPr>
          <w:trHeight w:val="615"/>
        </w:trPr>
        <w:tc>
          <w:tcPr>
            <w:tcW w:w="1474" w:type="dxa"/>
            <w:tcBorders>
              <w:top w:val="nil"/>
              <w:left w:val="single" w:sz="8" w:space="0" w:color="auto"/>
              <w:bottom w:val="single" w:sz="8" w:space="0" w:color="auto"/>
              <w:right w:val="single" w:sz="4" w:space="0" w:color="auto"/>
            </w:tcBorders>
            <w:shd w:val="clear" w:color="auto" w:fill="auto"/>
            <w:noWrap/>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Nulla</w:t>
            </w:r>
          </w:p>
        </w:tc>
        <w:tc>
          <w:tcPr>
            <w:tcW w:w="1460" w:type="dxa"/>
            <w:tcBorders>
              <w:top w:val="nil"/>
              <w:left w:val="nil"/>
              <w:bottom w:val="single" w:sz="8" w:space="0" w:color="auto"/>
              <w:right w:val="single" w:sz="4" w:space="0" w:color="auto"/>
            </w:tcBorders>
            <w:shd w:val="clear" w:color="auto" w:fill="auto"/>
            <w:vAlign w:val="center"/>
            <w:hideMark/>
          </w:tcPr>
          <w:p w:rsidR="00AC2570" w:rsidRPr="0012264C" w:rsidRDefault="00AC2570"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Non probabile</w:t>
            </w:r>
          </w:p>
        </w:tc>
        <w:tc>
          <w:tcPr>
            <w:tcW w:w="1140" w:type="dxa"/>
            <w:tcBorders>
              <w:top w:val="nil"/>
              <w:left w:val="nil"/>
              <w:bottom w:val="single" w:sz="8" w:space="0" w:color="auto"/>
              <w:right w:val="single" w:sz="4" w:space="0" w:color="auto"/>
            </w:tcBorders>
            <w:shd w:val="clear" w:color="auto" w:fill="auto"/>
            <w:noWrap/>
            <w:vAlign w:val="center"/>
            <w:hideMark/>
          </w:tcPr>
          <w:p w:rsidR="00AC2570" w:rsidRPr="0012264C" w:rsidRDefault="00432C1F"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0%</w:t>
            </w:r>
          </w:p>
        </w:tc>
        <w:tc>
          <w:tcPr>
            <w:tcW w:w="5506" w:type="dxa"/>
            <w:tcBorders>
              <w:top w:val="nil"/>
              <w:left w:val="nil"/>
              <w:bottom w:val="single" w:sz="8" w:space="0" w:color="auto"/>
              <w:right w:val="single" w:sz="8" w:space="0" w:color="auto"/>
            </w:tcBorders>
            <w:shd w:val="clear" w:color="auto" w:fill="auto"/>
            <w:vAlign w:val="center"/>
            <w:hideMark/>
          </w:tcPr>
          <w:p w:rsidR="00AC2570" w:rsidRPr="0012264C" w:rsidRDefault="00654C75" w:rsidP="00AC2570">
            <w:pPr>
              <w:autoSpaceDE/>
              <w:autoSpaceDN/>
              <w:adjustRightInd/>
              <w:rPr>
                <w:rFonts w:ascii="Calibri" w:hAnsi="Calibri" w:cs="Calibri"/>
                <w:color w:val="000000"/>
                <w:sz w:val="24"/>
                <w:szCs w:val="24"/>
                <w:lang w:eastAsia="it-IT"/>
              </w:rPr>
            </w:pPr>
            <w:r w:rsidRPr="0012264C">
              <w:rPr>
                <w:rFonts w:ascii="Calibri" w:hAnsi="Calibri" w:cs="Calibri"/>
                <w:color w:val="000000"/>
                <w:sz w:val="24"/>
                <w:szCs w:val="24"/>
                <w:lang w:eastAsia="it-IT"/>
              </w:rPr>
              <w:t>La view non ha alcun concreto valore (la confidenza nulla equivale all</w:t>
            </w:r>
            <w:r w:rsidR="008C3A6C">
              <w:rPr>
                <w:rFonts w:ascii="Calibri" w:hAnsi="Calibri" w:cs="Calibri"/>
                <w:color w:val="000000"/>
                <w:sz w:val="24"/>
                <w:szCs w:val="24"/>
                <w:lang w:eastAsia="it-IT"/>
              </w:rPr>
              <w:t>a non manifestazione della view</w:t>
            </w:r>
            <w:r w:rsidRPr="0012264C">
              <w:rPr>
                <w:rFonts w:ascii="Calibri" w:hAnsi="Calibri" w:cs="Calibri"/>
                <w:color w:val="000000"/>
                <w:sz w:val="24"/>
                <w:szCs w:val="24"/>
                <w:lang w:eastAsia="it-IT"/>
              </w:rPr>
              <w:t>)</w:t>
            </w:r>
          </w:p>
        </w:tc>
      </w:tr>
    </w:tbl>
    <w:p w:rsidR="00AC2570" w:rsidRDefault="006B4C24" w:rsidP="003710BD">
      <w:pPr>
        <w:tabs>
          <w:tab w:val="left" w:pos="360"/>
        </w:tabs>
        <w:spacing w:before="120" w:line="360" w:lineRule="auto"/>
        <w:jc w:val="both"/>
        <w:rPr>
          <w:rFonts w:asciiTheme="minorHAnsi" w:hAnsiTheme="minorHAnsi" w:cstheme="minorHAnsi"/>
          <w:b/>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4</w:t>
      </w:r>
    </w:p>
    <w:p w:rsidR="001F494F" w:rsidRPr="0012264C" w:rsidRDefault="00654C75" w:rsidP="003710BD">
      <w:pPr>
        <w:tabs>
          <w:tab w:val="left" w:pos="360"/>
        </w:tabs>
        <w:spacing w:before="120" w:line="360" w:lineRule="auto"/>
        <w:jc w:val="both"/>
        <w:rPr>
          <w:rFonts w:asciiTheme="minorHAnsi" w:hAnsiTheme="minorHAnsi" w:cstheme="minorHAnsi"/>
          <w:sz w:val="24"/>
          <w:szCs w:val="24"/>
        </w:rPr>
      </w:pPr>
      <w:r w:rsidRPr="0012264C">
        <w:rPr>
          <w:rFonts w:asciiTheme="minorHAnsi" w:hAnsiTheme="minorHAnsi" w:cstheme="minorHAnsi"/>
          <w:sz w:val="24"/>
          <w:szCs w:val="24"/>
        </w:rPr>
        <w:t>La scelta dei livelli di confidenza è strettamente correlato al fenomeno dell’</w:t>
      </w:r>
      <w:r w:rsidRPr="0012264C">
        <w:rPr>
          <w:rFonts w:asciiTheme="minorHAnsi" w:hAnsiTheme="minorHAnsi" w:cstheme="minorHAnsi"/>
          <w:i/>
          <w:sz w:val="24"/>
          <w:szCs w:val="24"/>
        </w:rPr>
        <w:t>instabilità</w:t>
      </w:r>
      <w:r w:rsidRPr="0012264C">
        <w:rPr>
          <w:rFonts w:asciiTheme="minorHAnsi" w:hAnsiTheme="minorHAnsi" w:cstheme="minorHAnsi"/>
          <w:sz w:val="24"/>
          <w:szCs w:val="24"/>
        </w:rPr>
        <w:t xml:space="preserve"> delle ottimizzazioni media-varianza. È ampiamente confermato che modeste modifiche dei dati di input (soprattutto d</w:t>
      </w:r>
      <w:r w:rsidR="008C3A6C">
        <w:rPr>
          <w:rFonts w:asciiTheme="minorHAnsi" w:hAnsiTheme="minorHAnsi" w:cstheme="minorHAnsi"/>
          <w:sz w:val="24"/>
          <w:szCs w:val="24"/>
        </w:rPr>
        <w:t>e</w:t>
      </w:r>
      <w:r w:rsidRPr="0012264C">
        <w:rPr>
          <w:rFonts w:asciiTheme="minorHAnsi" w:hAnsiTheme="minorHAnsi" w:cstheme="minorHAnsi"/>
          <w:sz w:val="24"/>
          <w:szCs w:val="24"/>
        </w:rPr>
        <w:t>i rendiment</w:t>
      </w:r>
      <w:r w:rsidR="008C3A6C">
        <w:rPr>
          <w:rFonts w:asciiTheme="minorHAnsi" w:hAnsiTheme="minorHAnsi" w:cstheme="minorHAnsi"/>
          <w:sz w:val="24"/>
          <w:szCs w:val="24"/>
        </w:rPr>
        <w:t>i</w:t>
      </w:r>
      <w:r w:rsidRPr="0012264C">
        <w:rPr>
          <w:rFonts w:asciiTheme="minorHAnsi" w:hAnsiTheme="minorHAnsi" w:cstheme="minorHAnsi"/>
          <w:sz w:val="24"/>
          <w:szCs w:val="24"/>
        </w:rPr>
        <w:t xml:space="preserve"> attes</w:t>
      </w:r>
      <w:r w:rsidR="008C3A6C">
        <w:rPr>
          <w:rFonts w:asciiTheme="minorHAnsi" w:hAnsiTheme="minorHAnsi" w:cstheme="minorHAnsi"/>
          <w:sz w:val="24"/>
          <w:szCs w:val="24"/>
        </w:rPr>
        <w:t>i</w:t>
      </w:r>
      <w:r w:rsidRPr="0012264C">
        <w:rPr>
          <w:rFonts w:asciiTheme="minorHAnsi" w:hAnsiTheme="minorHAnsi" w:cstheme="minorHAnsi"/>
          <w:sz w:val="24"/>
          <w:szCs w:val="24"/>
        </w:rPr>
        <w:t xml:space="preserve">) sono in grado di produrre effetti significativi sulla composizione dei portafogli ottimizzati. Ciò implica che, al fine di alimentare un processo di ottimizzazione in grado di restituire portafogli la cui composizione è anche significativamente differente dai portafogli neutrali, è sufficiente apportare delle modifiche limitate ai rendimenti attesi </w:t>
      </w:r>
      <w:r w:rsidRPr="0012264C">
        <w:rPr>
          <w:rFonts w:asciiTheme="minorHAnsi" w:hAnsiTheme="minorHAnsi" w:cstheme="minorHAnsi"/>
          <w:i/>
          <w:sz w:val="24"/>
          <w:szCs w:val="24"/>
        </w:rPr>
        <w:t>market neutral</w:t>
      </w:r>
      <w:r w:rsidRPr="0012264C">
        <w:rPr>
          <w:rFonts w:asciiTheme="minorHAnsi" w:hAnsiTheme="minorHAnsi" w:cstheme="minorHAnsi"/>
          <w:sz w:val="24"/>
          <w:szCs w:val="24"/>
        </w:rPr>
        <w:t xml:space="preserve">. In ragione di ciò, </w:t>
      </w:r>
      <w:r w:rsidR="00621AF0" w:rsidRPr="0012264C">
        <w:rPr>
          <w:rFonts w:asciiTheme="minorHAnsi" w:hAnsiTheme="minorHAnsi" w:cstheme="minorHAnsi"/>
          <w:sz w:val="24"/>
          <w:szCs w:val="24"/>
        </w:rPr>
        <w:t xml:space="preserve">anche se </w:t>
      </w:r>
      <w:r w:rsidRPr="0012264C">
        <w:rPr>
          <w:rFonts w:asciiTheme="minorHAnsi" w:hAnsiTheme="minorHAnsi" w:cstheme="minorHAnsi"/>
          <w:sz w:val="24"/>
          <w:szCs w:val="24"/>
        </w:rPr>
        <w:t>i livelli di confidenza</w:t>
      </w:r>
      <w:r w:rsidR="00621AF0" w:rsidRPr="0012264C">
        <w:rPr>
          <w:rFonts w:asciiTheme="minorHAnsi" w:hAnsiTheme="minorHAnsi" w:cstheme="minorHAnsi"/>
          <w:sz w:val="24"/>
          <w:szCs w:val="24"/>
        </w:rPr>
        <w:t xml:space="preserve"> possono assumere valori nell’intervallo 0%-100%, sono stati utilizzati valori</w:t>
      </w:r>
      <w:r w:rsidRPr="0012264C">
        <w:rPr>
          <w:rFonts w:asciiTheme="minorHAnsi" w:hAnsiTheme="minorHAnsi" w:cstheme="minorHAnsi"/>
          <w:sz w:val="24"/>
          <w:szCs w:val="24"/>
        </w:rPr>
        <w:t xml:space="preserve"> bassi</w:t>
      </w:r>
      <w:r w:rsidR="00621AF0" w:rsidRPr="0012264C">
        <w:rPr>
          <w:rFonts w:asciiTheme="minorHAnsi" w:hAnsiTheme="minorHAnsi" w:cstheme="minorHAnsi"/>
          <w:sz w:val="24"/>
          <w:szCs w:val="24"/>
        </w:rPr>
        <w:t xml:space="preserve"> che</w:t>
      </w:r>
      <w:r w:rsidRPr="0012264C">
        <w:rPr>
          <w:rFonts w:asciiTheme="minorHAnsi" w:hAnsiTheme="minorHAnsi" w:cstheme="minorHAnsi"/>
          <w:sz w:val="24"/>
          <w:szCs w:val="24"/>
        </w:rPr>
        <w:t>, per quanto detto, non inficiano la possibilità dell’ottimizzazione di discostarsi dai portafogli neutrali.</w:t>
      </w:r>
    </w:p>
    <w:p w:rsidR="00E22FBC" w:rsidRPr="000376E5" w:rsidRDefault="00E22FBC" w:rsidP="003710BD">
      <w:pPr>
        <w:spacing w:line="360" w:lineRule="auto"/>
        <w:jc w:val="both"/>
        <w:rPr>
          <w:rFonts w:asciiTheme="minorHAnsi" w:hAnsiTheme="minorHAnsi" w:cstheme="minorHAnsi"/>
          <w:sz w:val="22"/>
        </w:rPr>
      </w:pPr>
    </w:p>
    <w:p w:rsidR="006E1163" w:rsidRPr="000376E5" w:rsidRDefault="009B6BA5" w:rsidP="003710BD">
      <w:pPr>
        <w:pStyle w:val="Titolo2"/>
        <w:spacing w:line="360" w:lineRule="auto"/>
        <w:jc w:val="both"/>
        <w:rPr>
          <w:rFonts w:asciiTheme="minorHAnsi" w:hAnsiTheme="minorHAnsi" w:cstheme="minorHAnsi"/>
        </w:rPr>
      </w:pPr>
      <w:bookmarkStart w:id="54" w:name="_Toc425154132"/>
      <w:r>
        <w:rPr>
          <w:rFonts w:asciiTheme="minorHAnsi" w:hAnsiTheme="minorHAnsi" w:cstheme="minorHAnsi"/>
        </w:rPr>
        <w:t xml:space="preserve">IL </w:t>
      </w:r>
      <w:r w:rsidR="0065064B" w:rsidRPr="000376E5">
        <w:rPr>
          <w:rFonts w:asciiTheme="minorHAnsi" w:hAnsiTheme="minorHAnsi" w:cstheme="minorHAnsi"/>
        </w:rPr>
        <w:t>CALCOLO DEI RENDIMENTI A POSTERIORI DI B&amp;L</w:t>
      </w:r>
      <w:bookmarkEnd w:id="54"/>
    </w:p>
    <w:p w:rsidR="006E1163" w:rsidRPr="0012264C" w:rsidRDefault="006E1163" w:rsidP="003710BD">
      <w:pPr>
        <w:spacing w:line="360" w:lineRule="auto"/>
        <w:jc w:val="both"/>
        <w:rPr>
          <w:rFonts w:asciiTheme="minorHAnsi" w:hAnsiTheme="minorHAnsi" w:cstheme="minorHAnsi"/>
          <w:sz w:val="24"/>
          <w:szCs w:val="24"/>
        </w:rPr>
      </w:pPr>
      <w:r w:rsidRPr="0012264C">
        <w:rPr>
          <w:rFonts w:asciiTheme="minorHAnsi" w:hAnsiTheme="minorHAnsi" w:cstheme="minorHAnsi"/>
          <w:sz w:val="24"/>
          <w:szCs w:val="24"/>
        </w:rPr>
        <w:t>Come passo conclusivo</w:t>
      </w:r>
      <w:r w:rsidR="00BA31F1" w:rsidRPr="0012264C">
        <w:rPr>
          <w:rFonts w:asciiTheme="minorHAnsi" w:hAnsiTheme="minorHAnsi" w:cstheme="minorHAnsi"/>
          <w:sz w:val="24"/>
          <w:szCs w:val="24"/>
        </w:rPr>
        <w:t xml:space="preserve"> del modello di Black-Litterman</w:t>
      </w:r>
      <w:r w:rsidR="00800406">
        <w:rPr>
          <w:rFonts w:asciiTheme="minorHAnsi" w:hAnsiTheme="minorHAnsi" w:cstheme="minorHAnsi"/>
          <w:sz w:val="24"/>
          <w:szCs w:val="24"/>
        </w:rPr>
        <w:t xml:space="preserve"> </w:t>
      </w:r>
      <w:r w:rsidR="003B1038" w:rsidRPr="0012264C">
        <w:rPr>
          <w:rFonts w:asciiTheme="minorHAnsi" w:hAnsiTheme="minorHAnsi" w:cstheme="minorHAnsi"/>
          <w:sz w:val="24"/>
          <w:szCs w:val="24"/>
        </w:rPr>
        <w:t>vengono combinati i rendimenti attesi market neutral e le view, così da</w:t>
      </w:r>
      <w:r w:rsidR="00800406">
        <w:rPr>
          <w:rFonts w:asciiTheme="minorHAnsi" w:hAnsiTheme="minorHAnsi" w:cstheme="minorHAnsi"/>
          <w:sz w:val="24"/>
          <w:szCs w:val="24"/>
        </w:rPr>
        <w:t xml:space="preserve"> </w:t>
      </w:r>
      <w:r w:rsidR="003B1038" w:rsidRPr="0012264C">
        <w:rPr>
          <w:rFonts w:asciiTheme="minorHAnsi" w:hAnsiTheme="minorHAnsi" w:cstheme="minorHAnsi"/>
          <w:sz w:val="24"/>
          <w:szCs w:val="24"/>
        </w:rPr>
        <w:t>stimare</w:t>
      </w:r>
      <w:r w:rsidRPr="0012264C">
        <w:rPr>
          <w:rFonts w:asciiTheme="minorHAnsi" w:hAnsiTheme="minorHAnsi" w:cstheme="minorHAnsi"/>
          <w:sz w:val="24"/>
          <w:szCs w:val="24"/>
        </w:rPr>
        <w:t xml:space="preserve"> i rendimenti</w:t>
      </w:r>
      <w:r w:rsidR="003B1038" w:rsidRPr="0012264C">
        <w:rPr>
          <w:rFonts w:asciiTheme="minorHAnsi" w:hAnsiTheme="minorHAnsi" w:cstheme="minorHAnsi"/>
          <w:sz w:val="24"/>
          <w:szCs w:val="24"/>
        </w:rPr>
        <w:t xml:space="preserve"> attesi</w:t>
      </w:r>
      <w:r w:rsidRPr="0012264C">
        <w:rPr>
          <w:rFonts w:asciiTheme="minorHAnsi" w:hAnsiTheme="minorHAnsi" w:cstheme="minorHAnsi"/>
          <w:sz w:val="24"/>
          <w:szCs w:val="24"/>
        </w:rPr>
        <w:t xml:space="preserve"> a posteriori</w:t>
      </w:r>
      <w:r w:rsidR="00D20056" w:rsidRPr="0012264C">
        <w:rPr>
          <w:rFonts w:asciiTheme="minorHAnsi" w:hAnsiTheme="minorHAnsi" w:cstheme="minorHAnsi"/>
          <w:sz w:val="24"/>
          <w:szCs w:val="24"/>
        </w:rPr>
        <w:t xml:space="preserve"> (</w:t>
      </w:r>
      <w:r w:rsidR="007979F4">
        <w:rPr>
          <w:rFonts w:asciiTheme="minorHAnsi" w:hAnsiTheme="minorHAnsi" w:cstheme="minorHAnsi"/>
          <w:sz w:val="24"/>
          <w:szCs w:val="24"/>
        </w:rPr>
        <w:t>ovvero i</w:t>
      </w:r>
      <w:r w:rsidR="00D20056" w:rsidRPr="0012264C">
        <w:rPr>
          <w:rFonts w:asciiTheme="minorHAnsi" w:hAnsiTheme="minorHAnsi" w:cstheme="minorHAnsi"/>
          <w:sz w:val="24"/>
          <w:szCs w:val="24"/>
        </w:rPr>
        <w:t xml:space="preserve"> rendimenti attesi alla Black-Litterman)</w:t>
      </w:r>
      <w:r w:rsidR="003B1038" w:rsidRPr="0012264C">
        <w:rPr>
          <w:rFonts w:asciiTheme="minorHAnsi" w:hAnsiTheme="minorHAnsi" w:cstheme="minorHAnsi"/>
          <w:sz w:val="24"/>
          <w:szCs w:val="24"/>
        </w:rPr>
        <w:t>.</w:t>
      </w:r>
    </w:p>
    <w:p w:rsidR="006E1163" w:rsidRPr="0012264C" w:rsidRDefault="003B1038" w:rsidP="003710BD">
      <w:pPr>
        <w:spacing w:line="360" w:lineRule="auto"/>
        <w:jc w:val="both"/>
        <w:rPr>
          <w:rFonts w:asciiTheme="minorHAnsi" w:hAnsiTheme="minorHAnsi" w:cstheme="minorHAnsi"/>
          <w:sz w:val="24"/>
          <w:szCs w:val="24"/>
        </w:rPr>
      </w:pPr>
      <w:r w:rsidRPr="0012264C">
        <w:rPr>
          <w:rFonts w:asciiTheme="minorHAnsi" w:hAnsiTheme="minorHAnsi" w:cstheme="minorHAnsi"/>
          <w:sz w:val="24"/>
          <w:szCs w:val="24"/>
        </w:rPr>
        <w:t>La formula che sintetizza il processo di combinazione dei rendimenti attesi neutrali e delle view è la seguente:</w:t>
      </w:r>
    </w:p>
    <w:p w:rsidR="006E1163" w:rsidRPr="0012264C" w:rsidRDefault="00CE3D18" w:rsidP="00031B7F">
      <w:pPr>
        <w:spacing w:line="360" w:lineRule="auto"/>
        <w:jc w:val="center"/>
        <w:rPr>
          <w:rFonts w:asciiTheme="minorHAnsi" w:hAnsiTheme="minorHAnsi" w:cstheme="minorHAnsi"/>
          <w:sz w:val="24"/>
          <w:szCs w:val="24"/>
        </w:rPr>
      </w:pPr>
      <w:r w:rsidRPr="0012264C">
        <w:rPr>
          <w:rFonts w:asciiTheme="minorHAnsi" w:hAnsiTheme="minorHAnsi" w:cstheme="minorHAnsi"/>
          <w:position w:val="-10"/>
          <w:sz w:val="24"/>
          <w:szCs w:val="24"/>
        </w:rPr>
        <w:object w:dxaOrig="4459" w:dyaOrig="440">
          <v:shape id="_x0000_i1032" type="#_x0000_t75" style="width:223.4pt;height:22.65pt" o:ole="">
            <v:imagedata r:id="rId28" o:title=""/>
          </v:shape>
          <o:OLEObject Type="Embed" ProgID="Equation.3" ShapeID="_x0000_i1032" DrawAspect="Content" ObjectID="_1614572941" r:id="rId29"/>
        </w:object>
      </w:r>
    </w:p>
    <w:p w:rsidR="006E1163" w:rsidRPr="0012264C" w:rsidRDefault="006E1163" w:rsidP="003710BD">
      <w:pPr>
        <w:spacing w:line="360" w:lineRule="auto"/>
        <w:jc w:val="both"/>
        <w:rPr>
          <w:rFonts w:asciiTheme="minorHAnsi" w:hAnsiTheme="minorHAnsi" w:cstheme="minorHAnsi"/>
          <w:sz w:val="24"/>
          <w:szCs w:val="24"/>
        </w:rPr>
      </w:pPr>
    </w:p>
    <w:p w:rsidR="006E1163" w:rsidRPr="0012264C" w:rsidRDefault="00CB1803"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d</w:t>
      </w:r>
      <w:r w:rsidR="006E1163" w:rsidRPr="0012264C">
        <w:rPr>
          <w:rFonts w:asciiTheme="minorHAnsi" w:hAnsiTheme="minorHAnsi" w:cstheme="minorHAnsi"/>
          <w:sz w:val="24"/>
          <w:szCs w:val="24"/>
        </w:rPr>
        <w:t>ove:</w:t>
      </w:r>
    </w:p>
    <w:p w:rsidR="006E1163" w:rsidRPr="0012264C" w:rsidRDefault="00657DB6" w:rsidP="003710BD">
      <w:pPr>
        <w:spacing w:line="360" w:lineRule="auto"/>
        <w:jc w:val="both"/>
        <w:rPr>
          <w:rFonts w:asciiTheme="minorHAnsi" w:hAnsiTheme="minorHAnsi" w:cstheme="minorHAnsi"/>
          <w:sz w:val="24"/>
          <w:szCs w:val="24"/>
        </w:rPr>
      </w:pPr>
      <w:r>
        <w:rPr>
          <w:rFonts w:asciiTheme="minorHAnsi" w:hAnsiTheme="minorHAnsi" w:cstheme="minorHAnsi"/>
          <w:i/>
          <w:sz w:val="24"/>
          <w:szCs w:val="24"/>
        </w:rPr>
        <w:t xml:space="preserve">- </w:t>
      </w:r>
      <w:r w:rsidR="00CE3D18" w:rsidRPr="0012264C">
        <w:rPr>
          <w:rFonts w:asciiTheme="minorHAnsi" w:hAnsiTheme="minorHAnsi" w:cstheme="minorHAnsi"/>
          <w:i/>
          <w:sz w:val="24"/>
          <w:szCs w:val="24"/>
        </w:rPr>
        <w:t>P</w:t>
      </w:r>
      <w:r w:rsidR="00CE3D18" w:rsidRPr="0012264C">
        <w:rPr>
          <w:rFonts w:asciiTheme="minorHAnsi" w:hAnsiTheme="minorHAnsi" w:cstheme="minorHAnsi"/>
          <w:sz w:val="24"/>
          <w:szCs w:val="24"/>
        </w:rPr>
        <w:t xml:space="preserve"> è una matrice avente </w:t>
      </w:r>
      <w:r w:rsidR="007979F4">
        <w:rPr>
          <w:rFonts w:asciiTheme="minorHAnsi" w:hAnsiTheme="minorHAnsi" w:cstheme="minorHAnsi"/>
          <w:sz w:val="24"/>
          <w:szCs w:val="24"/>
        </w:rPr>
        <w:t>un</w:t>
      </w:r>
      <w:r w:rsidR="00CE3D18" w:rsidRPr="0012264C">
        <w:rPr>
          <w:rFonts w:asciiTheme="minorHAnsi" w:hAnsiTheme="minorHAnsi" w:cstheme="minorHAnsi"/>
          <w:sz w:val="24"/>
          <w:szCs w:val="24"/>
        </w:rPr>
        <w:t xml:space="preserve"> numero di righe pari al numero delle view ed </w:t>
      </w:r>
      <w:r w:rsidR="007979F4">
        <w:rPr>
          <w:rFonts w:asciiTheme="minorHAnsi" w:hAnsiTheme="minorHAnsi" w:cstheme="minorHAnsi"/>
          <w:sz w:val="24"/>
          <w:szCs w:val="24"/>
        </w:rPr>
        <w:t>un</w:t>
      </w:r>
      <w:r w:rsidR="00CE3D18" w:rsidRPr="0012264C">
        <w:rPr>
          <w:rFonts w:asciiTheme="minorHAnsi" w:hAnsiTheme="minorHAnsi" w:cstheme="minorHAnsi"/>
          <w:sz w:val="24"/>
          <w:szCs w:val="24"/>
        </w:rPr>
        <w:t xml:space="preserve"> numero di colonne pari alle asset class complessive. Essa permette di identificare le asset class coinvolte nelle view. </w:t>
      </w:r>
      <w:r w:rsidR="00AC2570" w:rsidRPr="0012264C">
        <w:rPr>
          <w:rFonts w:asciiTheme="minorHAnsi" w:hAnsiTheme="minorHAnsi" w:cstheme="minorHAnsi"/>
          <w:sz w:val="24"/>
          <w:szCs w:val="24"/>
        </w:rPr>
        <w:t>Nel caso di espressione di view esclusivamente assolute</w:t>
      </w:r>
      <w:r w:rsidR="00CE3D18" w:rsidRPr="0012264C">
        <w:rPr>
          <w:rFonts w:asciiTheme="minorHAnsi" w:hAnsiTheme="minorHAnsi" w:cstheme="minorHAnsi"/>
          <w:sz w:val="24"/>
          <w:szCs w:val="24"/>
        </w:rPr>
        <w:t xml:space="preserve"> e su tutti i mercati, la matrice P</w:t>
      </w:r>
      <w:r w:rsidR="00AC2570" w:rsidRPr="0012264C">
        <w:rPr>
          <w:rFonts w:asciiTheme="minorHAnsi" w:hAnsiTheme="minorHAnsi" w:cstheme="minorHAnsi"/>
          <w:sz w:val="24"/>
          <w:szCs w:val="24"/>
        </w:rPr>
        <w:t xml:space="preserve"> è</w:t>
      </w:r>
      <w:r w:rsidR="006E1163" w:rsidRPr="0012264C">
        <w:rPr>
          <w:rFonts w:asciiTheme="minorHAnsi" w:hAnsiTheme="minorHAnsi" w:cstheme="minorHAnsi"/>
          <w:sz w:val="24"/>
          <w:szCs w:val="24"/>
        </w:rPr>
        <w:t xml:space="preserve"> una matrice diagonale, dove </w:t>
      </w:r>
      <w:r w:rsidR="00AC2570" w:rsidRPr="0012264C">
        <w:rPr>
          <w:rFonts w:asciiTheme="minorHAnsi" w:hAnsiTheme="minorHAnsi" w:cstheme="minorHAnsi"/>
          <w:sz w:val="24"/>
          <w:szCs w:val="24"/>
        </w:rPr>
        <w:t>sulla diagonale</w:t>
      </w:r>
      <w:r w:rsidR="007979F4">
        <w:rPr>
          <w:rFonts w:asciiTheme="minorHAnsi" w:hAnsiTheme="minorHAnsi" w:cstheme="minorHAnsi"/>
          <w:sz w:val="24"/>
          <w:szCs w:val="24"/>
        </w:rPr>
        <w:t xml:space="preserve"> principale tutti i valori sono </w:t>
      </w:r>
      <w:r w:rsidR="00AC2570" w:rsidRPr="0012264C">
        <w:rPr>
          <w:rFonts w:asciiTheme="minorHAnsi" w:hAnsiTheme="minorHAnsi" w:cstheme="minorHAnsi"/>
          <w:sz w:val="24"/>
          <w:szCs w:val="24"/>
        </w:rPr>
        <w:t>pari a 1</w:t>
      </w:r>
      <w:r w:rsidR="006E1163" w:rsidRPr="0012264C">
        <w:rPr>
          <w:rFonts w:asciiTheme="minorHAnsi" w:hAnsiTheme="minorHAnsi" w:cstheme="minorHAnsi"/>
          <w:sz w:val="24"/>
          <w:szCs w:val="24"/>
        </w:rPr>
        <w:t xml:space="preserve">. </w:t>
      </w:r>
      <w:r w:rsidR="00CE3D18" w:rsidRPr="0012264C">
        <w:rPr>
          <w:rFonts w:asciiTheme="minorHAnsi" w:hAnsiTheme="minorHAnsi" w:cstheme="minorHAnsi"/>
          <w:sz w:val="24"/>
          <w:szCs w:val="24"/>
        </w:rPr>
        <w:t>Nel caso in cui vengano espresse delle view relative (il mercato A perform</w:t>
      </w:r>
      <w:r w:rsidR="00AB7CAC">
        <w:rPr>
          <w:rFonts w:asciiTheme="minorHAnsi" w:hAnsiTheme="minorHAnsi" w:cstheme="minorHAnsi"/>
          <w:sz w:val="24"/>
          <w:szCs w:val="24"/>
        </w:rPr>
        <w:t>erà</w:t>
      </w:r>
      <w:r w:rsidR="00CE3D18" w:rsidRPr="0012264C">
        <w:rPr>
          <w:rFonts w:asciiTheme="minorHAnsi" w:hAnsiTheme="minorHAnsi" w:cstheme="minorHAnsi"/>
          <w:sz w:val="24"/>
          <w:szCs w:val="24"/>
        </w:rPr>
        <w:t xml:space="preserve"> meglio del mercato B), la riga della </w:t>
      </w:r>
      <w:r w:rsidR="00CE3D18" w:rsidRPr="0012264C">
        <w:rPr>
          <w:rFonts w:asciiTheme="minorHAnsi" w:hAnsiTheme="minorHAnsi" w:cstheme="minorHAnsi"/>
          <w:sz w:val="24"/>
          <w:szCs w:val="24"/>
        </w:rPr>
        <w:lastRenderedPageBreak/>
        <w:t>matrice P identificativa di tale view presenterà tutti valori nulli, ad eccezione dei valori corrispondenti ai due mercati coinvolti. Nello specifico il valore corrispondente al mercato A è pari a +1, mentre il valore corrispondente al mercato B è pari a -1. Per quanto affermato, nel caso di presenza congiunta di view assolute e r</w:t>
      </w:r>
      <w:r w:rsidR="00AB7CAC">
        <w:rPr>
          <w:rFonts w:asciiTheme="minorHAnsi" w:hAnsiTheme="minorHAnsi" w:cstheme="minorHAnsi"/>
          <w:sz w:val="24"/>
          <w:szCs w:val="24"/>
        </w:rPr>
        <w:t>e</w:t>
      </w:r>
      <w:r w:rsidR="00CE3D18" w:rsidRPr="0012264C">
        <w:rPr>
          <w:rFonts w:asciiTheme="minorHAnsi" w:hAnsiTheme="minorHAnsi" w:cstheme="minorHAnsi"/>
          <w:sz w:val="24"/>
          <w:szCs w:val="24"/>
        </w:rPr>
        <w:t>lative, la matrice P termina di assumere la conformazione di una matrice diagonale.</w:t>
      </w:r>
    </w:p>
    <w:p w:rsidR="00621AF0" w:rsidRPr="0012264C" w:rsidRDefault="00657DB6" w:rsidP="003710BD">
      <w:pPr>
        <w:spacing w:line="360" w:lineRule="auto"/>
        <w:jc w:val="both"/>
        <w:rPr>
          <w:rFonts w:asciiTheme="minorHAnsi" w:hAnsiTheme="minorHAnsi" w:cstheme="minorHAnsi"/>
          <w:sz w:val="24"/>
          <w:szCs w:val="24"/>
        </w:rPr>
      </w:pPr>
      <w:r>
        <w:rPr>
          <w:rFonts w:ascii="Symbol" w:hAnsi="Symbol" w:cstheme="minorHAnsi"/>
          <w:sz w:val="24"/>
          <w:szCs w:val="24"/>
        </w:rPr>
        <w:t></w:t>
      </w:r>
      <w:r>
        <w:rPr>
          <w:rFonts w:ascii="Symbol" w:hAnsi="Symbol" w:cstheme="minorHAnsi"/>
          <w:sz w:val="24"/>
          <w:szCs w:val="24"/>
        </w:rPr>
        <w:t></w:t>
      </w:r>
      <w:r w:rsidR="00621AF0" w:rsidRPr="0012264C">
        <w:rPr>
          <w:rFonts w:ascii="Symbol" w:hAnsi="Symbol" w:cstheme="minorHAnsi"/>
          <w:sz w:val="24"/>
          <w:szCs w:val="24"/>
        </w:rPr>
        <w:t></w:t>
      </w:r>
      <w:r w:rsidR="00621AF0" w:rsidRPr="0012264C">
        <w:rPr>
          <w:rFonts w:asciiTheme="minorHAnsi" w:hAnsiTheme="minorHAnsi" w:cstheme="minorHAnsi"/>
          <w:sz w:val="24"/>
          <w:szCs w:val="24"/>
        </w:rPr>
        <w:t xml:space="preserve"> rappresenta la matrice varianze-covarianze dei rendimento delle asset class (il processo di costruzione è descritto nel paragrafo 1.3)</w:t>
      </w:r>
      <w:r w:rsidR="007979F4">
        <w:rPr>
          <w:rFonts w:asciiTheme="minorHAnsi" w:hAnsiTheme="minorHAnsi" w:cstheme="minorHAnsi"/>
          <w:sz w:val="24"/>
          <w:szCs w:val="24"/>
        </w:rPr>
        <w:t>.</w:t>
      </w:r>
    </w:p>
    <w:p w:rsidR="006E1163" w:rsidRPr="000376E5" w:rsidRDefault="00657DB6" w:rsidP="003710BD">
      <w:pPr>
        <w:spacing w:line="360" w:lineRule="auto"/>
        <w:jc w:val="both"/>
        <w:rPr>
          <w:rFonts w:asciiTheme="minorHAnsi" w:hAnsiTheme="minorHAnsi" w:cstheme="minorHAnsi"/>
          <w:sz w:val="22"/>
        </w:rPr>
      </w:pPr>
      <w:r>
        <w:rPr>
          <w:rFonts w:ascii="Symbol" w:hAnsi="Symbol" w:cstheme="minorHAnsi"/>
          <w:sz w:val="24"/>
          <w:szCs w:val="24"/>
        </w:rPr>
        <w:t></w:t>
      </w:r>
      <w:r>
        <w:rPr>
          <w:rFonts w:ascii="Symbol" w:hAnsi="Symbol" w:cstheme="minorHAnsi"/>
          <w:sz w:val="24"/>
          <w:szCs w:val="24"/>
        </w:rPr>
        <w:t></w:t>
      </w:r>
      <w:r w:rsidR="00CE3D18" w:rsidRPr="0012264C">
        <w:rPr>
          <w:rFonts w:ascii="Symbol" w:hAnsi="Symbol" w:cstheme="minorHAnsi"/>
          <w:sz w:val="24"/>
          <w:szCs w:val="24"/>
        </w:rPr>
        <w:t></w:t>
      </w:r>
      <w:r w:rsidR="00CE3D18" w:rsidRPr="0012264C">
        <w:rPr>
          <w:rFonts w:ascii="Symbol" w:hAnsi="Symbol" w:cstheme="minorHAnsi"/>
          <w:sz w:val="24"/>
          <w:szCs w:val="24"/>
        </w:rPr>
        <w:t></w:t>
      </w:r>
      <w:r w:rsidR="009C0955" w:rsidRPr="0012264C">
        <w:rPr>
          <w:rFonts w:asciiTheme="minorHAnsi" w:hAnsiTheme="minorHAnsi" w:cstheme="minorHAnsi"/>
          <w:sz w:val="24"/>
          <w:szCs w:val="24"/>
        </w:rPr>
        <w:t xml:space="preserve">è uno scalare che permette di trasformare la matrice varianze-covarianze dei rendimenti </w:t>
      </w:r>
      <w:r w:rsidR="007979F4">
        <w:rPr>
          <w:rFonts w:asciiTheme="minorHAnsi" w:hAnsiTheme="minorHAnsi" w:cstheme="minorHAnsi"/>
          <w:sz w:val="24"/>
          <w:szCs w:val="24"/>
        </w:rPr>
        <w:t>in una</w:t>
      </w:r>
      <w:r w:rsidR="00800406">
        <w:rPr>
          <w:rFonts w:asciiTheme="minorHAnsi" w:hAnsiTheme="minorHAnsi" w:cstheme="minorHAnsi"/>
          <w:sz w:val="24"/>
          <w:szCs w:val="24"/>
        </w:rPr>
        <w:t xml:space="preserve"> </w:t>
      </w:r>
      <w:r w:rsidR="009C0955" w:rsidRPr="0012264C">
        <w:rPr>
          <w:rFonts w:asciiTheme="minorHAnsi" w:hAnsiTheme="minorHAnsi" w:cstheme="minorHAnsi"/>
          <w:sz w:val="24"/>
          <w:szCs w:val="24"/>
        </w:rPr>
        <w:t xml:space="preserve">matrice varianze-covarianze dei rendimenti attesi. </w:t>
      </w:r>
      <w:r w:rsidR="006E1163" w:rsidRPr="0012264C">
        <w:rPr>
          <w:rFonts w:asciiTheme="minorHAnsi" w:hAnsiTheme="minorHAnsi" w:cstheme="minorHAnsi"/>
          <w:sz w:val="24"/>
          <w:szCs w:val="24"/>
        </w:rPr>
        <w:t>L’utilizzo di tale parametro trova motivazione nella convinzione che la distribuzione dei rendimenti</w:t>
      </w:r>
      <w:r w:rsidR="00800406">
        <w:rPr>
          <w:rFonts w:asciiTheme="minorHAnsi" w:hAnsiTheme="minorHAnsi" w:cstheme="minorHAnsi"/>
          <w:sz w:val="24"/>
          <w:szCs w:val="24"/>
        </w:rPr>
        <w:t xml:space="preserve"> </w:t>
      </w:r>
      <w:r w:rsidR="007979F4">
        <w:rPr>
          <w:rFonts w:asciiTheme="minorHAnsi" w:hAnsiTheme="minorHAnsi" w:cstheme="minorHAnsi"/>
          <w:sz w:val="24"/>
          <w:szCs w:val="24"/>
        </w:rPr>
        <w:t>attesi</w:t>
      </w:r>
      <w:r w:rsidR="006E334B" w:rsidRPr="0012264C">
        <w:rPr>
          <w:rFonts w:asciiTheme="minorHAnsi" w:hAnsiTheme="minorHAnsi" w:cstheme="minorHAnsi"/>
          <w:sz w:val="24"/>
          <w:szCs w:val="24"/>
        </w:rPr>
        <w:t xml:space="preserve"> degli asset</w:t>
      </w:r>
      <w:r w:rsidR="006E1163" w:rsidRPr="0012264C">
        <w:rPr>
          <w:rFonts w:asciiTheme="minorHAnsi" w:hAnsiTheme="minorHAnsi" w:cstheme="minorHAnsi"/>
          <w:sz w:val="24"/>
          <w:szCs w:val="24"/>
        </w:rPr>
        <w:t xml:space="preserve"> abbia una distribuzione meno volatile di quella dei rendimenti. </w:t>
      </w:r>
      <w:r w:rsidR="006E334B" w:rsidRPr="0012264C">
        <w:rPr>
          <w:rFonts w:asciiTheme="minorHAnsi" w:hAnsiTheme="minorHAnsi" w:cstheme="minorHAnsi"/>
          <w:sz w:val="24"/>
          <w:szCs w:val="24"/>
        </w:rPr>
        <w:t>Per tale ragione tale parametro deve assumere un valore inferiore ad 1. Poich</w:t>
      </w:r>
      <w:r w:rsidR="0012264C" w:rsidRPr="0012264C">
        <w:rPr>
          <w:rFonts w:asciiTheme="minorHAnsi" w:hAnsiTheme="minorHAnsi" w:cstheme="minorHAnsi"/>
          <w:sz w:val="24"/>
          <w:szCs w:val="24"/>
        </w:rPr>
        <w:t>é</w:t>
      </w:r>
      <w:r w:rsidR="006E334B" w:rsidRPr="0012264C">
        <w:rPr>
          <w:rFonts w:asciiTheme="minorHAnsi" w:hAnsiTheme="minorHAnsi" w:cstheme="minorHAnsi"/>
          <w:sz w:val="24"/>
          <w:szCs w:val="24"/>
        </w:rPr>
        <w:t xml:space="preserve"> la matrice varianze-covarianze viene estrapolata da un campione di osservazioni storiche di ampiezza T= 17 anni e due mesi , in CheBanca! viene attribuito a </w:t>
      </w:r>
      <w:r w:rsidR="006E334B" w:rsidRPr="0012264C">
        <w:rPr>
          <w:rFonts w:ascii="Symbol" w:hAnsi="Symbol" w:cstheme="minorHAnsi"/>
          <w:sz w:val="24"/>
          <w:szCs w:val="24"/>
        </w:rPr>
        <w:t></w:t>
      </w:r>
      <w:r w:rsidR="006E334B" w:rsidRPr="0012264C">
        <w:rPr>
          <w:rFonts w:asciiTheme="minorHAnsi" w:hAnsiTheme="minorHAnsi" w:cstheme="minorHAnsi"/>
          <w:sz w:val="24"/>
          <w:szCs w:val="24"/>
        </w:rPr>
        <w:t xml:space="preserve"> un valore pari a 1/T (=1/17,17). Operando in questo modo, </w:t>
      </w:r>
      <w:r w:rsidR="007979F4">
        <w:rPr>
          <w:rFonts w:asciiTheme="minorHAnsi" w:hAnsiTheme="minorHAnsi" w:cstheme="minorHAnsi"/>
          <w:sz w:val="24"/>
          <w:szCs w:val="24"/>
        </w:rPr>
        <w:t xml:space="preserve">si </w:t>
      </w:r>
      <w:r w:rsidR="006E334B" w:rsidRPr="0012264C">
        <w:rPr>
          <w:rFonts w:asciiTheme="minorHAnsi" w:hAnsiTheme="minorHAnsi" w:cstheme="minorHAnsi"/>
          <w:sz w:val="24"/>
          <w:szCs w:val="24"/>
        </w:rPr>
        <w:t>applic</w:t>
      </w:r>
      <w:r w:rsidR="007979F4">
        <w:rPr>
          <w:rFonts w:asciiTheme="minorHAnsi" w:hAnsiTheme="minorHAnsi" w:cstheme="minorHAnsi"/>
          <w:sz w:val="24"/>
          <w:szCs w:val="24"/>
        </w:rPr>
        <w:t>an</w:t>
      </w:r>
      <w:r w:rsidR="006E334B" w:rsidRPr="0012264C">
        <w:rPr>
          <w:rFonts w:asciiTheme="minorHAnsi" w:hAnsiTheme="minorHAnsi" w:cstheme="minorHAnsi"/>
          <w:sz w:val="24"/>
          <w:szCs w:val="24"/>
        </w:rPr>
        <w:t>o ai rendimenti attesi di equilibrio le proprietà delle medie campionarie</w:t>
      </w:r>
      <w:r w:rsidR="006E334B">
        <w:rPr>
          <w:rStyle w:val="Rimandonotaapidipagina"/>
          <w:sz w:val="24"/>
          <w:szCs w:val="24"/>
        </w:rPr>
        <w:footnoteReference w:id="8"/>
      </w:r>
      <w:r w:rsidR="006E1163" w:rsidRPr="000376E5">
        <w:rPr>
          <w:rFonts w:asciiTheme="minorHAnsi" w:hAnsiTheme="minorHAnsi" w:cstheme="minorHAnsi"/>
          <w:sz w:val="22"/>
        </w:rPr>
        <w:t>.</w:t>
      </w:r>
    </w:p>
    <w:p w:rsidR="006E1163" w:rsidRPr="0012264C" w:rsidRDefault="00657DB6" w:rsidP="003710BD">
      <w:pPr>
        <w:spacing w:line="360" w:lineRule="auto"/>
        <w:jc w:val="both"/>
        <w:rPr>
          <w:rFonts w:asciiTheme="minorHAnsi" w:hAnsiTheme="minorHAnsi" w:cstheme="minorHAnsi"/>
          <w:sz w:val="24"/>
          <w:szCs w:val="24"/>
        </w:rPr>
      </w:pPr>
      <w:r>
        <w:rPr>
          <w:rFonts w:asciiTheme="minorHAnsi" w:hAnsiTheme="minorHAnsi" w:cstheme="minorHAnsi"/>
          <w:i/>
          <w:sz w:val="24"/>
          <w:szCs w:val="24"/>
        </w:rPr>
        <w:t xml:space="preserve">- </w:t>
      </w:r>
      <w:r w:rsidR="00031B7F" w:rsidRPr="0012264C">
        <w:rPr>
          <w:rFonts w:asciiTheme="minorHAnsi" w:hAnsiTheme="minorHAnsi" w:cstheme="minorHAnsi"/>
          <w:i/>
          <w:sz w:val="24"/>
          <w:szCs w:val="24"/>
        </w:rPr>
        <w:t>Q</w:t>
      </w:r>
      <w:r w:rsidR="00800406">
        <w:rPr>
          <w:rFonts w:asciiTheme="minorHAnsi" w:hAnsiTheme="minorHAnsi" w:cstheme="minorHAnsi"/>
          <w:i/>
          <w:sz w:val="24"/>
          <w:szCs w:val="24"/>
        </w:rPr>
        <w:t xml:space="preserve"> </w:t>
      </w:r>
      <w:r w:rsidR="00031B7F" w:rsidRPr="0012264C">
        <w:rPr>
          <w:rFonts w:asciiTheme="minorHAnsi" w:hAnsiTheme="minorHAnsi" w:cstheme="minorHAnsi"/>
          <w:sz w:val="24"/>
          <w:szCs w:val="24"/>
        </w:rPr>
        <w:t xml:space="preserve">è un vettore colonna di dimensione pari al numero delle view. I valori del vettore Q – ottenuti attraverso il procedimento descritto nel paragrafo 1.7 - identificano le view, ovvero i rendimenti che ci si attende dai mercati </w:t>
      </w:r>
      <w:r w:rsidR="00F91E07" w:rsidRPr="0012264C">
        <w:rPr>
          <w:rFonts w:asciiTheme="minorHAnsi" w:hAnsiTheme="minorHAnsi" w:cstheme="minorHAnsi"/>
          <w:sz w:val="24"/>
          <w:szCs w:val="24"/>
        </w:rPr>
        <w:t>per i quali sono state espresse delle previsioni strategiche</w:t>
      </w:r>
      <w:r w:rsidR="00031B7F" w:rsidRPr="0012264C">
        <w:rPr>
          <w:rFonts w:asciiTheme="minorHAnsi" w:hAnsiTheme="minorHAnsi" w:cstheme="minorHAnsi"/>
          <w:sz w:val="24"/>
          <w:szCs w:val="24"/>
        </w:rPr>
        <w:t xml:space="preserve">. </w:t>
      </w:r>
    </w:p>
    <w:p w:rsidR="006E1163" w:rsidRPr="0012264C" w:rsidRDefault="00657DB6" w:rsidP="003710BD">
      <w:pPr>
        <w:spacing w:line="360" w:lineRule="auto"/>
        <w:jc w:val="both"/>
        <w:rPr>
          <w:rFonts w:ascii="Symbol" w:hAnsi="Symbol" w:cstheme="minorHAnsi"/>
          <w:sz w:val="24"/>
          <w:szCs w:val="24"/>
        </w:rPr>
      </w:pPr>
      <w:r>
        <w:rPr>
          <w:rFonts w:ascii="Symbol" w:hAnsi="Symbol" w:cstheme="minorHAnsi"/>
          <w:sz w:val="24"/>
          <w:szCs w:val="24"/>
        </w:rPr>
        <w:t></w:t>
      </w:r>
      <w:r>
        <w:rPr>
          <w:rFonts w:ascii="Symbol" w:hAnsi="Symbol" w:cstheme="minorHAnsi"/>
          <w:sz w:val="24"/>
          <w:szCs w:val="24"/>
        </w:rPr>
        <w:t></w:t>
      </w:r>
      <w:r w:rsidR="00F91E07" w:rsidRPr="0012264C">
        <w:rPr>
          <w:rFonts w:ascii="Symbol" w:hAnsi="Symbol" w:cstheme="minorHAnsi"/>
          <w:sz w:val="24"/>
          <w:szCs w:val="24"/>
        </w:rPr>
        <w:t></w:t>
      </w:r>
      <w:r w:rsidR="00F91E07" w:rsidRPr="0012264C">
        <w:rPr>
          <w:rFonts w:ascii="Symbol" w:hAnsi="Symbol" w:cstheme="minorHAnsi"/>
          <w:sz w:val="24"/>
          <w:szCs w:val="24"/>
        </w:rPr>
        <w:t></w:t>
      </w:r>
      <w:r w:rsidR="00621AF0" w:rsidRPr="0012264C">
        <w:rPr>
          <w:rFonts w:asciiTheme="minorHAnsi" w:hAnsiTheme="minorHAnsi" w:cstheme="minorHAnsi"/>
          <w:sz w:val="24"/>
          <w:szCs w:val="24"/>
        </w:rPr>
        <w:t xml:space="preserve">rappresenta una matrice quadrata di dimensione pari al numero delle view. Il suo compito è quello di definire il grado di incertezza (la varianza) delle view. </w:t>
      </w:r>
      <w:r w:rsidR="00621AF0" w:rsidRPr="0012264C">
        <w:rPr>
          <w:rFonts w:ascii="Symbol" w:hAnsi="Symbol" w:cstheme="minorHAnsi"/>
          <w:sz w:val="24"/>
          <w:szCs w:val="24"/>
        </w:rPr>
        <w:t></w:t>
      </w:r>
      <w:r w:rsidR="00621AF0" w:rsidRPr="0012264C">
        <w:rPr>
          <w:rFonts w:asciiTheme="minorHAnsi" w:hAnsiTheme="minorHAnsi" w:cstheme="minorHAnsi"/>
          <w:sz w:val="24"/>
          <w:szCs w:val="24"/>
        </w:rPr>
        <w:t xml:space="preserve"> è una matrice diagonale: poiché i valori esterni alla diagonale principale sono pari a zero, si assume che le view siano tra loro indipendenti (non correlate). </w:t>
      </w:r>
    </w:p>
    <w:p w:rsidR="006B7620" w:rsidRDefault="006B7620" w:rsidP="003710BD">
      <w:pPr>
        <w:spacing w:line="360" w:lineRule="auto"/>
        <w:jc w:val="both"/>
        <w:rPr>
          <w:rFonts w:asciiTheme="minorHAnsi" w:hAnsiTheme="minorHAnsi" w:cstheme="minorHAnsi"/>
          <w:sz w:val="24"/>
          <w:szCs w:val="24"/>
        </w:rPr>
      </w:pPr>
    </w:p>
    <w:p w:rsidR="006E1163" w:rsidRPr="0012264C" w:rsidRDefault="006E1163" w:rsidP="003710BD">
      <w:pPr>
        <w:spacing w:line="360" w:lineRule="auto"/>
        <w:jc w:val="both"/>
        <w:rPr>
          <w:rFonts w:asciiTheme="minorHAnsi" w:hAnsiTheme="minorHAnsi" w:cstheme="minorHAnsi"/>
          <w:sz w:val="24"/>
          <w:szCs w:val="24"/>
        </w:rPr>
      </w:pPr>
      <w:r w:rsidRPr="0012264C">
        <w:rPr>
          <w:rFonts w:asciiTheme="minorHAnsi" w:hAnsiTheme="minorHAnsi" w:cstheme="minorHAnsi"/>
          <w:sz w:val="24"/>
          <w:szCs w:val="24"/>
        </w:rPr>
        <w:t>La metodologia utilizzata</w:t>
      </w:r>
      <w:r w:rsidR="00621AF0" w:rsidRPr="0012264C">
        <w:rPr>
          <w:rFonts w:asciiTheme="minorHAnsi" w:hAnsiTheme="minorHAnsi" w:cstheme="minorHAnsi"/>
          <w:sz w:val="24"/>
          <w:szCs w:val="24"/>
        </w:rPr>
        <w:t xml:space="preserve"> in CheBanca!</w:t>
      </w:r>
      <w:r w:rsidR="009B6BA5">
        <w:rPr>
          <w:rFonts w:asciiTheme="minorHAnsi" w:hAnsiTheme="minorHAnsi" w:cstheme="minorHAnsi"/>
          <w:sz w:val="24"/>
          <w:szCs w:val="24"/>
        </w:rPr>
        <w:t xml:space="preserve"> p</w:t>
      </w:r>
      <w:r w:rsidRPr="0012264C">
        <w:rPr>
          <w:rFonts w:asciiTheme="minorHAnsi" w:hAnsiTheme="minorHAnsi" w:cstheme="minorHAnsi"/>
          <w:sz w:val="24"/>
          <w:szCs w:val="24"/>
        </w:rPr>
        <w:t xml:space="preserve">revede di </w:t>
      </w:r>
      <w:r w:rsidR="00621AF0" w:rsidRPr="0012264C">
        <w:rPr>
          <w:rFonts w:asciiTheme="minorHAnsi" w:hAnsiTheme="minorHAnsi" w:cstheme="minorHAnsi"/>
          <w:sz w:val="24"/>
          <w:szCs w:val="24"/>
        </w:rPr>
        <w:t xml:space="preserve">stimare </w:t>
      </w:r>
      <w:r w:rsidRPr="0012264C">
        <w:rPr>
          <w:rFonts w:asciiTheme="minorHAnsi" w:hAnsiTheme="minorHAnsi" w:cstheme="minorHAnsi"/>
          <w:sz w:val="24"/>
          <w:szCs w:val="24"/>
        </w:rPr>
        <w:t>la matrice Ω nel modo seguente</w:t>
      </w:r>
      <w:r w:rsidR="007979F4">
        <w:rPr>
          <w:rFonts w:asciiTheme="minorHAnsi" w:hAnsiTheme="minorHAnsi" w:cstheme="minorHAnsi"/>
          <w:sz w:val="24"/>
          <w:szCs w:val="24"/>
        </w:rPr>
        <w:t>:</w:t>
      </w:r>
    </w:p>
    <w:p w:rsidR="006E1163" w:rsidRPr="0012264C" w:rsidRDefault="00765E8B" w:rsidP="00621AF0">
      <w:pPr>
        <w:spacing w:line="360" w:lineRule="auto"/>
        <w:jc w:val="center"/>
        <w:rPr>
          <w:rFonts w:asciiTheme="minorHAnsi" w:hAnsiTheme="minorHAnsi" w:cstheme="minorHAnsi"/>
          <w:sz w:val="24"/>
          <w:szCs w:val="24"/>
        </w:rPr>
      </w:pPr>
      <w:r w:rsidRPr="00765E8B">
        <w:rPr>
          <w:noProof/>
          <w:lang w:eastAsia="it-IT"/>
        </w:rPr>
        <w:lastRenderedPageBreak/>
        <w:drawing>
          <wp:inline distT="0" distB="0" distL="0" distR="0" wp14:anchorId="6C687AA0" wp14:editId="7F352A62">
            <wp:extent cx="4914900" cy="14414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1441450"/>
                    </a:xfrm>
                    <a:prstGeom prst="rect">
                      <a:avLst/>
                    </a:prstGeom>
                    <a:noFill/>
                    <a:ln>
                      <a:noFill/>
                    </a:ln>
                  </pic:spPr>
                </pic:pic>
              </a:graphicData>
            </a:graphic>
          </wp:inline>
        </w:drawing>
      </w:r>
    </w:p>
    <w:p w:rsidR="006E1163" w:rsidRPr="0012264C" w:rsidRDefault="006E1163" w:rsidP="003710BD">
      <w:pPr>
        <w:spacing w:line="360" w:lineRule="auto"/>
        <w:jc w:val="both"/>
        <w:rPr>
          <w:rFonts w:asciiTheme="minorHAnsi" w:hAnsiTheme="minorHAnsi" w:cstheme="minorHAnsi"/>
          <w:sz w:val="24"/>
          <w:szCs w:val="24"/>
        </w:rPr>
      </w:pPr>
      <w:r w:rsidRPr="0012264C">
        <w:rPr>
          <w:rFonts w:asciiTheme="minorHAnsi" w:hAnsiTheme="minorHAnsi" w:cstheme="minorHAnsi"/>
          <w:sz w:val="24"/>
          <w:szCs w:val="24"/>
        </w:rPr>
        <w:t>Dove:</w:t>
      </w:r>
    </w:p>
    <w:p w:rsidR="006E1163" w:rsidRPr="0012264C" w:rsidRDefault="003B4CCB" w:rsidP="003710BD">
      <w:pPr>
        <w:pStyle w:val="Paragrafoelenco"/>
        <w:numPr>
          <w:ilvl w:val="0"/>
          <w:numId w:val="18"/>
        </w:numPr>
        <w:spacing w:line="360" w:lineRule="auto"/>
        <w:ind w:left="0" w:firstLine="0"/>
        <w:contextualSpacing w:val="0"/>
        <w:jc w:val="both"/>
        <w:rPr>
          <w:rFonts w:asciiTheme="minorHAnsi" w:hAnsiTheme="minorHAnsi" w:cstheme="minorHAnsi"/>
        </w:rPr>
      </w:pPr>
      <m:oMath>
        <m:sSub>
          <m:sSubPr>
            <m:ctrlPr>
              <w:rPr>
                <w:rFonts w:ascii="Cambria Math" w:hAnsiTheme="minorHAnsi" w:cstheme="minorHAnsi"/>
                <w:i/>
              </w:rPr>
            </m:ctrlPr>
          </m:sSubPr>
          <m:e>
            <m:r>
              <w:rPr>
                <w:rFonts w:ascii="Cambria Math" w:hAnsi="Cambria Math" w:cstheme="minorHAnsi"/>
              </w:rPr>
              <m:t>p</m:t>
            </m:r>
          </m:e>
          <m:sub>
            <m:r>
              <w:rPr>
                <w:rFonts w:ascii="Cambria Math" w:hAnsiTheme="minorHAnsi" w:cstheme="minorHAnsi"/>
              </w:rPr>
              <m:t>1</m:t>
            </m:r>
          </m:sub>
        </m:sSub>
        <m:r>
          <w:rPr>
            <w:rFonts w:ascii="Cambria Math" w:hAnsiTheme="minorHAnsi" w:cstheme="minorHAnsi"/>
          </w:rPr>
          <m:t>,</m:t>
        </m:r>
        <m:r>
          <w:rPr>
            <w:rFonts w:ascii="Cambria Math" w:hAnsi="Cambria Math" w:cstheme="minorHAnsi"/>
          </w:rPr>
          <m:t>⋯</m:t>
        </m:r>
        <m:sSub>
          <m:sSubPr>
            <m:ctrlPr>
              <w:rPr>
                <w:rFonts w:ascii="Cambria Math" w:hAnsiTheme="minorHAnsi" w:cstheme="minorHAnsi"/>
                <w:i/>
              </w:rPr>
            </m:ctrlPr>
          </m:sSubPr>
          <m:e>
            <m:r>
              <w:rPr>
                <w:rFonts w:ascii="Cambria Math" w:hAnsi="Cambria Math" w:cstheme="minorHAnsi"/>
              </w:rPr>
              <m:t>p</m:t>
            </m:r>
          </m:e>
          <m:sub>
            <m:r>
              <w:rPr>
                <w:rFonts w:ascii="Cambria Math" w:hAnsi="Cambria Math" w:cstheme="minorHAnsi"/>
              </w:rPr>
              <m:t>K</m:t>
            </m:r>
          </m:sub>
        </m:sSub>
      </m:oMath>
      <w:r w:rsidR="006E1163" w:rsidRPr="0012264C">
        <w:rPr>
          <w:rFonts w:asciiTheme="minorHAnsi" w:hAnsiTheme="minorHAnsi" w:cstheme="minorHAnsi"/>
        </w:rPr>
        <w:t xml:space="preserve">sono le righe della matrice </w:t>
      </w:r>
      <w:r w:rsidR="006E1163" w:rsidRPr="0012264C">
        <w:rPr>
          <w:rFonts w:asciiTheme="minorHAnsi" w:hAnsiTheme="minorHAnsi" w:cstheme="minorHAnsi"/>
          <w:i/>
        </w:rPr>
        <w:t>P</w:t>
      </w:r>
      <w:r w:rsidR="006E1163" w:rsidRPr="0012264C">
        <w:rPr>
          <w:rFonts w:asciiTheme="minorHAnsi" w:hAnsiTheme="minorHAnsi" w:cstheme="minorHAnsi"/>
        </w:rPr>
        <w:t>.</w:t>
      </w:r>
    </w:p>
    <w:p w:rsidR="006E1163" w:rsidRDefault="006E1163" w:rsidP="003710BD">
      <w:pPr>
        <w:pStyle w:val="Paragrafoelenco"/>
        <w:numPr>
          <w:ilvl w:val="0"/>
          <w:numId w:val="18"/>
        </w:numPr>
        <w:spacing w:line="360" w:lineRule="auto"/>
        <w:ind w:left="0" w:firstLine="0"/>
        <w:contextualSpacing w:val="0"/>
        <w:jc w:val="both"/>
        <w:rPr>
          <w:rFonts w:asciiTheme="minorHAnsi" w:hAnsiTheme="minorHAnsi" w:cstheme="minorHAnsi"/>
        </w:rPr>
      </w:pPr>
      <m:oMath>
        <m:r>
          <w:rPr>
            <w:rFonts w:ascii="Cambria Math" w:hAnsi="Cambria Math" w:cstheme="minorHAnsi"/>
          </w:rPr>
          <m:t>c</m:t>
        </m:r>
        <m:r>
          <w:rPr>
            <w:rFonts w:ascii="Cambria Math" w:hAnsiTheme="minorHAnsi" w:cstheme="minorHAnsi"/>
          </w:rPr>
          <m:t>,</m:t>
        </m:r>
        <m:r>
          <w:rPr>
            <w:rFonts w:asciiTheme="minorHAnsi" w:hAnsi="Cambria Math" w:cstheme="minorHAnsi"/>
          </w:rPr>
          <m:t>⋯</m:t>
        </m:r>
        <m:sSub>
          <m:sSubPr>
            <m:ctrlPr>
              <w:rPr>
                <w:rFonts w:ascii="Cambria Math" w:hAnsiTheme="minorHAnsi" w:cstheme="minorHAnsi"/>
                <w:i/>
              </w:rPr>
            </m:ctrlPr>
          </m:sSubPr>
          <m:e>
            <m:r>
              <w:rPr>
                <w:rFonts w:ascii="Cambria Math" w:hAnsi="Cambria Math" w:cstheme="minorHAnsi"/>
              </w:rPr>
              <m:t>c</m:t>
            </m:r>
          </m:e>
          <m:sub>
            <m:r>
              <w:rPr>
                <w:rFonts w:ascii="Cambria Math" w:hAnsi="Cambria Math" w:cstheme="minorHAnsi"/>
              </w:rPr>
              <m:t>K</m:t>
            </m:r>
          </m:sub>
        </m:sSub>
      </m:oMath>
      <w:r w:rsidRPr="0012264C">
        <w:rPr>
          <w:rFonts w:asciiTheme="minorHAnsi" w:hAnsiTheme="minorHAnsi" w:cstheme="minorHAnsi"/>
        </w:rPr>
        <w:t>sono</w:t>
      </w:r>
      <w:r w:rsidR="00433452">
        <w:rPr>
          <w:rFonts w:asciiTheme="minorHAnsi" w:hAnsiTheme="minorHAnsi" w:cstheme="minorHAnsi"/>
        </w:rPr>
        <w:t xml:space="preserve"> </w:t>
      </w:r>
      <w:r w:rsidR="00621AF0" w:rsidRPr="0012264C">
        <w:rPr>
          <w:rFonts w:asciiTheme="minorHAnsi" w:hAnsiTheme="minorHAnsi" w:cstheme="minorHAnsi"/>
        </w:rPr>
        <w:t>i livelli di confidenza</w:t>
      </w:r>
      <w:r w:rsidR="00800406">
        <w:rPr>
          <w:rFonts w:asciiTheme="minorHAnsi" w:hAnsiTheme="minorHAnsi" w:cstheme="minorHAnsi"/>
        </w:rPr>
        <w:t xml:space="preserve"> </w:t>
      </w:r>
      <w:r w:rsidR="00621AF0" w:rsidRPr="0012264C">
        <w:rPr>
          <w:rFonts w:asciiTheme="minorHAnsi" w:hAnsiTheme="minorHAnsi" w:cstheme="minorHAnsi"/>
        </w:rPr>
        <w:t>delle</w:t>
      </w:r>
      <w:r w:rsidR="00800406">
        <w:rPr>
          <w:rFonts w:asciiTheme="minorHAnsi" w:hAnsiTheme="minorHAnsi" w:cstheme="minorHAnsi"/>
        </w:rPr>
        <w:t xml:space="preserve"> </w:t>
      </w:r>
      <w:r w:rsidRPr="0012264C">
        <w:rPr>
          <w:rFonts w:asciiTheme="minorHAnsi" w:hAnsiTheme="minorHAnsi" w:cstheme="minorHAnsi"/>
        </w:rPr>
        <w:t>view</w:t>
      </w:r>
      <w:r w:rsidR="00621AF0" w:rsidRPr="0012264C">
        <w:rPr>
          <w:rFonts w:asciiTheme="minorHAnsi" w:hAnsiTheme="minorHAnsi" w:cstheme="minorHAnsi"/>
        </w:rPr>
        <w:t xml:space="preserve"> (si veda a tal proposito il paragrafo 1.8)</w:t>
      </w:r>
      <w:r w:rsidRPr="0012264C">
        <w:rPr>
          <w:rFonts w:asciiTheme="minorHAnsi" w:hAnsiTheme="minorHAnsi" w:cstheme="minorHAnsi"/>
        </w:rPr>
        <w:t>.</w:t>
      </w:r>
    </w:p>
    <w:p w:rsidR="006B7620" w:rsidRDefault="006B7620" w:rsidP="006B7620">
      <w:pPr>
        <w:spacing w:line="360" w:lineRule="auto"/>
        <w:jc w:val="both"/>
        <w:rPr>
          <w:rFonts w:asciiTheme="minorHAnsi" w:hAnsiTheme="minorHAnsi" w:cstheme="minorHAnsi"/>
        </w:rPr>
      </w:pPr>
    </w:p>
    <w:p w:rsidR="006B7620" w:rsidRPr="006B7620" w:rsidRDefault="006B7620" w:rsidP="006B7620">
      <w:pPr>
        <w:spacing w:line="360" w:lineRule="auto"/>
        <w:jc w:val="both"/>
        <w:rPr>
          <w:rFonts w:asciiTheme="minorHAnsi" w:hAnsiTheme="minorHAnsi" w:cstheme="minorHAnsi"/>
        </w:rPr>
      </w:pPr>
    </w:p>
    <w:p w:rsidR="006E1163" w:rsidRDefault="009B6BA5" w:rsidP="003710BD">
      <w:pPr>
        <w:pStyle w:val="Titolo2"/>
        <w:spacing w:line="360" w:lineRule="auto"/>
        <w:jc w:val="both"/>
        <w:rPr>
          <w:rFonts w:asciiTheme="minorHAnsi" w:hAnsiTheme="minorHAnsi" w:cstheme="minorHAnsi"/>
        </w:rPr>
      </w:pPr>
      <w:bookmarkStart w:id="55" w:name="_Toc373916081"/>
      <w:bookmarkStart w:id="56" w:name="_Toc425154133"/>
      <w:r>
        <w:rPr>
          <w:rFonts w:asciiTheme="minorHAnsi" w:hAnsiTheme="minorHAnsi" w:cstheme="minorHAnsi"/>
        </w:rPr>
        <w:t xml:space="preserve">IL </w:t>
      </w:r>
      <w:r w:rsidR="006E1163" w:rsidRPr="000376E5">
        <w:rPr>
          <w:rFonts w:asciiTheme="minorHAnsi" w:hAnsiTheme="minorHAnsi" w:cstheme="minorHAnsi"/>
        </w:rPr>
        <w:t>CALCOLO DELLE FRONTIERE EFFICIENTI</w:t>
      </w:r>
      <w:r w:rsidR="00CA4C55">
        <w:rPr>
          <w:rFonts w:asciiTheme="minorHAnsi" w:hAnsiTheme="minorHAnsi" w:cstheme="minorHAnsi"/>
        </w:rPr>
        <w:t xml:space="preserve"> EX-POST</w:t>
      </w:r>
      <w:r w:rsidR="006E1163" w:rsidRPr="000376E5">
        <w:rPr>
          <w:rFonts w:asciiTheme="minorHAnsi" w:hAnsiTheme="minorHAnsi" w:cstheme="minorHAnsi"/>
        </w:rPr>
        <w:t xml:space="preserve"> E </w:t>
      </w:r>
      <w:r>
        <w:rPr>
          <w:rFonts w:asciiTheme="minorHAnsi" w:hAnsiTheme="minorHAnsi" w:cstheme="minorHAnsi"/>
        </w:rPr>
        <w:t>L’</w:t>
      </w:r>
      <w:r w:rsidR="006E1163" w:rsidRPr="000376E5">
        <w:rPr>
          <w:rFonts w:asciiTheme="minorHAnsi" w:hAnsiTheme="minorHAnsi" w:cstheme="minorHAnsi"/>
        </w:rPr>
        <w:t>INDIVIDUAZIONE DEI PORTAFOGLI ASSOCIATI AD OGNI PROFILO DI RISCHIO</w:t>
      </w:r>
      <w:bookmarkEnd w:id="55"/>
      <w:bookmarkEnd w:id="56"/>
    </w:p>
    <w:p w:rsidR="006B7620" w:rsidRPr="000376E5" w:rsidRDefault="006B7620" w:rsidP="006B7620">
      <w:pPr>
        <w:pStyle w:val="Titolo1"/>
        <w:numPr>
          <w:ilvl w:val="0"/>
          <w:numId w:val="0"/>
        </w:numPr>
        <w:ind w:left="432"/>
      </w:pPr>
    </w:p>
    <w:p w:rsidR="006E1163" w:rsidRPr="00AC2570" w:rsidRDefault="006E1163" w:rsidP="003710BD">
      <w:pPr>
        <w:pStyle w:val="Titolo3"/>
        <w:spacing w:line="360" w:lineRule="auto"/>
        <w:jc w:val="both"/>
        <w:rPr>
          <w:rFonts w:asciiTheme="minorHAnsi" w:hAnsiTheme="minorHAnsi" w:cstheme="minorHAnsi"/>
          <w:color w:val="auto"/>
          <w:sz w:val="24"/>
          <w:szCs w:val="24"/>
        </w:rPr>
      </w:pPr>
      <w:bookmarkStart w:id="57" w:name="_Toc425154134"/>
      <w:r w:rsidRPr="00AC2570">
        <w:rPr>
          <w:rFonts w:asciiTheme="minorHAnsi" w:hAnsiTheme="minorHAnsi" w:cstheme="minorHAnsi"/>
          <w:color w:val="auto"/>
          <w:sz w:val="24"/>
          <w:szCs w:val="24"/>
        </w:rPr>
        <w:t>LA FRONTIERA EFFICIENTE</w:t>
      </w:r>
      <w:r w:rsidR="00CA4C55">
        <w:rPr>
          <w:rFonts w:asciiTheme="minorHAnsi" w:hAnsiTheme="minorHAnsi" w:cstheme="minorHAnsi"/>
          <w:color w:val="auto"/>
          <w:sz w:val="24"/>
          <w:szCs w:val="24"/>
        </w:rPr>
        <w:t xml:space="preserve"> EX-POST</w:t>
      </w:r>
      <w:bookmarkEnd w:id="57"/>
    </w:p>
    <w:p w:rsidR="006B7620" w:rsidRDefault="006B7620" w:rsidP="003710BD">
      <w:pPr>
        <w:spacing w:line="360" w:lineRule="auto"/>
        <w:jc w:val="both"/>
        <w:rPr>
          <w:rFonts w:asciiTheme="minorHAnsi" w:hAnsiTheme="minorHAnsi" w:cstheme="minorHAnsi"/>
          <w:sz w:val="24"/>
          <w:szCs w:val="24"/>
        </w:rPr>
      </w:pPr>
    </w:p>
    <w:p w:rsidR="006E1163" w:rsidRPr="0012264C" w:rsidRDefault="006E1163" w:rsidP="003710BD">
      <w:pPr>
        <w:spacing w:line="360" w:lineRule="auto"/>
        <w:jc w:val="both"/>
        <w:rPr>
          <w:rFonts w:asciiTheme="minorHAnsi" w:hAnsiTheme="minorHAnsi" w:cstheme="minorHAnsi"/>
          <w:sz w:val="24"/>
          <w:szCs w:val="24"/>
        </w:rPr>
      </w:pPr>
      <w:r w:rsidRPr="0012264C">
        <w:rPr>
          <w:rFonts w:asciiTheme="minorHAnsi" w:hAnsiTheme="minorHAnsi" w:cstheme="minorHAnsi"/>
          <w:sz w:val="24"/>
          <w:szCs w:val="24"/>
        </w:rPr>
        <w:t>I rendimenti</w:t>
      </w:r>
      <w:r w:rsidR="00CA4C55" w:rsidRPr="0012264C">
        <w:rPr>
          <w:rFonts w:asciiTheme="minorHAnsi" w:hAnsiTheme="minorHAnsi" w:cstheme="minorHAnsi"/>
          <w:sz w:val="24"/>
          <w:szCs w:val="24"/>
        </w:rPr>
        <w:t xml:space="preserve"> attesi</w:t>
      </w:r>
      <w:r w:rsidR="00D20056" w:rsidRPr="0012264C">
        <w:rPr>
          <w:rFonts w:asciiTheme="minorHAnsi" w:hAnsiTheme="minorHAnsi" w:cstheme="minorHAnsi"/>
          <w:sz w:val="24"/>
          <w:szCs w:val="24"/>
        </w:rPr>
        <w:t xml:space="preserve"> alla Black-Litterman</w:t>
      </w:r>
      <w:r w:rsidRPr="0012264C">
        <w:rPr>
          <w:rFonts w:asciiTheme="minorHAnsi" w:hAnsiTheme="minorHAnsi" w:cstheme="minorHAnsi"/>
          <w:sz w:val="24"/>
          <w:szCs w:val="24"/>
        </w:rPr>
        <w:t xml:space="preserve"> e la matrice varianz</w:t>
      </w:r>
      <w:r w:rsidR="007979F4">
        <w:rPr>
          <w:rFonts w:asciiTheme="minorHAnsi" w:hAnsiTheme="minorHAnsi" w:cstheme="minorHAnsi"/>
          <w:sz w:val="24"/>
          <w:szCs w:val="24"/>
        </w:rPr>
        <w:t>e-</w:t>
      </w:r>
      <w:r w:rsidRPr="0012264C">
        <w:rPr>
          <w:rFonts w:asciiTheme="minorHAnsi" w:hAnsiTheme="minorHAnsi" w:cstheme="minorHAnsi"/>
          <w:sz w:val="24"/>
          <w:szCs w:val="24"/>
        </w:rPr>
        <w:t>covarianz</w:t>
      </w:r>
      <w:r w:rsidR="007979F4">
        <w:rPr>
          <w:rFonts w:asciiTheme="minorHAnsi" w:hAnsiTheme="minorHAnsi" w:cstheme="minorHAnsi"/>
          <w:sz w:val="24"/>
          <w:szCs w:val="24"/>
        </w:rPr>
        <w:t>e</w:t>
      </w:r>
      <w:r w:rsidRPr="0012264C">
        <w:rPr>
          <w:rFonts w:asciiTheme="minorHAnsi" w:hAnsiTheme="minorHAnsi" w:cstheme="minorHAnsi"/>
          <w:sz w:val="24"/>
          <w:szCs w:val="24"/>
        </w:rPr>
        <w:t xml:space="preserve"> dei rendimenti vengono</w:t>
      </w:r>
      <w:r w:rsidR="00800406">
        <w:rPr>
          <w:rFonts w:asciiTheme="minorHAnsi" w:hAnsiTheme="minorHAnsi" w:cstheme="minorHAnsi"/>
          <w:sz w:val="24"/>
          <w:szCs w:val="24"/>
        </w:rPr>
        <w:t xml:space="preserve"> </w:t>
      </w:r>
      <w:r w:rsidRPr="0012264C">
        <w:rPr>
          <w:rFonts w:asciiTheme="minorHAnsi" w:hAnsiTheme="minorHAnsi" w:cstheme="minorHAnsi"/>
          <w:sz w:val="24"/>
          <w:szCs w:val="24"/>
        </w:rPr>
        <w:t>utilizzati</w:t>
      </w:r>
      <w:r w:rsidR="00800406">
        <w:rPr>
          <w:rFonts w:asciiTheme="minorHAnsi" w:hAnsiTheme="minorHAnsi" w:cstheme="minorHAnsi"/>
          <w:sz w:val="24"/>
          <w:szCs w:val="24"/>
        </w:rPr>
        <w:t xml:space="preserve"> </w:t>
      </w:r>
      <w:r w:rsidR="00D20056" w:rsidRPr="0012264C">
        <w:rPr>
          <w:rFonts w:asciiTheme="minorHAnsi" w:hAnsiTheme="minorHAnsi" w:cstheme="minorHAnsi"/>
          <w:sz w:val="24"/>
          <w:szCs w:val="24"/>
        </w:rPr>
        <w:t xml:space="preserve">come input dell’ottimizzazione vincolata che restituisce </w:t>
      </w:r>
      <w:r w:rsidR="00AC2570" w:rsidRPr="0012264C">
        <w:rPr>
          <w:rFonts w:asciiTheme="minorHAnsi" w:hAnsiTheme="minorHAnsi" w:cstheme="minorHAnsi"/>
          <w:sz w:val="24"/>
          <w:szCs w:val="24"/>
        </w:rPr>
        <w:t>la frontiera efficiente</w:t>
      </w:r>
      <w:r w:rsidR="00D20056" w:rsidRPr="0012264C">
        <w:rPr>
          <w:rFonts w:asciiTheme="minorHAnsi" w:hAnsiTheme="minorHAnsi" w:cstheme="minorHAnsi"/>
          <w:sz w:val="24"/>
          <w:szCs w:val="24"/>
        </w:rPr>
        <w:t xml:space="preserve"> ex-post</w:t>
      </w:r>
      <w:r w:rsidR="00AC2570" w:rsidRPr="0012264C">
        <w:rPr>
          <w:rFonts w:asciiTheme="minorHAnsi" w:hAnsiTheme="minorHAnsi" w:cstheme="minorHAnsi"/>
          <w:sz w:val="24"/>
          <w:szCs w:val="24"/>
        </w:rPr>
        <w:t>.</w:t>
      </w:r>
    </w:p>
    <w:p w:rsidR="006E1163" w:rsidRPr="0012264C" w:rsidRDefault="006E1163" w:rsidP="003710BD">
      <w:pPr>
        <w:spacing w:line="360" w:lineRule="auto"/>
        <w:jc w:val="both"/>
        <w:rPr>
          <w:rFonts w:asciiTheme="minorHAnsi" w:hAnsiTheme="minorHAnsi" w:cstheme="minorHAnsi"/>
          <w:sz w:val="24"/>
          <w:szCs w:val="24"/>
        </w:rPr>
      </w:pPr>
      <w:r w:rsidRPr="0012264C">
        <w:rPr>
          <w:rFonts w:asciiTheme="minorHAnsi" w:hAnsiTheme="minorHAnsi" w:cstheme="minorHAnsi"/>
          <w:sz w:val="24"/>
          <w:szCs w:val="24"/>
        </w:rPr>
        <w:t>La frontiera efficiente</w:t>
      </w:r>
      <w:r w:rsidR="00D20056" w:rsidRPr="0012264C">
        <w:rPr>
          <w:rFonts w:asciiTheme="minorHAnsi" w:hAnsiTheme="minorHAnsi" w:cstheme="minorHAnsi"/>
          <w:sz w:val="24"/>
          <w:szCs w:val="24"/>
        </w:rPr>
        <w:t xml:space="preserve"> ex-post</w:t>
      </w:r>
      <w:r w:rsidR="00800406">
        <w:rPr>
          <w:rFonts w:asciiTheme="minorHAnsi" w:hAnsiTheme="minorHAnsi" w:cstheme="minorHAnsi"/>
          <w:sz w:val="24"/>
          <w:szCs w:val="24"/>
        </w:rPr>
        <w:t xml:space="preserve"> </w:t>
      </w:r>
      <w:r w:rsidR="00D20056" w:rsidRPr="0012264C">
        <w:rPr>
          <w:rFonts w:asciiTheme="minorHAnsi" w:hAnsiTheme="minorHAnsi" w:cstheme="minorHAnsi"/>
          <w:sz w:val="24"/>
          <w:szCs w:val="24"/>
        </w:rPr>
        <w:t>rappresenta, sul piano “deviazione standard; rendimento atteso”</w:t>
      </w:r>
      <w:r w:rsidRPr="0012264C">
        <w:rPr>
          <w:rFonts w:asciiTheme="minorHAnsi" w:hAnsiTheme="minorHAnsi" w:cstheme="minorHAnsi"/>
          <w:sz w:val="24"/>
          <w:szCs w:val="24"/>
        </w:rPr>
        <w:t xml:space="preserve">, </w:t>
      </w:r>
      <w:r w:rsidR="00D20056" w:rsidRPr="0012264C">
        <w:rPr>
          <w:rFonts w:asciiTheme="minorHAnsi" w:hAnsiTheme="minorHAnsi" w:cstheme="minorHAnsi"/>
          <w:sz w:val="24"/>
          <w:szCs w:val="24"/>
        </w:rPr>
        <w:t>l’insieme delle combinazioni [</w:t>
      </w:r>
      <w:r w:rsidR="00D20056" w:rsidRPr="0012264C">
        <w:rPr>
          <w:rFonts w:ascii="Symbol" w:hAnsi="Symbol" w:cstheme="minorHAnsi"/>
          <w:sz w:val="24"/>
          <w:szCs w:val="24"/>
        </w:rPr>
        <w:t></w:t>
      </w:r>
      <w:r w:rsidR="00D20056" w:rsidRPr="0012264C">
        <w:rPr>
          <w:rFonts w:asciiTheme="minorHAnsi" w:hAnsiTheme="minorHAnsi" w:cstheme="minorHAnsi"/>
          <w:sz w:val="24"/>
          <w:szCs w:val="24"/>
        </w:rPr>
        <w:t xml:space="preserve">; E(r)] </w:t>
      </w:r>
      <w:r w:rsidR="0060652E" w:rsidRPr="0012264C">
        <w:rPr>
          <w:rFonts w:asciiTheme="minorHAnsi" w:hAnsiTheme="minorHAnsi" w:cstheme="minorHAnsi"/>
          <w:sz w:val="24"/>
          <w:szCs w:val="24"/>
        </w:rPr>
        <w:t>dei portafogli in asset class che, nel rispetto dei vincoli di peso imposti nell’ottimizzazione, si caratterizzano per</w:t>
      </w:r>
      <w:r w:rsidRPr="0012264C">
        <w:rPr>
          <w:rFonts w:asciiTheme="minorHAnsi" w:hAnsiTheme="minorHAnsi" w:cstheme="minorHAnsi"/>
          <w:sz w:val="24"/>
          <w:szCs w:val="24"/>
        </w:rPr>
        <w:t xml:space="preserve"> il massimo rendimento </w:t>
      </w:r>
      <w:r w:rsidR="0060652E" w:rsidRPr="0012264C">
        <w:rPr>
          <w:rFonts w:asciiTheme="minorHAnsi" w:hAnsiTheme="minorHAnsi" w:cstheme="minorHAnsi"/>
          <w:sz w:val="24"/>
          <w:szCs w:val="24"/>
        </w:rPr>
        <w:t xml:space="preserve">atteso </w:t>
      </w:r>
      <w:r w:rsidRPr="0012264C">
        <w:rPr>
          <w:rFonts w:asciiTheme="minorHAnsi" w:hAnsiTheme="minorHAnsi" w:cstheme="minorHAnsi"/>
          <w:sz w:val="24"/>
          <w:szCs w:val="24"/>
        </w:rPr>
        <w:t xml:space="preserve">ottenibile dato un determinato </w:t>
      </w:r>
      <w:r w:rsidR="0060652E" w:rsidRPr="0012264C">
        <w:rPr>
          <w:rFonts w:asciiTheme="minorHAnsi" w:hAnsiTheme="minorHAnsi" w:cstheme="minorHAnsi"/>
          <w:sz w:val="24"/>
          <w:szCs w:val="24"/>
        </w:rPr>
        <w:t>livello di rischio</w:t>
      </w:r>
      <w:r w:rsidRPr="0012264C">
        <w:rPr>
          <w:rFonts w:asciiTheme="minorHAnsi" w:hAnsiTheme="minorHAnsi" w:cstheme="minorHAnsi"/>
          <w:sz w:val="24"/>
          <w:szCs w:val="24"/>
        </w:rPr>
        <w:t>.</w:t>
      </w:r>
    </w:p>
    <w:p w:rsidR="006E1163" w:rsidRPr="0012264C" w:rsidRDefault="0060652E" w:rsidP="003710BD">
      <w:pPr>
        <w:spacing w:line="360" w:lineRule="auto"/>
        <w:jc w:val="both"/>
        <w:rPr>
          <w:rFonts w:asciiTheme="minorHAnsi" w:hAnsiTheme="minorHAnsi" w:cstheme="minorHAnsi"/>
          <w:sz w:val="24"/>
          <w:szCs w:val="24"/>
        </w:rPr>
      </w:pPr>
      <w:r w:rsidRPr="0012264C">
        <w:rPr>
          <w:rFonts w:asciiTheme="minorHAnsi" w:hAnsiTheme="minorHAnsi" w:cstheme="minorHAnsi"/>
          <w:sz w:val="24"/>
          <w:szCs w:val="24"/>
        </w:rPr>
        <w:t xml:space="preserve">L’ottimizzazione media-varianza utilizzata da CheBanca! presuppone l’introduzione di ulteriori vincoli rispetto a quelli standard del modello di Markowitz. Nello specifico, al fine di assicurare la ragionevolezza, </w:t>
      </w:r>
      <w:r w:rsidR="007979F4">
        <w:rPr>
          <w:rFonts w:asciiTheme="minorHAnsi" w:hAnsiTheme="minorHAnsi" w:cstheme="minorHAnsi"/>
          <w:sz w:val="24"/>
          <w:szCs w:val="24"/>
        </w:rPr>
        <w:t xml:space="preserve">la </w:t>
      </w:r>
      <w:r w:rsidRPr="0012264C">
        <w:rPr>
          <w:rFonts w:asciiTheme="minorHAnsi" w:hAnsiTheme="minorHAnsi" w:cstheme="minorHAnsi"/>
          <w:sz w:val="24"/>
          <w:szCs w:val="24"/>
        </w:rPr>
        <w:t xml:space="preserve">stabilità e </w:t>
      </w:r>
      <w:r w:rsidR="007979F4">
        <w:rPr>
          <w:rFonts w:asciiTheme="minorHAnsi" w:hAnsiTheme="minorHAnsi" w:cstheme="minorHAnsi"/>
          <w:sz w:val="24"/>
          <w:szCs w:val="24"/>
        </w:rPr>
        <w:t xml:space="preserve">la </w:t>
      </w:r>
      <w:r w:rsidRPr="0012264C">
        <w:rPr>
          <w:rFonts w:asciiTheme="minorHAnsi" w:hAnsiTheme="minorHAnsi" w:cstheme="minorHAnsi"/>
          <w:sz w:val="24"/>
          <w:szCs w:val="24"/>
        </w:rPr>
        <w:t>minore esposizione all’errore di stima, vengono</w:t>
      </w:r>
      <w:r w:rsidR="00800406">
        <w:rPr>
          <w:rFonts w:asciiTheme="minorHAnsi" w:hAnsiTheme="minorHAnsi" w:cstheme="minorHAnsi"/>
          <w:sz w:val="24"/>
          <w:szCs w:val="24"/>
        </w:rPr>
        <w:t xml:space="preserve"> </w:t>
      </w:r>
      <w:r w:rsidR="002B4509" w:rsidRPr="0012264C">
        <w:rPr>
          <w:rFonts w:asciiTheme="minorHAnsi" w:hAnsiTheme="minorHAnsi" w:cstheme="minorHAnsi"/>
          <w:sz w:val="24"/>
          <w:szCs w:val="24"/>
        </w:rPr>
        <w:t>utilizzate le seguenti tipologie di vincolo</w:t>
      </w:r>
      <w:r w:rsidRPr="0012264C">
        <w:rPr>
          <w:rFonts w:asciiTheme="minorHAnsi" w:hAnsiTheme="minorHAnsi" w:cstheme="minorHAnsi"/>
          <w:sz w:val="24"/>
          <w:szCs w:val="24"/>
        </w:rPr>
        <w:t>:</w:t>
      </w:r>
    </w:p>
    <w:p w:rsidR="00AC2570" w:rsidRPr="007979F4" w:rsidRDefault="007979F4" w:rsidP="00AC2570">
      <w:pPr>
        <w:numPr>
          <w:ilvl w:val="0"/>
          <w:numId w:val="30"/>
        </w:numPr>
        <w:spacing w:line="360" w:lineRule="auto"/>
        <w:jc w:val="both"/>
        <w:rPr>
          <w:rFonts w:asciiTheme="minorHAnsi" w:hAnsiTheme="minorHAnsi" w:cstheme="minorHAnsi"/>
          <w:sz w:val="24"/>
          <w:szCs w:val="24"/>
        </w:rPr>
      </w:pPr>
      <w:r w:rsidRPr="007979F4">
        <w:rPr>
          <w:rFonts w:asciiTheme="minorHAnsi" w:hAnsiTheme="minorHAnsi" w:cstheme="minorHAnsi"/>
          <w:bCs/>
          <w:sz w:val="24"/>
          <w:szCs w:val="24"/>
        </w:rPr>
        <w:t>l</w:t>
      </w:r>
      <w:r w:rsidR="00AC2570" w:rsidRPr="007979F4">
        <w:rPr>
          <w:rFonts w:asciiTheme="minorHAnsi" w:hAnsiTheme="minorHAnsi" w:cstheme="minorHAnsi"/>
          <w:bCs/>
          <w:sz w:val="24"/>
          <w:szCs w:val="24"/>
        </w:rPr>
        <w:t xml:space="preserve">imiti di peso infragruppo </w:t>
      </w:r>
      <w:r w:rsidR="00AC2570" w:rsidRPr="007979F4">
        <w:rPr>
          <w:rFonts w:asciiTheme="minorHAnsi" w:hAnsiTheme="minorHAnsi" w:cstheme="minorHAnsi"/>
          <w:sz w:val="24"/>
          <w:szCs w:val="24"/>
        </w:rPr>
        <w:t xml:space="preserve">(limite minimo e </w:t>
      </w:r>
      <w:r w:rsidR="009B6BA5">
        <w:rPr>
          <w:rFonts w:asciiTheme="minorHAnsi" w:hAnsiTheme="minorHAnsi" w:cstheme="minorHAnsi"/>
          <w:sz w:val="24"/>
          <w:szCs w:val="24"/>
        </w:rPr>
        <w:t xml:space="preserve">massimo </w:t>
      </w:r>
      <w:r w:rsidR="00AC2570" w:rsidRPr="007979F4">
        <w:rPr>
          <w:rFonts w:asciiTheme="minorHAnsi" w:hAnsiTheme="minorHAnsi" w:cstheme="minorHAnsi"/>
          <w:sz w:val="24"/>
          <w:szCs w:val="24"/>
        </w:rPr>
        <w:t>di peso di ciascuna asset class all’interno del gruppo di appartenenza)</w:t>
      </w:r>
      <w:r w:rsidR="0060652E" w:rsidRPr="007979F4">
        <w:rPr>
          <w:rFonts w:asciiTheme="minorHAnsi" w:hAnsiTheme="minorHAnsi" w:cstheme="minorHAnsi"/>
          <w:sz w:val="24"/>
          <w:szCs w:val="24"/>
        </w:rPr>
        <w:t>;</w:t>
      </w:r>
    </w:p>
    <w:p w:rsidR="00AC2570" w:rsidRPr="007979F4" w:rsidRDefault="007979F4" w:rsidP="00AC2570">
      <w:pPr>
        <w:numPr>
          <w:ilvl w:val="0"/>
          <w:numId w:val="30"/>
        </w:numPr>
        <w:spacing w:line="360" w:lineRule="auto"/>
        <w:jc w:val="both"/>
        <w:rPr>
          <w:rFonts w:asciiTheme="minorHAnsi" w:hAnsiTheme="minorHAnsi" w:cstheme="minorHAnsi"/>
          <w:sz w:val="24"/>
          <w:szCs w:val="24"/>
        </w:rPr>
      </w:pPr>
      <w:r w:rsidRPr="007979F4">
        <w:rPr>
          <w:rFonts w:asciiTheme="minorHAnsi" w:hAnsiTheme="minorHAnsi" w:cstheme="minorHAnsi"/>
          <w:bCs/>
          <w:sz w:val="24"/>
          <w:szCs w:val="24"/>
        </w:rPr>
        <w:t>l</w:t>
      </w:r>
      <w:r w:rsidR="00AC2570" w:rsidRPr="007979F4">
        <w:rPr>
          <w:rFonts w:asciiTheme="minorHAnsi" w:hAnsiTheme="minorHAnsi" w:cstheme="minorHAnsi"/>
          <w:bCs/>
          <w:sz w:val="24"/>
          <w:szCs w:val="24"/>
        </w:rPr>
        <w:t xml:space="preserve">imiti di peso assoluti </w:t>
      </w:r>
      <w:r w:rsidR="00AC2570" w:rsidRPr="007979F4">
        <w:rPr>
          <w:rFonts w:asciiTheme="minorHAnsi" w:hAnsiTheme="minorHAnsi" w:cstheme="minorHAnsi"/>
          <w:sz w:val="24"/>
          <w:szCs w:val="24"/>
        </w:rPr>
        <w:t xml:space="preserve">(limite minimo e </w:t>
      </w:r>
      <w:r w:rsidR="009B6BA5">
        <w:rPr>
          <w:rFonts w:asciiTheme="minorHAnsi" w:hAnsiTheme="minorHAnsi" w:cstheme="minorHAnsi"/>
          <w:sz w:val="24"/>
          <w:szCs w:val="24"/>
        </w:rPr>
        <w:t xml:space="preserve">massimo </w:t>
      </w:r>
      <w:r w:rsidR="00AC2570" w:rsidRPr="007979F4">
        <w:rPr>
          <w:rFonts w:asciiTheme="minorHAnsi" w:hAnsiTheme="minorHAnsi" w:cstheme="minorHAnsi"/>
          <w:sz w:val="24"/>
          <w:szCs w:val="24"/>
        </w:rPr>
        <w:t xml:space="preserve">di peso di </w:t>
      </w:r>
      <w:r w:rsidR="002B4509" w:rsidRPr="007979F4">
        <w:rPr>
          <w:rFonts w:asciiTheme="minorHAnsi" w:hAnsiTheme="minorHAnsi" w:cstheme="minorHAnsi"/>
          <w:sz w:val="24"/>
          <w:szCs w:val="24"/>
        </w:rPr>
        <w:t>una</w:t>
      </w:r>
      <w:r w:rsidR="00AC2570" w:rsidRPr="007979F4">
        <w:rPr>
          <w:rFonts w:asciiTheme="minorHAnsi" w:hAnsiTheme="minorHAnsi" w:cstheme="minorHAnsi"/>
          <w:sz w:val="24"/>
          <w:szCs w:val="24"/>
        </w:rPr>
        <w:t xml:space="preserve"> asset class all’interno dei portafogli)</w:t>
      </w:r>
      <w:r w:rsidR="002B4509" w:rsidRPr="007979F4">
        <w:rPr>
          <w:rFonts w:asciiTheme="minorHAnsi" w:hAnsiTheme="minorHAnsi" w:cstheme="minorHAnsi"/>
          <w:sz w:val="24"/>
          <w:szCs w:val="24"/>
        </w:rPr>
        <w:t>;</w:t>
      </w:r>
    </w:p>
    <w:p w:rsidR="00AC2570" w:rsidRPr="007979F4" w:rsidRDefault="007979F4" w:rsidP="00AC2570">
      <w:pPr>
        <w:numPr>
          <w:ilvl w:val="0"/>
          <w:numId w:val="30"/>
        </w:numPr>
        <w:spacing w:line="360" w:lineRule="auto"/>
        <w:jc w:val="both"/>
        <w:rPr>
          <w:rFonts w:asciiTheme="minorHAnsi" w:hAnsiTheme="minorHAnsi" w:cstheme="minorHAnsi"/>
          <w:sz w:val="24"/>
          <w:szCs w:val="24"/>
        </w:rPr>
      </w:pPr>
      <w:r w:rsidRPr="007979F4">
        <w:rPr>
          <w:rFonts w:asciiTheme="minorHAnsi" w:hAnsiTheme="minorHAnsi" w:cstheme="minorHAnsi"/>
          <w:bCs/>
          <w:sz w:val="24"/>
          <w:szCs w:val="24"/>
        </w:rPr>
        <w:t>l</w:t>
      </w:r>
      <w:r w:rsidR="00AC2570" w:rsidRPr="007979F4">
        <w:rPr>
          <w:rFonts w:asciiTheme="minorHAnsi" w:hAnsiTheme="minorHAnsi" w:cstheme="minorHAnsi"/>
          <w:bCs/>
          <w:sz w:val="24"/>
          <w:szCs w:val="24"/>
        </w:rPr>
        <w:t xml:space="preserve">imite di peso assoluto per ciascun gruppo </w:t>
      </w:r>
      <w:r w:rsidR="00AC2570" w:rsidRPr="007979F4">
        <w:rPr>
          <w:rFonts w:asciiTheme="minorHAnsi" w:hAnsiTheme="minorHAnsi" w:cstheme="minorHAnsi"/>
          <w:sz w:val="24"/>
          <w:szCs w:val="24"/>
        </w:rPr>
        <w:t>(limite min</w:t>
      </w:r>
      <w:r w:rsidR="009B6BA5">
        <w:rPr>
          <w:rFonts w:asciiTheme="minorHAnsi" w:hAnsiTheme="minorHAnsi" w:cstheme="minorHAnsi"/>
          <w:sz w:val="24"/>
          <w:szCs w:val="24"/>
        </w:rPr>
        <w:t xml:space="preserve">imo e massimo </w:t>
      </w:r>
      <w:r w:rsidR="00AC2570" w:rsidRPr="007979F4">
        <w:rPr>
          <w:rFonts w:asciiTheme="minorHAnsi" w:hAnsiTheme="minorHAnsi" w:cstheme="minorHAnsi"/>
          <w:sz w:val="24"/>
          <w:szCs w:val="24"/>
        </w:rPr>
        <w:t>di peso che ciascun gruppo può assumere all’interno dei portafogli)</w:t>
      </w:r>
      <w:r w:rsidR="002B4509" w:rsidRPr="007979F4">
        <w:rPr>
          <w:rFonts w:asciiTheme="minorHAnsi" w:hAnsiTheme="minorHAnsi" w:cstheme="minorHAnsi"/>
          <w:sz w:val="24"/>
          <w:szCs w:val="24"/>
        </w:rPr>
        <w:t>;</w:t>
      </w:r>
    </w:p>
    <w:p w:rsidR="00AC2570" w:rsidRPr="007979F4" w:rsidRDefault="007979F4" w:rsidP="00AC2570">
      <w:pPr>
        <w:numPr>
          <w:ilvl w:val="0"/>
          <w:numId w:val="30"/>
        </w:numPr>
        <w:spacing w:line="360" w:lineRule="auto"/>
        <w:jc w:val="both"/>
        <w:rPr>
          <w:rFonts w:asciiTheme="minorHAnsi" w:hAnsiTheme="minorHAnsi" w:cstheme="minorHAnsi"/>
          <w:sz w:val="24"/>
          <w:szCs w:val="24"/>
        </w:rPr>
      </w:pPr>
      <w:r w:rsidRPr="007979F4">
        <w:rPr>
          <w:rFonts w:asciiTheme="minorHAnsi" w:hAnsiTheme="minorHAnsi" w:cstheme="minorHAnsi"/>
          <w:bCs/>
          <w:sz w:val="24"/>
          <w:szCs w:val="24"/>
        </w:rPr>
        <w:lastRenderedPageBreak/>
        <w:t>l</w:t>
      </w:r>
      <w:r w:rsidR="00AC2570" w:rsidRPr="007979F4">
        <w:rPr>
          <w:rFonts w:asciiTheme="minorHAnsi" w:hAnsiTheme="minorHAnsi" w:cstheme="minorHAnsi"/>
          <w:bCs/>
          <w:sz w:val="24"/>
          <w:szCs w:val="24"/>
        </w:rPr>
        <w:t xml:space="preserve">imiti di peso relativi tra gruppi </w:t>
      </w:r>
      <w:r w:rsidR="00AC2570" w:rsidRPr="007979F4">
        <w:rPr>
          <w:rFonts w:asciiTheme="minorHAnsi" w:hAnsiTheme="minorHAnsi" w:cstheme="minorHAnsi"/>
          <w:sz w:val="24"/>
          <w:szCs w:val="24"/>
        </w:rPr>
        <w:t>(limite min</w:t>
      </w:r>
      <w:r w:rsidR="009B6BA5">
        <w:rPr>
          <w:rFonts w:asciiTheme="minorHAnsi" w:hAnsiTheme="minorHAnsi" w:cstheme="minorHAnsi"/>
          <w:sz w:val="24"/>
          <w:szCs w:val="24"/>
        </w:rPr>
        <w:t xml:space="preserve">imo e massimo </w:t>
      </w:r>
      <w:r w:rsidR="00AC2570" w:rsidRPr="007979F4">
        <w:rPr>
          <w:rFonts w:asciiTheme="minorHAnsi" w:hAnsiTheme="minorHAnsi" w:cstheme="minorHAnsi"/>
          <w:sz w:val="24"/>
          <w:szCs w:val="24"/>
        </w:rPr>
        <w:t xml:space="preserve">di peso che un gruppo di asset class può assumere </w:t>
      </w:r>
      <w:r w:rsidR="002B4509" w:rsidRPr="007979F4">
        <w:rPr>
          <w:rFonts w:asciiTheme="minorHAnsi" w:hAnsiTheme="minorHAnsi" w:cstheme="minorHAnsi"/>
          <w:sz w:val="24"/>
          <w:szCs w:val="24"/>
        </w:rPr>
        <w:t>rispetto a</w:t>
      </w:r>
      <w:r w:rsidR="00AC2570" w:rsidRPr="007979F4">
        <w:rPr>
          <w:rFonts w:asciiTheme="minorHAnsi" w:hAnsiTheme="minorHAnsi" w:cstheme="minorHAnsi"/>
          <w:sz w:val="24"/>
          <w:szCs w:val="24"/>
        </w:rPr>
        <w:t>l peso</w:t>
      </w:r>
      <w:r w:rsidR="002B4509" w:rsidRPr="007979F4">
        <w:rPr>
          <w:rFonts w:asciiTheme="minorHAnsi" w:hAnsiTheme="minorHAnsi" w:cstheme="minorHAnsi"/>
          <w:sz w:val="24"/>
          <w:szCs w:val="24"/>
        </w:rPr>
        <w:t xml:space="preserve"> assunto</w:t>
      </w:r>
      <w:r w:rsidR="00800406">
        <w:rPr>
          <w:rFonts w:asciiTheme="minorHAnsi" w:hAnsiTheme="minorHAnsi" w:cstheme="minorHAnsi"/>
          <w:sz w:val="24"/>
          <w:szCs w:val="24"/>
        </w:rPr>
        <w:t xml:space="preserve"> </w:t>
      </w:r>
      <w:r w:rsidR="002B4509" w:rsidRPr="007979F4">
        <w:rPr>
          <w:rFonts w:asciiTheme="minorHAnsi" w:hAnsiTheme="minorHAnsi" w:cstheme="minorHAnsi"/>
          <w:sz w:val="24"/>
          <w:szCs w:val="24"/>
        </w:rPr>
        <w:t>da</w:t>
      </w:r>
      <w:r w:rsidR="00AC2570" w:rsidRPr="007979F4">
        <w:rPr>
          <w:rFonts w:asciiTheme="minorHAnsi" w:hAnsiTheme="minorHAnsi" w:cstheme="minorHAnsi"/>
          <w:sz w:val="24"/>
          <w:szCs w:val="24"/>
        </w:rPr>
        <w:t xml:space="preserve"> un altro gruppo)</w:t>
      </w:r>
      <w:r w:rsidR="002B4509" w:rsidRPr="007979F4">
        <w:rPr>
          <w:rFonts w:asciiTheme="minorHAnsi" w:hAnsiTheme="minorHAnsi" w:cstheme="minorHAnsi"/>
          <w:sz w:val="24"/>
          <w:szCs w:val="24"/>
        </w:rPr>
        <w:t>.</w:t>
      </w:r>
    </w:p>
    <w:p w:rsidR="006B7620" w:rsidRDefault="006B7620" w:rsidP="00AC2570">
      <w:pPr>
        <w:spacing w:line="360" w:lineRule="auto"/>
        <w:jc w:val="both"/>
        <w:rPr>
          <w:rFonts w:asciiTheme="minorHAnsi" w:hAnsiTheme="minorHAnsi" w:cstheme="minorHAnsi"/>
          <w:sz w:val="24"/>
          <w:szCs w:val="24"/>
        </w:rPr>
      </w:pPr>
    </w:p>
    <w:p w:rsidR="006E1163" w:rsidRPr="00C85453" w:rsidRDefault="006E1163" w:rsidP="00AC2570">
      <w:pPr>
        <w:spacing w:line="360" w:lineRule="auto"/>
        <w:jc w:val="both"/>
        <w:rPr>
          <w:rFonts w:asciiTheme="minorHAnsi" w:hAnsiTheme="minorHAnsi" w:cstheme="minorHAnsi"/>
          <w:sz w:val="24"/>
          <w:szCs w:val="24"/>
        </w:rPr>
      </w:pPr>
      <w:r w:rsidRPr="007979F4">
        <w:rPr>
          <w:rFonts w:asciiTheme="minorHAnsi" w:hAnsiTheme="minorHAnsi" w:cstheme="minorHAnsi"/>
          <w:sz w:val="24"/>
          <w:szCs w:val="24"/>
        </w:rPr>
        <w:t>L’utilizz</w:t>
      </w:r>
      <w:r w:rsidRPr="0012264C">
        <w:rPr>
          <w:rFonts w:asciiTheme="minorHAnsi" w:hAnsiTheme="minorHAnsi" w:cstheme="minorHAnsi"/>
          <w:sz w:val="24"/>
          <w:szCs w:val="24"/>
        </w:rPr>
        <w:t>o di vincoli</w:t>
      </w:r>
      <w:r w:rsidR="002B4509" w:rsidRPr="0012264C">
        <w:rPr>
          <w:rFonts w:asciiTheme="minorHAnsi" w:hAnsiTheme="minorHAnsi" w:cstheme="minorHAnsi"/>
          <w:sz w:val="24"/>
          <w:szCs w:val="24"/>
        </w:rPr>
        <w:t>,</w:t>
      </w:r>
      <w:r w:rsidRPr="0012264C">
        <w:rPr>
          <w:rFonts w:asciiTheme="minorHAnsi" w:hAnsiTheme="minorHAnsi" w:cstheme="minorHAnsi"/>
          <w:sz w:val="24"/>
          <w:szCs w:val="24"/>
        </w:rPr>
        <w:t xml:space="preserve"> sia assoluti che relativi</w:t>
      </w:r>
      <w:r w:rsidR="002B4509" w:rsidRPr="0012264C">
        <w:rPr>
          <w:rFonts w:asciiTheme="minorHAnsi" w:hAnsiTheme="minorHAnsi" w:cstheme="minorHAnsi"/>
          <w:sz w:val="24"/>
          <w:szCs w:val="24"/>
        </w:rPr>
        <w:t>,</w:t>
      </w:r>
      <w:r w:rsidR="00800406">
        <w:rPr>
          <w:rFonts w:asciiTheme="minorHAnsi" w:hAnsiTheme="minorHAnsi" w:cstheme="minorHAnsi"/>
          <w:sz w:val="24"/>
          <w:szCs w:val="24"/>
        </w:rPr>
        <w:t xml:space="preserve"> </w:t>
      </w:r>
      <w:r w:rsidR="002B4509" w:rsidRPr="0012264C">
        <w:rPr>
          <w:rFonts w:asciiTheme="minorHAnsi" w:hAnsiTheme="minorHAnsi" w:cstheme="minorHAnsi"/>
          <w:sz w:val="24"/>
          <w:szCs w:val="24"/>
        </w:rPr>
        <w:t>favorisce</w:t>
      </w:r>
      <w:r w:rsidRPr="0012264C">
        <w:rPr>
          <w:rFonts w:asciiTheme="minorHAnsi" w:hAnsiTheme="minorHAnsi" w:cstheme="minorHAnsi"/>
          <w:sz w:val="24"/>
          <w:szCs w:val="24"/>
        </w:rPr>
        <w:t xml:space="preserve"> una maggiore diversificazione di portafoglio</w:t>
      </w:r>
      <w:r w:rsidR="002B4509" w:rsidRPr="0012264C">
        <w:rPr>
          <w:rFonts w:asciiTheme="minorHAnsi" w:hAnsiTheme="minorHAnsi" w:cstheme="minorHAnsi"/>
          <w:sz w:val="24"/>
          <w:szCs w:val="24"/>
        </w:rPr>
        <w:t>; ed è proprio grazie a questa diversificazione che viene risolto il problema prevalente della esposizione all’errore di stima</w:t>
      </w:r>
      <w:r w:rsidRPr="0012264C">
        <w:rPr>
          <w:rFonts w:asciiTheme="minorHAnsi" w:hAnsiTheme="minorHAnsi" w:cstheme="minorHAnsi"/>
          <w:sz w:val="24"/>
          <w:szCs w:val="24"/>
        </w:rPr>
        <w:t xml:space="preserve">. </w:t>
      </w:r>
      <w:r w:rsidR="002B4509" w:rsidRPr="0012264C">
        <w:rPr>
          <w:rFonts w:asciiTheme="minorHAnsi" w:hAnsiTheme="minorHAnsi" w:cstheme="minorHAnsi"/>
          <w:sz w:val="24"/>
          <w:szCs w:val="24"/>
        </w:rPr>
        <w:t>L</w:t>
      </w:r>
      <w:r w:rsidRPr="0012264C">
        <w:rPr>
          <w:rFonts w:asciiTheme="minorHAnsi" w:hAnsiTheme="minorHAnsi" w:cstheme="minorHAnsi"/>
          <w:sz w:val="24"/>
          <w:szCs w:val="24"/>
        </w:rPr>
        <w:t>’utilizzo di tali vincoli determina l’individuazione di una frontiera efficiente che</w:t>
      </w:r>
      <w:r w:rsidR="002B4509" w:rsidRPr="0012264C">
        <w:rPr>
          <w:rFonts w:asciiTheme="minorHAnsi" w:hAnsiTheme="minorHAnsi" w:cstheme="minorHAnsi"/>
          <w:sz w:val="24"/>
          <w:szCs w:val="24"/>
        </w:rPr>
        <w:t xml:space="preserve"> sul piano “deviazione standard; rendimento atteso”</w:t>
      </w:r>
      <w:r w:rsidR="00800406">
        <w:rPr>
          <w:rFonts w:asciiTheme="minorHAnsi" w:hAnsiTheme="minorHAnsi" w:cstheme="minorHAnsi"/>
          <w:sz w:val="24"/>
          <w:szCs w:val="24"/>
        </w:rPr>
        <w:t xml:space="preserve"> </w:t>
      </w:r>
      <w:r w:rsidRPr="0012264C">
        <w:rPr>
          <w:rFonts w:asciiTheme="minorHAnsi" w:hAnsiTheme="minorHAnsi" w:cstheme="minorHAnsi"/>
          <w:sz w:val="24"/>
          <w:szCs w:val="24"/>
        </w:rPr>
        <w:t>risulta essere</w:t>
      </w:r>
      <w:r w:rsidR="002B4509" w:rsidRPr="0012264C">
        <w:rPr>
          <w:rFonts w:asciiTheme="minorHAnsi" w:hAnsiTheme="minorHAnsi" w:cstheme="minorHAnsi"/>
          <w:sz w:val="24"/>
          <w:szCs w:val="24"/>
        </w:rPr>
        <w:t>, ex-ante,</w:t>
      </w:r>
      <w:r w:rsidRPr="0012264C">
        <w:rPr>
          <w:rFonts w:asciiTheme="minorHAnsi" w:hAnsiTheme="minorHAnsi" w:cstheme="minorHAnsi"/>
          <w:sz w:val="24"/>
          <w:szCs w:val="24"/>
        </w:rPr>
        <w:t xml:space="preserve"> sempre </w:t>
      </w:r>
      <w:r w:rsidR="002B4509" w:rsidRPr="0012264C">
        <w:rPr>
          <w:rFonts w:asciiTheme="minorHAnsi" w:hAnsiTheme="minorHAnsi" w:cstheme="minorHAnsi"/>
          <w:sz w:val="24"/>
          <w:szCs w:val="24"/>
        </w:rPr>
        <w:t>più in basso rispetto</w:t>
      </w:r>
      <w:r w:rsidRPr="0012264C">
        <w:rPr>
          <w:rFonts w:asciiTheme="minorHAnsi" w:hAnsiTheme="minorHAnsi" w:cstheme="minorHAnsi"/>
          <w:sz w:val="24"/>
          <w:szCs w:val="24"/>
        </w:rPr>
        <w:t xml:space="preserve"> alla frontiera efficiente non vincolata; ciò significa che</w:t>
      </w:r>
      <w:r w:rsidR="007979F4">
        <w:rPr>
          <w:rFonts w:asciiTheme="minorHAnsi" w:hAnsiTheme="minorHAnsi" w:cstheme="minorHAnsi"/>
          <w:sz w:val="24"/>
          <w:szCs w:val="24"/>
        </w:rPr>
        <w:t>,</w:t>
      </w:r>
      <w:r w:rsidRPr="0012264C">
        <w:rPr>
          <w:rFonts w:asciiTheme="minorHAnsi" w:hAnsiTheme="minorHAnsi" w:cstheme="minorHAnsi"/>
          <w:sz w:val="24"/>
          <w:szCs w:val="24"/>
        </w:rPr>
        <w:t xml:space="preserve"> a parità di rischio, </w:t>
      </w:r>
      <w:r w:rsidR="002B4509" w:rsidRPr="0012264C">
        <w:rPr>
          <w:rFonts w:asciiTheme="minorHAnsi" w:hAnsiTheme="minorHAnsi" w:cstheme="minorHAnsi"/>
          <w:sz w:val="24"/>
          <w:szCs w:val="24"/>
        </w:rPr>
        <w:t>l’introduzione</w:t>
      </w:r>
      <w:r w:rsidRPr="0012264C">
        <w:rPr>
          <w:rFonts w:asciiTheme="minorHAnsi" w:hAnsiTheme="minorHAnsi" w:cstheme="minorHAnsi"/>
          <w:sz w:val="24"/>
          <w:szCs w:val="24"/>
        </w:rPr>
        <w:t xml:space="preserve"> dei vincoli comporta l’individuazione di un portafoglio con rendimento</w:t>
      </w:r>
      <w:r w:rsidR="002B4509" w:rsidRPr="0012264C">
        <w:rPr>
          <w:rFonts w:asciiTheme="minorHAnsi" w:hAnsiTheme="minorHAnsi" w:cstheme="minorHAnsi"/>
          <w:sz w:val="24"/>
          <w:szCs w:val="24"/>
        </w:rPr>
        <w:t xml:space="preserve"> atteso</w:t>
      </w:r>
      <w:r w:rsidRPr="0012264C">
        <w:rPr>
          <w:rFonts w:asciiTheme="minorHAnsi" w:hAnsiTheme="minorHAnsi" w:cstheme="minorHAnsi"/>
          <w:sz w:val="24"/>
          <w:szCs w:val="24"/>
        </w:rPr>
        <w:t xml:space="preserve"> minore rispetto a quello</w:t>
      </w:r>
      <w:r w:rsidR="002B4509" w:rsidRPr="0012264C">
        <w:rPr>
          <w:rFonts w:asciiTheme="minorHAnsi" w:hAnsiTheme="minorHAnsi" w:cstheme="minorHAnsi"/>
          <w:sz w:val="24"/>
          <w:szCs w:val="24"/>
        </w:rPr>
        <w:t xml:space="preserve"> di un portafoglio</w:t>
      </w:r>
      <w:r w:rsidRPr="0012264C">
        <w:rPr>
          <w:rFonts w:asciiTheme="minorHAnsi" w:hAnsiTheme="minorHAnsi" w:cstheme="minorHAnsi"/>
          <w:sz w:val="24"/>
          <w:szCs w:val="24"/>
        </w:rPr>
        <w:t xml:space="preserve"> individuato sulla frontiera efficiente non vincolata</w:t>
      </w:r>
      <w:r w:rsidR="002B4509" w:rsidRPr="0012264C">
        <w:rPr>
          <w:rFonts w:asciiTheme="minorHAnsi" w:hAnsiTheme="minorHAnsi" w:cstheme="minorHAnsi"/>
          <w:sz w:val="24"/>
          <w:szCs w:val="24"/>
        </w:rPr>
        <w:t xml:space="preserve"> ed avente medesimo rischio</w:t>
      </w:r>
      <w:r w:rsidRPr="0012264C">
        <w:rPr>
          <w:rFonts w:asciiTheme="minorHAnsi" w:hAnsiTheme="minorHAnsi" w:cstheme="minorHAnsi"/>
          <w:sz w:val="24"/>
          <w:szCs w:val="24"/>
        </w:rPr>
        <w:t>.</w:t>
      </w:r>
      <w:r w:rsidR="002B4509" w:rsidRPr="0012264C">
        <w:rPr>
          <w:rFonts w:asciiTheme="minorHAnsi" w:hAnsiTheme="minorHAnsi" w:cstheme="minorHAnsi"/>
          <w:sz w:val="24"/>
          <w:szCs w:val="24"/>
        </w:rPr>
        <w:t xml:space="preserve"> Tuttavia, grazie alla maggiore diversificazione il portafoglio ottenuto con l’ottimizzazione vincolata avrà, in caso di manifestazione degli errori di stima, una maggiore probabilità di sovra-performare il portafoglio non vincolato. Per tale ragione assumiamo che la frontiera vincolata sia</w:t>
      </w:r>
      <w:r w:rsidR="002B4509" w:rsidRPr="00C85453">
        <w:rPr>
          <w:rFonts w:asciiTheme="minorHAnsi" w:hAnsiTheme="minorHAnsi" w:cstheme="minorHAnsi"/>
          <w:sz w:val="24"/>
          <w:szCs w:val="24"/>
        </w:rPr>
        <w:t xml:space="preserve"> inefficiente ex-ante, ma</w:t>
      </w:r>
      <w:r w:rsidR="00800406">
        <w:rPr>
          <w:rFonts w:asciiTheme="minorHAnsi" w:hAnsiTheme="minorHAnsi" w:cstheme="minorHAnsi"/>
          <w:sz w:val="24"/>
          <w:szCs w:val="24"/>
        </w:rPr>
        <w:t xml:space="preserve"> </w:t>
      </w:r>
      <w:r w:rsidR="002B4509" w:rsidRPr="007979F4">
        <w:rPr>
          <w:rFonts w:asciiTheme="minorHAnsi" w:hAnsiTheme="minorHAnsi" w:cstheme="minorHAnsi"/>
          <w:i/>
          <w:sz w:val="24"/>
          <w:szCs w:val="24"/>
        </w:rPr>
        <w:t>efficiente ex-post</w:t>
      </w:r>
      <w:r w:rsidR="002B4509" w:rsidRPr="00C85453">
        <w:rPr>
          <w:rFonts w:asciiTheme="minorHAnsi" w:hAnsiTheme="minorHAnsi" w:cstheme="minorHAnsi"/>
          <w:sz w:val="24"/>
          <w:szCs w:val="24"/>
        </w:rPr>
        <w:t>.</w:t>
      </w:r>
    </w:p>
    <w:p w:rsidR="006E1163" w:rsidRPr="00C85453" w:rsidRDefault="00C85453" w:rsidP="003710BD">
      <w:pPr>
        <w:spacing w:line="360" w:lineRule="auto"/>
        <w:jc w:val="both"/>
        <w:rPr>
          <w:rFonts w:asciiTheme="minorHAnsi" w:hAnsiTheme="minorHAnsi" w:cstheme="minorHAnsi"/>
          <w:sz w:val="24"/>
          <w:szCs w:val="24"/>
        </w:rPr>
      </w:pPr>
      <w:r w:rsidRPr="00C85453">
        <w:rPr>
          <w:rFonts w:asciiTheme="minorHAnsi" w:hAnsiTheme="minorHAnsi" w:cstheme="minorHAnsi"/>
          <w:sz w:val="24"/>
          <w:szCs w:val="24"/>
        </w:rPr>
        <w:t xml:space="preserve">Inoltre, nel processo di </w:t>
      </w:r>
      <w:r>
        <w:rPr>
          <w:rFonts w:asciiTheme="minorHAnsi" w:hAnsiTheme="minorHAnsi" w:cstheme="minorHAnsi"/>
          <w:sz w:val="24"/>
          <w:szCs w:val="24"/>
        </w:rPr>
        <w:t>ottimizzazione, si è aggiunto un vincolo extra grazie al quale i portafogli in asset class presentano un numero di decimali p</w:t>
      </w:r>
      <w:r w:rsidR="007979F4">
        <w:rPr>
          <w:rFonts w:asciiTheme="minorHAnsi" w:hAnsiTheme="minorHAnsi" w:cstheme="minorHAnsi"/>
          <w:sz w:val="24"/>
          <w:szCs w:val="24"/>
        </w:rPr>
        <w:t>a</w:t>
      </w:r>
      <w:r>
        <w:rPr>
          <w:rFonts w:asciiTheme="minorHAnsi" w:hAnsiTheme="minorHAnsi" w:cstheme="minorHAnsi"/>
          <w:sz w:val="24"/>
          <w:szCs w:val="24"/>
        </w:rPr>
        <w:t>ri a 2.</w:t>
      </w:r>
    </w:p>
    <w:p w:rsidR="006B7620" w:rsidRDefault="006B7620" w:rsidP="003710BD">
      <w:pPr>
        <w:spacing w:line="360" w:lineRule="auto"/>
        <w:jc w:val="both"/>
        <w:rPr>
          <w:rFonts w:asciiTheme="minorHAnsi" w:eastAsiaTheme="minorHAnsi" w:hAnsiTheme="minorHAnsi" w:cstheme="minorHAnsi"/>
          <w:sz w:val="24"/>
          <w:szCs w:val="24"/>
        </w:rPr>
      </w:pPr>
    </w:p>
    <w:p w:rsidR="004B7266" w:rsidRPr="00E57F03" w:rsidRDefault="00E57F03" w:rsidP="003710BD">
      <w:pPr>
        <w:spacing w:line="360" w:lineRule="auto"/>
        <w:jc w:val="both"/>
        <w:rPr>
          <w:rFonts w:asciiTheme="minorHAnsi" w:eastAsiaTheme="minorHAnsi" w:hAnsiTheme="minorHAnsi" w:cstheme="minorHAnsi"/>
          <w:sz w:val="24"/>
          <w:szCs w:val="24"/>
        </w:rPr>
      </w:pPr>
      <w:r w:rsidRPr="00C85453">
        <w:rPr>
          <w:rFonts w:asciiTheme="minorHAnsi" w:eastAsiaTheme="minorHAnsi" w:hAnsiTheme="minorHAnsi" w:cstheme="minorHAnsi"/>
          <w:sz w:val="24"/>
          <w:szCs w:val="24"/>
        </w:rPr>
        <w:t>La</w:t>
      </w:r>
      <w:r w:rsidR="00800406">
        <w:rPr>
          <w:rFonts w:asciiTheme="minorHAnsi" w:eastAsiaTheme="minorHAnsi" w:hAnsiTheme="minorHAnsi" w:cstheme="minorHAnsi"/>
          <w:sz w:val="24"/>
          <w:szCs w:val="24"/>
        </w:rPr>
        <w:t xml:space="preserve"> </w:t>
      </w:r>
      <w:r w:rsidRPr="00C85453">
        <w:rPr>
          <w:rFonts w:asciiTheme="minorHAnsi" w:eastAsiaTheme="minorHAnsi" w:hAnsiTheme="minorHAnsi" w:cstheme="minorHAnsi"/>
          <w:sz w:val="24"/>
          <w:szCs w:val="24"/>
        </w:rPr>
        <w:t>fase di ottimizzazi</w:t>
      </w:r>
      <w:r w:rsidRPr="00E57F03">
        <w:rPr>
          <w:rFonts w:asciiTheme="minorHAnsi" w:eastAsiaTheme="minorHAnsi" w:hAnsiTheme="minorHAnsi" w:cstheme="minorHAnsi"/>
          <w:sz w:val="24"/>
          <w:szCs w:val="24"/>
        </w:rPr>
        <w:t>one</w:t>
      </w:r>
      <w:r w:rsidR="00CE76A2" w:rsidRPr="00E57F03">
        <w:rPr>
          <w:rFonts w:asciiTheme="minorHAnsi" w:eastAsiaTheme="minorHAnsi" w:hAnsiTheme="minorHAnsi" w:cstheme="minorHAnsi"/>
          <w:sz w:val="24"/>
          <w:szCs w:val="24"/>
        </w:rPr>
        <w:t xml:space="preserve"> ha permesso di identificare il ventaglio</w:t>
      </w:r>
      <w:r w:rsidR="008D48E1">
        <w:rPr>
          <w:rFonts w:asciiTheme="minorHAnsi" w:eastAsiaTheme="minorHAnsi" w:hAnsiTheme="minorHAnsi" w:cstheme="minorHAnsi"/>
          <w:sz w:val="24"/>
          <w:szCs w:val="24"/>
        </w:rPr>
        <w:t xml:space="preserve"> </w:t>
      </w:r>
      <w:r w:rsidR="00CE76A2" w:rsidRPr="00E57F03">
        <w:rPr>
          <w:rFonts w:asciiTheme="minorHAnsi" w:eastAsiaTheme="minorHAnsi" w:hAnsiTheme="minorHAnsi" w:cstheme="minorHAnsi"/>
          <w:sz w:val="24"/>
          <w:szCs w:val="24"/>
        </w:rPr>
        <w:t>(di numerosità definita pari a 300) dei portafogli strategici</w:t>
      </w:r>
      <w:r>
        <w:rPr>
          <w:rFonts w:asciiTheme="minorHAnsi" w:eastAsiaTheme="minorHAnsi" w:hAnsiTheme="minorHAnsi" w:cstheme="minorHAnsi"/>
          <w:sz w:val="24"/>
          <w:szCs w:val="24"/>
        </w:rPr>
        <w:t xml:space="preserve"> ritenuti efficienti ex-post.</w:t>
      </w:r>
      <w:r w:rsidR="00C85453">
        <w:rPr>
          <w:rFonts w:asciiTheme="minorHAnsi" w:eastAsiaTheme="minorHAnsi" w:hAnsiTheme="minorHAnsi" w:cstheme="minorHAnsi"/>
          <w:sz w:val="24"/>
          <w:szCs w:val="24"/>
        </w:rPr>
        <w:t xml:space="preserve"> La decisione di identifica un numero così elevato di portafogli è dettata dalla volontà di disporre di un ventaglio ampio di portafogli dai quali estrapolare</w:t>
      </w:r>
      <w:r w:rsidR="007979F4">
        <w:rPr>
          <w:rFonts w:asciiTheme="minorHAnsi" w:eastAsiaTheme="minorHAnsi" w:hAnsiTheme="minorHAnsi" w:cstheme="minorHAnsi"/>
          <w:sz w:val="24"/>
          <w:szCs w:val="24"/>
        </w:rPr>
        <w:t xml:space="preserve"> al meglio</w:t>
      </w:r>
      <w:r w:rsidR="00C85453">
        <w:rPr>
          <w:rFonts w:asciiTheme="minorHAnsi" w:eastAsiaTheme="minorHAnsi" w:hAnsiTheme="minorHAnsi" w:cstheme="minorHAnsi"/>
          <w:sz w:val="24"/>
          <w:szCs w:val="24"/>
        </w:rPr>
        <w:t xml:space="preserve"> quelli più adeguati per ciascun profilo di clientela.</w:t>
      </w:r>
    </w:p>
    <w:p w:rsidR="006E1163" w:rsidRPr="000376E5" w:rsidRDefault="00C85453" w:rsidP="00E57F03">
      <w:pPr>
        <w:spacing w:line="360" w:lineRule="auto"/>
        <w:jc w:val="both"/>
        <w:rPr>
          <w:rFonts w:asciiTheme="minorHAnsi" w:hAnsiTheme="minorHAnsi" w:cstheme="minorHAnsi"/>
          <w:sz w:val="24"/>
          <w:szCs w:val="24"/>
        </w:rPr>
      </w:pPr>
      <w:r>
        <w:rPr>
          <w:rFonts w:asciiTheme="minorHAnsi" w:hAnsiTheme="minorHAnsi" w:cstheme="minorHAnsi"/>
          <w:sz w:val="24"/>
          <w:szCs w:val="24"/>
        </w:rPr>
        <w:t>In considerazione</w:t>
      </w:r>
      <w:r w:rsidR="00800406">
        <w:rPr>
          <w:rFonts w:asciiTheme="minorHAnsi" w:hAnsiTheme="minorHAnsi" w:cstheme="minorHAnsi"/>
          <w:sz w:val="24"/>
          <w:szCs w:val="24"/>
        </w:rPr>
        <w:t xml:space="preserve"> </w:t>
      </w:r>
      <w:r>
        <w:rPr>
          <w:rFonts w:asciiTheme="minorHAnsi" w:hAnsiTheme="minorHAnsi" w:cstheme="minorHAnsi"/>
          <w:sz w:val="24"/>
          <w:szCs w:val="24"/>
        </w:rPr>
        <w:t>della volontà di produrre soluzioni concretamente implementabili anche per investitori con limitate capacità di investimento,</w:t>
      </w:r>
      <w:r w:rsidR="00E57F03">
        <w:rPr>
          <w:rFonts w:asciiTheme="minorHAnsi" w:hAnsiTheme="minorHAnsi" w:cstheme="minorHAnsi"/>
          <w:sz w:val="24"/>
          <w:szCs w:val="24"/>
        </w:rPr>
        <w:t xml:space="preserve"> si è deciso di procedere con 3 processi di </w:t>
      </w:r>
      <w:r w:rsidR="00E57F03" w:rsidRPr="000376E5">
        <w:rPr>
          <w:rFonts w:asciiTheme="minorHAnsi" w:hAnsiTheme="minorHAnsi" w:cstheme="minorHAnsi"/>
          <w:sz w:val="24"/>
          <w:szCs w:val="24"/>
        </w:rPr>
        <w:t>ottimizzazion</w:t>
      </w:r>
      <w:r w:rsidR="00E57F03">
        <w:rPr>
          <w:rFonts w:asciiTheme="minorHAnsi" w:hAnsiTheme="minorHAnsi" w:cstheme="minorHAnsi"/>
          <w:sz w:val="24"/>
          <w:szCs w:val="24"/>
        </w:rPr>
        <w:t>e</w:t>
      </w:r>
      <w:r w:rsidR="008D48E1">
        <w:rPr>
          <w:rFonts w:asciiTheme="minorHAnsi" w:hAnsiTheme="minorHAnsi" w:cstheme="minorHAnsi"/>
          <w:sz w:val="24"/>
          <w:szCs w:val="24"/>
        </w:rPr>
        <w:t xml:space="preserve"> </w:t>
      </w:r>
      <w:r w:rsidR="00E57F03">
        <w:rPr>
          <w:rFonts w:asciiTheme="minorHAnsi" w:hAnsiTheme="minorHAnsi" w:cstheme="minorHAnsi"/>
          <w:sz w:val="24"/>
          <w:szCs w:val="24"/>
        </w:rPr>
        <w:t xml:space="preserve">(corrispondenti ai clienti con </w:t>
      </w:r>
      <w:r w:rsidR="007979F4">
        <w:rPr>
          <w:rFonts w:asciiTheme="minorHAnsi" w:hAnsiTheme="minorHAnsi" w:cstheme="minorHAnsi"/>
          <w:sz w:val="24"/>
          <w:szCs w:val="24"/>
        </w:rPr>
        <w:t>masse</w:t>
      </w:r>
      <w:r w:rsidR="00E57F03">
        <w:rPr>
          <w:rFonts w:asciiTheme="minorHAnsi" w:hAnsiTheme="minorHAnsi" w:cstheme="minorHAnsi"/>
          <w:sz w:val="24"/>
          <w:szCs w:val="24"/>
        </w:rPr>
        <w:t xml:space="preserve"> investit</w:t>
      </w:r>
      <w:r w:rsidR="007979F4">
        <w:rPr>
          <w:rFonts w:asciiTheme="minorHAnsi" w:hAnsiTheme="minorHAnsi" w:cstheme="minorHAnsi"/>
          <w:sz w:val="24"/>
          <w:szCs w:val="24"/>
        </w:rPr>
        <w:t>e</w:t>
      </w:r>
      <w:r w:rsidR="00E57F03">
        <w:rPr>
          <w:rFonts w:asciiTheme="minorHAnsi" w:hAnsiTheme="minorHAnsi" w:cstheme="minorHAnsi"/>
          <w:sz w:val="24"/>
          <w:szCs w:val="24"/>
        </w:rPr>
        <w:t xml:space="preserve"> minori di 20.000€, tra i 20.000€ e i 100.000€ e superiori a 100.000€)</w:t>
      </w:r>
      <w:r>
        <w:rPr>
          <w:rFonts w:asciiTheme="minorHAnsi" w:hAnsiTheme="minorHAnsi" w:cstheme="minorHAnsi"/>
          <w:sz w:val="24"/>
          <w:szCs w:val="24"/>
        </w:rPr>
        <w:t xml:space="preserve"> t</w:t>
      </w:r>
      <w:r w:rsidRPr="00C85453">
        <w:rPr>
          <w:rFonts w:asciiTheme="minorHAnsi" w:hAnsiTheme="minorHAnsi" w:cstheme="minorHAnsi"/>
          <w:sz w:val="24"/>
          <w:szCs w:val="24"/>
        </w:rPr>
        <w:t>utti coerenti con i principi elencati nei precedenti paragrafi del documento</w:t>
      </w:r>
      <w:r>
        <w:rPr>
          <w:rFonts w:asciiTheme="minorHAnsi" w:hAnsiTheme="minorHAnsi" w:cstheme="minorHAnsi"/>
          <w:sz w:val="24"/>
          <w:szCs w:val="24"/>
        </w:rPr>
        <w:t xml:space="preserve">. </w:t>
      </w:r>
      <w:r w:rsidR="00CE2913">
        <w:rPr>
          <w:rFonts w:asciiTheme="minorHAnsi" w:hAnsiTheme="minorHAnsi" w:cstheme="minorHAnsi"/>
          <w:sz w:val="24"/>
          <w:szCs w:val="24"/>
        </w:rPr>
        <w:t>Per rispondere alle necessità dei diversi segmenti di clientela, si è selezionato un numero di asset class decrescente al diminuire dell’importo investibile</w:t>
      </w:r>
      <w:r w:rsidR="00E57F03">
        <w:rPr>
          <w:rFonts w:asciiTheme="minorHAnsi" w:hAnsiTheme="minorHAnsi" w:cstheme="minorHAnsi"/>
          <w:sz w:val="24"/>
          <w:szCs w:val="24"/>
        </w:rPr>
        <w:t>.</w:t>
      </w:r>
      <w:r w:rsidR="00CE2913">
        <w:rPr>
          <w:rFonts w:asciiTheme="minorHAnsi" w:hAnsiTheme="minorHAnsi" w:cstheme="minorHAnsi"/>
          <w:sz w:val="24"/>
          <w:szCs w:val="24"/>
        </w:rPr>
        <w:t xml:space="preserve"> I vincoli implementati nella ottimizzazione sono stati definiti in modo che gli stessi siano coerenti con i vincoli utilizzati nelle altre ottimizzazioni.</w:t>
      </w:r>
    </w:p>
    <w:p w:rsidR="006E1163" w:rsidRPr="00E57F03" w:rsidRDefault="009B6BA5" w:rsidP="003710BD">
      <w:pPr>
        <w:pStyle w:val="Titolo3"/>
        <w:spacing w:line="360" w:lineRule="auto"/>
        <w:jc w:val="both"/>
        <w:rPr>
          <w:rFonts w:asciiTheme="minorHAnsi" w:hAnsiTheme="minorHAnsi" w:cstheme="minorHAnsi"/>
          <w:color w:val="auto"/>
          <w:sz w:val="24"/>
          <w:szCs w:val="24"/>
        </w:rPr>
      </w:pPr>
      <w:bookmarkStart w:id="58" w:name="_Toc425154135"/>
      <w:r>
        <w:rPr>
          <w:rFonts w:asciiTheme="minorHAnsi" w:hAnsiTheme="minorHAnsi" w:cstheme="minorHAnsi"/>
          <w:color w:val="auto"/>
          <w:sz w:val="24"/>
          <w:szCs w:val="24"/>
        </w:rPr>
        <w:lastRenderedPageBreak/>
        <w:t>L’</w:t>
      </w:r>
      <w:r w:rsidR="006E1163" w:rsidRPr="00E57F03">
        <w:rPr>
          <w:rFonts w:asciiTheme="minorHAnsi" w:hAnsiTheme="minorHAnsi" w:cstheme="minorHAnsi"/>
          <w:color w:val="auto"/>
          <w:sz w:val="24"/>
          <w:szCs w:val="24"/>
        </w:rPr>
        <w:t>INDIVIDUAZIONE DEI PORTAFOGLI DI EQUILIBRIO SULLA FRONTIERA EFFICIENTE</w:t>
      </w:r>
      <w:r w:rsidR="009D3418">
        <w:rPr>
          <w:rFonts w:asciiTheme="minorHAnsi" w:hAnsiTheme="minorHAnsi" w:cstheme="minorHAnsi"/>
          <w:color w:val="auto"/>
          <w:sz w:val="24"/>
          <w:szCs w:val="24"/>
        </w:rPr>
        <w:t xml:space="preserve"> EX-POST</w:t>
      </w:r>
      <w:bookmarkEnd w:id="58"/>
    </w:p>
    <w:p w:rsidR="00CE76A2" w:rsidRPr="00E57F03" w:rsidRDefault="00CE76A2" w:rsidP="003710BD">
      <w:pPr>
        <w:spacing w:line="360" w:lineRule="auto"/>
        <w:jc w:val="both"/>
        <w:rPr>
          <w:rFonts w:asciiTheme="minorHAnsi" w:eastAsiaTheme="minorHAnsi" w:hAnsiTheme="minorHAnsi" w:cstheme="minorHAnsi"/>
          <w:sz w:val="24"/>
          <w:szCs w:val="24"/>
        </w:rPr>
      </w:pPr>
      <w:r w:rsidRPr="00CE2913">
        <w:rPr>
          <w:rFonts w:asciiTheme="minorHAnsi" w:eastAsiaTheme="minorHAnsi" w:hAnsiTheme="minorHAnsi" w:cstheme="minorHAnsi"/>
          <w:sz w:val="24"/>
          <w:szCs w:val="24"/>
        </w:rPr>
        <w:t>Una volta identificato il set di 300 portafogli</w:t>
      </w:r>
      <w:r w:rsidR="00800406">
        <w:rPr>
          <w:rFonts w:asciiTheme="minorHAnsi" w:eastAsiaTheme="minorHAnsi" w:hAnsiTheme="minorHAnsi" w:cstheme="minorHAnsi"/>
          <w:sz w:val="24"/>
          <w:szCs w:val="24"/>
        </w:rPr>
        <w:t xml:space="preserve"> </w:t>
      </w:r>
      <w:r w:rsidR="009A31F5">
        <w:rPr>
          <w:rFonts w:asciiTheme="minorHAnsi" w:eastAsiaTheme="minorHAnsi" w:hAnsiTheme="minorHAnsi" w:cstheme="minorHAnsi"/>
          <w:sz w:val="24"/>
          <w:szCs w:val="24"/>
        </w:rPr>
        <w:t>che popolano la frontiera efficiente</w:t>
      </w:r>
      <w:r w:rsidRPr="00CE2913">
        <w:rPr>
          <w:rFonts w:asciiTheme="minorHAnsi" w:eastAsiaTheme="minorHAnsi" w:hAnsiTheme="minorHAnsi" w:cstheme="minorHAnsi"/>
          <w:sz w:val="24"/>
          <w:szCs w:val="24"/>
        </w:rPr>
        <w:t xml:space="preserve">, </w:t>
      </w:r>
      <w:r w:rsidR="00657DB6">
        <w:rPr>
          <w:rFonts w:asciiTheme="minorHAnsi" w:eastAsiaTheme="minorHAnsi" w:hAnsiTheme="minorHAnsi" w:cstheme="minorHAnsi"/>
          <w:sz w:val="24"/>
          <w:szCs w:val="24"/>
        </w:rPr>
        <w:t xml:space="preserve">selezionando </w:t>
      </w:r>
      <w:r w:rsidR="009A31F5">
        <w:rPr>
          <w:rFonts w:asciiTheme="minorHAnsi" w:eastAsiaTheme="minorHAnsi" w:hAnsiTheme="minorHAnsi" w:cstheme="minorHAnsi"/>
          <w:sz w:val="24"/>
          <w:szCs w:val="24"/>
        </w:rPr>
        <w:t>da questo set si è proceduto alla selezione del</w:t>
      </w:r>
      <w:r w:rsidRPr="00CE2913">
        <w:rPr>
          <w:rFonts w:asciiTheme="minorHAnsi" w:eastAsiaTheme="minorHAnsi" w:hAnsiTheme="minorHAnsi" w:cstheme="minorHAnsi"/>
          <w:sz w:val="24"/>
          <w:szCs w:val="24"/>
        </w:rPr>
        <w:t xml:space="preserve"> sub-set</w:t>
      </w:r>
      <w:r w:rsidR="00800406">
        <w:rPr>
          <w:rFonts w:asciiTheme="minorHAnsi" w:eastAsiaTheme="minorHAnsi" w:hAnsiTheme="minorHAnsi" w:cstheme="minorHAnsi"/>
          <w:sz w:val="24"/>
          <w:szCs w:val="24"/>
        </w:rPr>
        <w:t xml:space="preserve"> </w:t>
      </w:r>
      <w:r w:rsidRPr="00CE2913">
        <w:rPr>
          <w:rFonts w:asciiTheme="minorHAnsi" w:eastAsiaTheme="minorHAnsi" w:hAnsiTheme="minorHAnsi" w:cstheme="minorHAnsi"/>
          <w:sz w:val="24"/>
          <w:szCs w:val="24"/>
        </w:rPr>
        <w:t>di 7 portafogli ritenuti capaci di fungere da asset allocation strategiche per la totalità dei</w:t>
      </w:r>
      <w:r w:rsidR="00800406">
        <w:rPr>
          <w:rFonts w:asciiTheme="minorHAnsi" w:eastAsiaTheme="minorHAnsi" w:hAnsiTheme="minorHAnsi" w:cstheme="minorHAnsi"/>
          <w:sz w:val="24"/>
          <w:szCs w:val="24"/>
        </w:rPr>
        <w:t xml:space="preserve"> </w:t>
      </w:r>
      <w:r w:rsidRPr="00CE2913">
        <w:rPr>
          <w:rFonts w:asciiTheme="minorHAnsi" w:eastAsiaTheme="minorHAnsi" w:hAnsiTheme="minorHAnsi" w:cstheme="minorHAnsi"/>
          <w:sz w:val="24"/>
          <w:szCs w:val="24"/>
        </w:rPr>
        <w:t>clienti, in funzione del loro orizzonte temporale di investimento e della loro tolleranza</w:t>
      </w:r>
      <w:r w:rsidR="00800406">
        <w:rPr>
          <w:rFonts w:asciiTheme="minorHAnsi" w:eastAsiaTheme="minorHAnsi" w:hAnsiTheme="minorHAnsi" w:cstheme="minorHAnsi"/>
          <w:sz w:val="24"/>
          <w:szCs w:val="24"/>
        </w:rPr>
        <w:t xml:space="preserve"> </w:t>
      </w:r>
      <w:r w:rsidRPr="00CE2913">
        <w:rPr>
          <w:rFonts w:asciiTheme="minorHAnsi" w:eastAsiaTheme="minorHAnsi" w:hAnsiTheme="minorHAnsi" w:cstheme="minorHAnsi"/>
          <w:sz w:val="24"/>
          <w:szCs w:val="24"/>
        </w:rPr>
        <w:t xml:space="preserve">al rischio. Ai fini della selezione dei portafogli modello si è utilizzato un </w:t>
      </w:r>
      <w:r w:rsidR="009A31F5">
        <w:rPr>
          <w:rFonts w:asciiTheme="minorHAnsi" w:eastAsiaTheme="minorHAnsi" w:hAnsiTheme="minorHAnsi" w:cstheme="minorHAnsi"/>
          <w:sz w:val="24"/>
          <w:szCs w:val="24"/>
        </w:rPr>
        <w:t>modello</w:t>
      </w:r>
      <w:r w:rsidRPr="00CE2913">
        <w:rPr>
          <w:rFonts w:asciiTheme="minorHAnsi" w:eastAsiaTheme="minorHAnsi" w:hAnsiTheme="minorHAnsi" w:cstheme="minorHAnsi"/>
          <w:sz w:val="24"/>
          <w:szCs w:val="24"/>
        </w:rPr>
        <w:t xml:space="preserve"> articolato</w:t>
      </w:r>
      <w:r w:rsidR="00800406">
        <w:rPr>
          <w:rFonts w:asciiTheme="minorHAnsi" w:eastAsiaTheme="minorHAnsi" w:hAnsiTheme="minorHAnsi" w:cstheme="minorHAnsi"/>
          <w:sz w:val="24"/>
          <w:szCs w:val="24"/>
        </w:rPr>
        <w:t xml:space="preserve"> </w:t>
      </w:r>
      <w:r w:rsidRPr="00CE2913">
        <w:rPr>
          <w:rFonts w:asciiTheme="minorHAnsi" w:eastAsiaTheme="minorHAnsi" w:hAnsiTheme="minorHAnsi" w:cstheme="minorHAnsi"/>
          <w:sz w:val="24"/>
          <w:szCs w:val="24"/>
        </w:rPr>
        <w:t xml:space="preserve">e completo </w:t>
      </w:r>
      <w:r w:rsidRPr="00E57F03">
        <w:rPr>
          <w:rFonts w:asciiTheme="minorHAnsi" w:eastAsiaTheme="minorHAnsi" w:hAnsiTheme="minorHAnsi" w:cstheme="minorHAnsi"/>
          <w:sz w:val="24"/>
          <w:szCs w:val="24"/>
        </w:rPr>
        <w:t>in grado di facilitare la selezione di tali portafogli.</w:t>
      </w:r>
    </w:p>
    <w:p w:rsidR="00CE76A2" w:rsidRPr="00E57F03" w:rsidRDefault="00CE76A2" w:rsidP="003710BD">
      <w:pPr>
        <w:spacing w:line="360" w:lineRule="auto"/>
        <w:jc w:val="both"/>
        <w:rPr>
          <w:rFonts w:asciiTheme="minorHAnsi" w:eastAsiaTheme="minorHAnsi" w:hAnsiTheme="minorHAnsi" w:cstheme="minorHAnsi"/>
          <w:sz w:val="24"/>
          <w:szCs w:val="24"/>
        </w:rPr>
      </w:pPr>
      <w:r w:rsidRPr="00E57F03">
        <w:rPr>
          <w:rFonts w:asciiTheme="minorHAnsi" w:eastAsiaTheme="minorHAnsi" w:hAnsiTheme="minorHAnsi" w:cstheme="minorHAnsi"/>
          <w:sz w:val="24"/>
          <w:szCs w:val="24"/>
        </w:rPr>
        <w:t>In primo luogo, sono state definite le variabili sensibili sulla base delle quali</w:t>
      </w:r>
      <w:r w:rsidR="00800406">
        <w:rPr>
          <w:rFonts w:asciiTheme="minorHAnsi" w:eastAsiaTheme="minorHAnsi" w:hAnsiTheme="minorHAnsi" w:cstheme="minorHAnsi"/>
          <w:sz w:val="24"/>
          <w:szCs w:val="24"/>
        </w:rPr>
        <w:t xml:space="preserve"> </w:t>
      </w:r>
      <w:r w:rsidRPr="00E57F03">
        <w:rPr>
          <w:rFonts w:asciiTheme="minorHAnsi" w:eastAsiaTheme="minorHAnsi" w:hAnsiTheme="minorHAnsi" w:cstheme="minorHAnsi"/>
          <w:sz w:val="24"/>
          <w:szCs w:val="24"/>
        </w:rPr>
        <w:t>effettuare la selezione dei portafogli modello. A tal proposito, per ciascuno dei 7 profili</w:t>
      </w:r>
      <w:r w:rsidR="009A31F5">
        <w:rPr>
          <w:rFonts w:asciiTheme="minorHAnsi" w:eastAsiaTheme="minorHAnsi" w:hAnsiTheme="minorHAnsi" w:cstheme="minorHAnsi"/>
          <w:sz w:val="24"/>
          <w:szCs w:val="24"/>
        </w:rPr>
        <w:t xml:space="preserve"> di</w:t>
      </w:r>
      <w:r w:rsidR="00800406">
        <w:rPr>
          <w:rFonts w:asciiTheme="minorHAnsi" w:eastAsiaTheme="minorHAnsi" w:hAnsiTheme="minorHAnsi" w:cstheme="minorHAnsi"/>
          <w:sz w:val="24"/>
          <w:szCs w:val="24"/>
        </w:rPr>
        <w:t xml:space="preserve"> </w:t>
      </w:r>
      <w:r w:rsidRPr="00E57F03">
        <w:rPr>
          <w:rFonts w:asciiTheme="minorHAnsi" w:eastAsiaTheme="minorHAnsi" w:hAnsiTheme="minorHAnsi" w:cstheme="minorHAnsi"/>
          <w:sz w:val="24"/>
          <w:szCs w:val="24"/>
        </w:rPr>
        <w:t>cliente</w:t>
      </w:r>
      <w:r w:rsidR="009A31F5">
        <w:rPr>
          <w:rFonts w:asciiTheme="minorHAnsi" w:eastAsiaTheme="minorHAnsi" w:hAnsiTheme="minorHAnsi" w:cstheme="minorHAnsi"/>
          <w:sz w:val="24"/>
          <w:szCs w:val="24"/>
        </w:rPr>
        <w:t>la</w:t>
      </w:r>
      <w:r w:rsidRPr="00E57F03">
        <w:rPr>
          <w:rFonts w:asciiTheme="minorHAnsi" w:eastAsiaTheme="minorHAnsi" w:hAnsiTheme="minorHAnsi" w:cstheme="minorHAnsi"/>
          <w:sz w:val="24"/>
          <w:szCs w:val="24"/>
        </w:rPr>
        <w:t xml:space="preserve"> si sono definiti i livelli ottimali delle seguente variabili:</w:t>
      </w:r>
    </w:p>
    <w:p w:rsidR="00CE76A2" w:rsidRPr="00E57F03" w:rsidRDefault="00CE76A2" w:rsidP="00E57F03">
      <w:pPr>
        <w:pStyle w:val="Paragrafoelenco"/>
        <w:numPr>
          <w:ilvl w:val="1"/>
          <w:numId w:val="2"/>
        </w:numPr>
        <w:spacing w:line="360" w:lineRule="auto"/>
        <w:jc w:val="both"/>
        <w:rPr>
          <w:rFonts w:asciiTheme="minorHAnsi" w:eastAsiaTheme="minorHAnsi" w:hAnsiTheme="minorHAnsi" w:cstheme="minorHAnsi"/>
        </w:rPr>
      </w:pPr>
      <w:r w:rsidRPr="00E57F03">
        <w:rPr>
          <w:rFonts w:asciiTheme="minorHAnsi" w:eastAsiaTheme="minorHAnsi" w:hAnsiTheme="minorHAnsi" w:cstheme="minorHAnsi"/>
        </w:rPr>
        <w:t>il VaR</w:t>
      </w:r>
      <w:r w:rsidR="0001541D">
        <w:rPr>
          <w:rFonts w:asciiTheme="minorHAnsi" w:eastAsiaTheme="minorHAnsi" w:hAnsiTheme="minorHAnsi" w:cstheme="minorHAnsi"/>
        </w:rPr>
        <w:t xml:space="preserve"> annuale</w:t>
      </w:r>
      <w:r w:rsidRPr="00E57F03">
        <w:rPr>
          <w:rFonts w:asciiTheme="minorHAnsi" w:eastAsiaTheme="minorHAnsi" w:hAnsiTheme="minorHAnsi" w:cstheme="minorHAnsi"/>
        </w:rPr>
        <w:t xml:space="preserve"> (</w:t>
      </w:r>
      <w:r w:rsidR="0001541D">
        <w:rPr>
          <w:rFonts w:asciiTheme="minorHAnsi" w:eastAsiaTheme="minorHAnsi" w:hAnsiTheme="minorHAnsi" w:cstheme="minorHAnsi"/>
        </w:rPr>
        <w:t xml:space="preserve">calcolato con </w:t>
      </w:r>
      <w:r w:rsidRPr="00E57F03">
        <w:rPr>
          <w:rFonts w:asciiTheme="minorHAnsi" w:eastAsiaTheme="minorHAnsi" w:hAnsiTheme="minorHAnsi" w:cstheme="minorHAnsi"/>
        </w:rPr>
        <w:t>livello di confidenza del 95%);</w:t>
      </w:r>
    </w:p>
    <w:p w:rsidR="00CE76A2" w:rsidRPr="00E57F03" w:rsidRDefault="00CE76A2" w:rsidP="00E57F03">
      <w:pPr>
        <w:pStyle w:val="Paragrafoelenco"/>
        <w:numPr>
          <w:ilvl w:val="1"/>
          <w:numId w:val="2"/>
        </w:numPr>
        <w:spacing w:line="360" w:lineRule="auto"/>
        <w:jc w:val="both"/>
        <w:rPr>
          <w:rFonts w:asciiTheme="minorHAnsi" w:eastAsiaTheme="minorHAnsi" w:hAnsiTheme="minorHAnsi" w:cstheme="minorHAnsi"/>
        </w:rPr>
      </w:pPr>
      <w:r w:rsidRPr="00E57F03">
        <w:rPr>
          <w:rFonts w:asciiTheme="minorHAnsi" w:eastAsiaTheme="minorHAnsi" w:hAnsiTheme="minorHAnsi" w:cstheme="minorHAnsi"/>
        </w:rPr>
        <w:t>il livello target di percentuale azionaria.</w:t>
      </w:r>
    </w:p>
    <w:p w:rsidR="00CE76A2" w:rsidRPr="00E57F03" w:rsidRDefault="00CE76A2" w:rsidP="003710BD">
      <w:pPr>
        <w:spacing w:line="360" w:lineRule="auto"/>
        <w:jc w:val="both"/>
        <w:rPr>
          <w:rFonts w:asciiTheme="minorHAnsi" w:eastAsiaTheme="minorHAnsi" w:hAnsiTheme="minorHAnsi" w:cstheme="minorHAnsi"/>
          <w:sz w:val="24"/>
          <w:szCs w:val="24"/>
        </w:rPr>
      </w:pPr>
      <w:r w:rsidRPr="00E57F03">
        <w:rPr>
          <w:rFonts w:asciiTheme="minorHAnsi" w:eastAsiaTheme="minorHAnsi" w:hAnsiTheme="minorHAnsi" w:cstheme="minorHAnsi"/>
          <w:sz w:val="24"/>
          <w:szCs w:val="24"/>
        </w:rPr>
        <w:t>Data la natura delle variabili suggerite, si evince che il processo di sel</w:t>
      </w:r>
      <w:r w:rsidR="00E57F03" w:rsidRPr="00E57F03">
        <w:rPr>
          <w:rFonts w:asciiTheme="minorHAnsi" w:eastAsiaTheme="minorHAnsi" w:hAnsiTheme="minorHAnsi" w:cstheme="minorHAnsi"/>
          <w:sz w:val="24"/>
          <w:szCs w:val="24"/>
        </w:rPr>
        <w:t>e</w:t>
      </w:r>
      <w:r w:rsidRPr="00E57F03">
        <w:rPr>
          <w:rFonts w:asciiTheme="minorHAnsi" w:eastAsiaTheme="minorHAnsi" w:hAnsiTheme="minorHAnsi" w:cstheme="minorHAnsi"/>
          <w:sz w:val="24"/>
          <w:szCs w:val="24"/>
        </w:rPr>
        <w:t>zione dei</w:t>
      </w:r>
      <w:r w:rsidR="00800406">
        <w:rPr>
          <w:rFonts w:asciiTheme="minorHAnsi" w:eastAsiaTheme="minorHAnsi" w:hAnsiTheme="minorHAnsi" w:cstheme="minorHAnsi"/>
          <w:sz w:val="24"/>
          <w:szCs w:val="24"/>
        </w:rPr>
        <w:t xml:space="preserve"> </w:t>
      </w:r>
      <w:r w:rsidRPr="00E57F03">
        <w:rPr>
          <w:rFonts w:asciiTheme="minorHAnsi" w:eastAsiaTheme="minorHAnsi" w:hAnsiTheme="minorHAnsi" w:cstheme="minorHAnsi"/>
          <w:sz w:val="24"/>
          <w:szCs w:val="24"/>
        </w:rPr>
        <w:t xml:space="preserve">portafogli è stato veicolato prevalentemente da una logica di </w:t>
      </w:r>
      <w:r w:rsidRPr="00E57F03">
        <w:rPr>
          <w:rFonts w:asciiTheme="minorHAnsi" w:eastAsiaTheme="minorHAnsi" w:hAnsiTheme="minorHAnsi" w:cstheme="minorHAnsi"/>
          <w:i/>
          <w:iCs/>
          <w:sz w:val="24"/>
          <w:szCs w:val="24"/>
        </w:rPr>
        <w:t>risk management</w:t>
      </w:r>
      <w:r w:rsidRPr="00E57F03">
        <w:rPr>
          <w:rFonts w:asciiTheme="minorHAnsi" w:eastAsiaTheme="minorHAnsi" w:hAnsiTheme="minorHAnsi" w:cstheme="minorHAnsi"/>
          <w:sz w:val="24"/>
          <w:szCs w:val="24"/>
        </w:rPr>
        <w:t>,</w:t>
      </w:r>
      <w:r w:rsidR="00800406">
        <w:rPr>
          <w:rFonts w:asciiTheme="minorHAnsi" w:eastAsiaTheme="minorHAnsi" w:hAnsiTheme="minorHAnsi" w:cstheme="minorHAnsi"/>
          <w:sz w:val="24"/>
          <w:szCs w:val="24"/>
        </w:rPr>
        <w:t xml:space="preserve"> </w:t>
      </w:r>
      <w:r w:rsidRPr="00E57F03">
        <w:rPr>
          <w:rFonts w:asciiTheme="minorHAnsi" w:eastAsiaTheme="minorHAnsi" w:hAnsiTheme="minorHAnsi" w:cstheme="minorHAnsi"/>
          <w:sz w:val="24"/>
          <w:szCs w:val="24"/>
        </w:rPr>
        <w:t>finalizzato in primis a garantire la coerenza</w:t>
      </w:r>
      <w:r w:rsidR="0001541D">
        <w:rPr>
          <w:rFonts w:asciiTheme="minorHAnsi" w:eastAsiaTheme="minorHAnsi" w:hAnsiTheme="minorHAnsi" w:cstheme="minorHAnsi"/>
          <w:sz w:val="24"/>
          <w:szCs w:val="24"/>
        </w:rPr>
        <w:t xml:space="preserve"> dei portafogli</w:t>
      </w:r>
      <w:r w:rsidRPr="00E57F03">
        <w:rPr>
          <w:rFonts w:asciiTheme="minorHAnsi" w:eastAsiaTheme="minorHAnsi" w:hAnsiTheme="minorHAnsi" w:cstheme="minorHAnsi"/>
          <w:sz w:val="24"/>
          <w:szCs w:val="24"/>
        </w:rPr>
        <w:t xml:space="preserve"> con il livello di tolleranza al rischio</w:t>
      </w:r>
      <w:r w:rsidR="00800406">
        <w:rPr>
          <w:rFonts w:asciiTheme="minorHAnsi" w:eastAsiaTheme="minorHAnsi" w:hAnsiTheme="minorHAnsi" w:cstheme="minorHAnsi"/>
          <w:sz w:val="24"/>
          <w:szCs w:val="24"/>
        </w:rPr>
        <w:t xml:space="preserve"> </w:t>
      </w:r>
      <w:r w:rsidR="0001541D">
        <w:rPr>
          <w:rFonts w:asciiTheme="minorHAnsi" w:eastAsiaTheme="minorHAnsi" w:hAnsiTheme="minorHAnsi" w:cstheme="minorHAnsi"/>
          <w:sz w:val="24"/>
          <w:szCs w:val="24"/>
        </w:rPr>
        <w:t>delle classi di clientela</w:t>
      </w:r>
      <w:r w:rsidRPr="00E57F03">
        <w:rPr>
          <w:rFonts w:asciiTheme="minorHAnsi" w:eastAsiaTheme="minorHAnsi" w:hAnsiTheme="minorHAnsi" w:cstheme="minorHAnsi"/>
          <w:sz w:val="24"/>
          <w:szCs w:val="24"/>
        </w:rPr>
        <w:t>.</w:t>
      </w:r>
    </w:p>
    <w:p w:rsidR="00CE76A2" w:rsidRPr="000376E5" w:rsidRDefault="00CE76A2" w:rsidP="003710BD">
      <w:pPr>
        <w:spacing w:line="360" w:lineRule="auto"/>
        <w:jc w:val="both"/>
        <w:rPr>
          <w:rFonts w:asciiTheme="minorHAnsi" w:hAnsiTheme="minorHAnsi" w:cstheme="minorHAnsi"/>
          <w:sz w:val="22"/>
        </w:rPr>
      </w:pPr>
      <w:r w:rsidRPr="00E57F03">
        <w:rPr>
          <w:rFonts w:asciiTheme="minorHAnsi" w:eastAsiaTheme="minorHAnsi" w:hAnsiTheme="minorHAnsi" w:cstheme="minorHAnsi"/>
          <w:sz w:val="24"/>
          <w:szCs w:val="24"/>
        </w:rPr>
        <w:t>Una volta identificate le variabili</w:t>
      </w:r>
      <w:r w:rsidR="0001541D">
        <w:rPr>
          <w:rFonts w:asciiTheme="minorHAnsi" w:eastAsiaTheme="minorHAnsi" w:hAnsiTheme="minorHAnsi" w:cstheme="minorHAnsi"/>
          <w:sz w:val="24"/>
          <w:szCs w:val="24"/>
        </w:rPr>
        <w:t xml:space="preserve"> e proceduto ad una loro normalizzazione (al fine di esprimere le stesse sulla base di una unità di misura omogenea)</w:t>
      </w:r>
      <w:r w:rsidRPr="00E57F03">
        <w:rPr>
          <w:rFonts w:asciiTheme="minorHAnsi" w:eastAsiaTheme="minorHAnsi" w:hAnsiTheme="minorHAnsi" w:cstheme="minorHAnsi"/>
          <w:sz w:val="24"/>
          <w:szCs w:val="24"/>
        </w:rPr>
        <w:t xml:space="preserve">, </w:t>
      </w:r>
      <w:r w:rsidR="0001541D">
        <w:rPr>
          <w:rFonts w:asciiTheme="minorHAnsi" w:eastAsiaTheme="minorHAnsi" w:hAnsiTheme="minorHAnsi" w:cstheme="minorHAnsi"/>
          <w:sz w:val="24"/>
          <w:szCs w:val="24"/>
        </w:rPr>
        <w:t>la selezione dei 7 portafogli strategici</w:t>
      </w:r>
      <w:r w:rsidRPr="00E57F03">
        <w:rPr>
          <w:rFonts w:asciiTheme="minorHAnsi" w:eastAsiaTheme="minorHAnsi" w:hAnsiTheme="minorHAnsi" w:cstheme="minorHAnsi"/>
          <w:sz w:val="24"/>
          <w:szCs w:val="24"/>
        </w:rPr>
        <w:t xml:space="preserve"> è </w:t>
      </w:r>
      <w:r w:rsidR="0001541D">
        <w:rPr>
          <w:rFonts w:asciiTheme="minorHAnsi" w:eastAsiaTheme="minorHAnsi" w:hAnsiTheme="minorHAnsi" w:cstheme="minorHAnsi"/>
          <w:sz w:val="24"/>
          <w:szCs w:val="24"/>
        </w:rPr>
        <w:t xml:space="preserve">stata </w:t>
      </w:r>
      <w:r w:rsidRPr="00E57F03">
        <w:rPr>
          <w:rFonts w:asciiTheme="minorHAnsi" w:eastAsiaTheme="minorHAnsi" w:hAnsiTheme="minorHAnsi" w:cstheme="minorHAnsi"/>
          <w:sz w:val="24"/>
          <w:szCs w:val="24"/>
        </w:rPr>
        <w:t xml:space="preserve">sviluppata </w:t>
      </w:r>
      <w:r w:rsidR="0001541D">
        <w:rPr>
          <w:rFonts w:asciiTheme="minorHAnsi" w:eastAsiaTheme="minorHAnsi" w:hAnsiTheme="minorHAnsi" w:cstheme="minorHAnsi"/>
          <w:sz w:val="24"/>
          <w:szCs w:val="24"/>
        </w:rPr>
        <w:t xml:space="preserve">identificando i portafogli che </w:t>
      </w:r>
      <w:r w:rsidRPr="00E57F03">
        <w:rPr>
          <w:rFonts w:asciiTheme="minorHAnsi" w:eastAsiaTheme="minorHAnsi" w:hAnsiTheme="minorHAnsi" w:cstheme="minorHAnsi"/>
          <w:sz w:val="24"/>
          <w:szCs w:val="24"/>
        </w:rPr>
        <w:t>minimizza</w:t>
      </w:r>
      <w:r w:rsidR="0001541D">
        <w:rPr>
          <w:rFonts w:asciiTheme="minorHAnsi" w:eastAsiaTheme="minorHAnsi" w:hAnsiTheme="minorHAnsi" w:cstheme="minorHAnsi"/>
          <w:sz w:val="24"/>
          <w:szCs w:val="24"/>
        </w:rPr>
        <w:t xml:space="preserve">no </w:t>
      </w:r>
      <w:r w:rsidRPr="00E57F03">
        <w:rPr>
          <w:rFonts w:asciiTheme="minorHAnsi" w:eastAsiaTheme="minorHAnsi" w:hAnsiTheme="minorHAnsi" w:cstheme="minorHAnsi"/>
          <w:sz w:val="24"/>
          <w:szCs w:val="24"/>
        </w:rPr>
        <w:t>la distanza euclidea</w:t>
      </w:r>
      <w:r w:rsidR="0001541D">
        <w:rPr>
          <w:rFonts w:asciiTheme="minorHAnsi" w:eastAsiaTheme="minorHAnsi" w:hAnsiTheme="minorHAnsi" w:cstheme="minorHAnsi"/>
          <w:sz w:val="24"/>
          <w:szCs w:val="24"/>
        </w:rPr>
        <w:t xml:space="preserve"> tra i valori target delle variabili selezionate ed i valori delle variabili del portafoglio.</w:t>
      </w:r>
      <w:r w:rsidR="00800406">
        <w:rPr>
          <w:rFonts w:asciiTheme="minorHAnsi" w:eastAsiaTheme="minorHAnsi" w:hAnsiTheme="minorHAnsi" w:cstheme="minorHAnsi"/>
          <w:sz w:val="24"/>
          <w:szCs w:val="24"/>
        </w:rPr>
        <w:t xml:space="preserve"> </w:t>
      </w:r>
      <w:r w:rsidR="0001541D">
        <w:rPr>
          <w:rFonts w:asciiTheme="minorHAnsi" w:eastAsiaTheme="minorHAnsi" w:hAnsiTheme="minorHAnsi" w:cstheme="minorHAnsi"/>
          <w:sz w:val="24"/>
          <w:szCs w:val="24"/>
        </w:rPr>
        <w:t>G</w:t>
      </w:r>
      <w:r w:rsidRPr="00E57F03">
        <w:rPr>
          <w:rFonts w:asciiTheme="minorHAnsi" w:eastAsiaTheme="minorHAnsi" w:hAnsiTheme="minorHAnsi" w:cstheme="minorHAnsi"/>
          <w:sz w:val="24"/>
          <w:szCs w:val="24"/>
        </w:rPr>
        <w:t>razie</w:t>
      </w:r>
      <w:r w:rsidR="0001541D">
        <w:rPr>
          <w:rFonts w:asciiTheme="minorHAnsi" w:eastAsiaTheme="minorHAnsi" w:hAnsiTheme="minorHAnsi" w:cstheme="minorHAnsi"/>
          <w:sz w:val="24"/>
          <w:szCs w:val="24"/>
        </w:rPr>
        <w:t xml:space="preserve"> a questa procedura</w:t>
      </w:r>
      <w:r w:rsidR="00800406">
        <w:rPr>
          <w:rFonts w:asciiTheme="minorHAnsi" w:eastAsiaTheme="minorHAnsi" w:hAnsiTheme="minorHAnsi" w:cstheme="minorHAnsi"/>
          <w:sz w:val="24"/>
          <w:szCs w:val="24"/>
        </w:rPr>
        <w:t xml:space="preserve"> </w:t>
      </w:r>
      <w:r w:rsidRPr="00E57F03">
        <w:rPr>
          <w:rFonts w:asciiTheme="minorHAnsi" w:eastAsiaTheme="minorHAnsi" w:hAnsiTheme="minorHAnsi" w:cstheme="minorHAnsi"/>
          <w:sz w:val="24"/>
          <w:szCs w:val="24"/>
        </w:rPr>
        <w:t>i 7 portafogli modello</w:t>
      </w:r>
      <w:r w:rsidR="0001541D">
        <w:rPr>
          <w:rFonts w:asciiTheme="minorHAnsi" w:eastAsiaTheme="minorHAnsi" w:hAnsiTheme="minorHAnsi" w:cstheme="minorHAnsi"/>
          <w:sz w:val="24"/>
          <w:szCs w:val="24"/>
        </w:rPr>
        <w:t xml:space="preserve"> selezionati presentano</w:t>
      </w:r>
      <w:r w:rsidR="00800406">
        <w:rPr>
          <w:rFonts w:asciiTheme="minorHAnsi" w:eastAsiaTheme="minorHAnsi" w:hAnsiTheme="minorHAnsi" w:cstheme="minorHAnsi"/>
          <w:sz w:val="24"/>
          <w:szCs w:val="24"/>
        </w:rPr>
        <w:t xml:space="preserve"> </w:t>
      </w:r>
      <w:r w:rsidR="0001541D">
        <w:rPr>
          <w:rFonts w:asciiTheme="minorHAnsi" w:eastAsiaTheme="minorHAnsi" w:hAnsiTheme="minorHAnsi" w:cstheme="minorHAnsi"/>
          <w:sz w:val="24"/>
          <w:szCs w:val="24"/>
        </w:rPr>
        <w:t>delle</w:t>
      </w:r>
      <w:r w:rsidRPr="00E57F03">
        <w:rPr>
          <w:rFonts w:asciiTheme="minorHAnsi" w:eastAsiaTheme="minorHAnsi" w:hAnsiTheme="minorHAnsi" w:cstheme="minorHAnsi"/>
          <w:sz w:val="24"/>
          <w:szCs w:val="24"/>
        </w:rPr>
        <w:t xml:space="preserve"> caratteristiche</w:t>
      </w:r>
      <w:r w:rsidR="0001541D">
        <w:rPr>
          <w:rFonts w:asciiTheme="minorHAnsi" w:eastAsiaTheme="minorHAnsi" w:hAnsiTheme="minorHAnsi" w:cstheme="minorHAnsi"/>
          <w:sz w:val="24"/>
          <w:szCs w:val="24"/>
        </w:rPr>
        <w:t xml:space="preserve"> che</w:t>
      </w:r>
      <w:r w:rsidRPr="00E57F03">
        <w:rPr>
          <w:rFonts w:asciiTheme="minorHAnsi" w:eastAsiaTheme="minorHAnsi" w:hAnsiTheme="minorHAnsi" w:cstheme="minorHAnsi"/>
          <w:sz w:val="24"/>
          <w:szCs w:val="24"/>
        </w:rPr>
        <w:t xml:space="preserve"> li </w:t>
      </w:r>
      <w:r w:rsidR="00C804FA">
        <w:rPr>
          <w:rFonts w:asciiTheme="minorHAnsi" w:eastAsiaTheme="minorHAnsi" w:hAnsiTheme="minorHAnsi" w:cstheme="minorHAnsi"/>
          <w:sz w:val="24"/>
          <w:szCs w:val="24"/>
        </w:rPr>
        <w:t>rendono</w:t>
      </w:r>
      <w:r w:rsidR="00800406">
        <w:rPr>
          <w:rFonts w:asciiTheme="minorHAnsi" w:eastAsiaTheme="minorHAnsi" w:hAnsiTheme="minorHAnsi" w:cstheme="minorHAnsi"/>
          <w:sz w:val="24"/>
          <w:szCs w:val="24"/>
        </w:rPr>
        <w:t xml:space="preserve"> </w:t>
      </w:r>
      <w:r w:rsidRPr="00E57F03">
        <w:rPr>
          <w:rFonts w:asciiTheme="minorHAnsi" w:eastAsiaTheme="minorHAnsi" w:hAnsiTheme="minorHAnsi" w:cstheme="minorHAnsi"/>
          <w:sz w:val="24"/>
          <w:szCs w:val="24"/>
        </w:rPr>
        <w:t>i più vicini possibile ai valori</w:t>
      </w:r>
      <w:r w:rsidR="00800406">
        <w:rPr>
          <w:rFonts w:asciiTheme="minorHAnsi" w:eastAsiaTheme="minorHAnsi" w:hAnsiTheme="minorHAnsi" w:cstheme="minorHAnsi"/>
          <w:sz w:val="24"/>
          <w:szCs w:val="24"/>
        </w:rPr>
        <w:t xml:space="preserve"> </w:t>
      </w:r>
      <w:r w:rsidRPr="00E57F03">
        <w:rPr>
          <w:rFonts w:asciiTheme="minorHAnsi" w:eastAsiaTheme="minorHAnsi" w:hAnsiTheme="minorHAnsi" w:cstheme="minorHAnsi"/>
          <w:sz w:val="24"/>
          <w:szCs w:val="24"/>
        </w:rPr>
        <w:t>soglia definiti ex-ante</w:t>
      </w:r>
      <w:r w:rsidR="0001541D">
        <w:rPr>
          <w:rFonts w:asciiTheme="minorHAnsi" w:eastAsiaTheme="minorHAnsi" w:hAnsiTheme="minorHAnsi" w:cstheme="minorHAnsi"/>
          <w:sz w:val="24"/>
          <w:szCs w:val="24"/>
        </w:rPr>
        <w:t xml:space="preserve"> e desiderabili per ogni segmento di clientela</w:t>
      </w:r>
      <w:r w:rsidRPr="00E57F03">
        <w:rPr>
          <w:rFonts w:asciiTheme="minorHAnsi" w:eastAsiaTheme="minorHAnsi" w:hAnsiTheme="minorHAnsi" w:cstheme="minorHAnsi"/>
          <w:sz w:val="24"/>
          <w:szCs w:val="24"/>
        </w:rPr>
        <w:t>.</w:t>
      </w:r>
    </w:p>
    <w:p w:rsidR="006E1163" w:rsidRDefault="004B7266"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Di seguito sono analizzati nel dettaglio i vincoli e le metodologie di selezione dei portafogli </w:t>
      </w:r>
      <w:r w:rsidR="0001541D">
        <w:rPr>
          <w:rFonts w:asciiTheme="minorHAnsi" w:hAnsiTheme="minorHAnsi" w:cstheme="minorHAnsi"/>
          <w:sz w:val="24"/>
          <w:szCs w:val="24"/>
        </w:rPr>
        <w:t>utilizzati per ciascun segmento di clientela</w:t>
      </w:r>
      <w:r>
        <w:rPr>
          <w:rFonts w:asciiTheme="minorHAnsi" w:hAnsiTheme="minorHAnsi" w:cstheme="minorHAnsi"/>
          <w:sz w:val="24"/>
          <w:szCs w:val="24"/>
        </w:rPr>
        <w:t>.</w:t>
      </w:r>
    </w:p>
    <w:p w:rsidR="006B7620" w:rsidRDefault="006B7620" w:rsidP="003710BD">
      <w:pPr>
        <w:spacing w:line="360" w:lineRule="auto"/>
        <w:jc w:val="both"/>
        <w:rPr>
          <w:rFonts w:asciiTheme="minorHAnsi" w:hAnsiTheme="minorHAnsi" w:cstheme="minorHAnsi"/>
          <w:sz w:val="24"/>
          <w:szCs w:val="24"/>
        </w:rPr>
      </w:pPr>
    </w:p>
    <w:p w:rsidR="006E1163" w:rsidRPr="004B7266" w:rsidRDefault="009B6BA5" w:rsidP="004B7266">
      <w:pPr>
        <w:pStyle w:val="Titolo3"/>
        <w:spacing w:line="360" w:lineRule="auto"/>
        <w:jc w:val="both"/>
        <w:rPr>
          <w:rFonts w:asciiTheme="minorHAnsi" w:hAnsiTheme="minorHAnsi" w:cstheme="minorHAnsi"/>
          <w:color w:val="auto"/>
          <w:sz w:val="24"/>
          <w:szCs w:val="24"/>
        </w:rPr>
      </w:pPr>
      <w:bookmarkStart w:id="59" w:name="_Toc425154136"/>
      <w:r>
        <w:rPr>
          <w:rFonts w:asciiTheme="minorHAnsi" w:hAnsiTheme="minorHAnsi" w:cstheme="minorHAnsi"/>
          <w:color w:val="auto"/>
          <w:sz w:val="24"/>
          <w:szCs w:val="24"/>
        </w:rPr>
        <w:t xml:space="preserve">I </w:t>
      </w:r>
      <w:r w:rsidR="006E1163" w:rsidRPr="004B7266">
        <w:rPr>
          <w:rFonts w:asciiTheme="minorHAnsi" w:hAnsiTheme="minorHAnsi" w:cstheme="minorHAnsi"/>
          <w:color w:val="auto"/>
          <w:sz w:val="24"/>
          <w:szCs w:val="24"/>
        </w:rPr>
        <w:t>P</w:t>
      </w:r>
      <w:r w:rsidR="002F7DFF">
        <w:rPr>
          <w:rFonts w:asciiTheme="minorHAnsi" w:hAnsiTheme="minorHAnsi" w:cstheme="minorHAnsi"/>
          <w:color w:val="auto"/>
          <w:sz w:val="24"/>
          <w:szCs w:val="24"/>
        </w:rPr>
        <w:t>ORTAFOGLI</w:t>
      </w:r>
      <w:r w:rsidR="006E1163" w:rsidRPr="004B7266">
        <w:rPr>
          <w:rFonts w:asciiTheme="minorHAnsi" w:hAnsiTheme="minorHAnsi" w:cstheme="minorHAnsi"/>
          <w:color w:val="auto"/>
          <w:sz w:val="24"/>
          <w:szCs w:val="24"/>
        </w:rPr>
        <w:t xml:space="preserve"> TOP</w:t>
      </w:r>
      <w:r w:rsidR="004B7266" w:rsidRPr="004B7266">
        <w:rPr>
          <w:rFonts w:asciiTheme="minorHAnsi" w:hAnsiTheme="minorHAnsi" w:cstheme="minorHAnsi"/>
          <w:color w:val="auto"/>
          <w:sz w:val="24"/>
          <w:szCs w:val="24"/>
        </w:rPr>
        <w:t xml:space="preserve"> (SUPERIORI A 100.000€)</w:t>
      </w:r>
      <w:bookmarkEnd w:id="59"/>
    </w:p>
    <w:p w:rsidR="004B7266" w:rsidRDefault="002F7DFF"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I clienti che </w:t>
      </w:r>
      <w:r w:rsidR="0016192C">
        <w:rPr>
          <w:rFonts w:asciiTheme="minorHAnsi" w:hAnsiTheme="minorHAnsi" w:cstheme="minorHAnsi"/>
          <w:sz w:val="24"/>
          <w:szCs w:val="24"/>
        </w:rPr>
        <w:t xml:space="preserve">possono investire almeno 100.000€ sono </w:t>
      </w:r>
      <w:r w:rsidR="009D3418">
        <w:rPr>
          <w:rFonts w:asciiTheme="minorHAnsi" w:hAnsiTheme="minorHAnsi" w:cstheme="minorHAnsi"/>
          <w:sz w:val="24"/>
          <w:szCs w:val="24"/>
        </w:rPr>
        <w:t xml:space="preserve">meno </w:t>
      </w:r>
      <w:r w:rsidR="0016192C">
        <w:rPr>
          <w:rFonts w:asciiTheme="minorHAnsi" w:hAnsiTheme="minorHAnsi" w:cstheme="minorHAnsi"/>
          <w:sz w:val="24"/>
          <w:szCs w:val="24"/>
        </w:rPr>
        <w:t xml:space="preserve">soggetti </w:t>
      </w:r>
      <w:r w:rsidR="009D3418">
        <w:rPr>
          <w:rFonts w:asciiTheme="minorHAnsi" w:hAnsiTheme="minorHAnsi" w:cstheme="minorHAnsi"/>
          <w:sz w:val="24"/>
          <w:szCs w:val="24"/>
        </w:rPr>
        <w:t>alle</w:t>
      </w:r>
      <w:r w:rsidR="0016192C">
        <w:rPr>
          <w:rFonts w:asciiTheme="minorHAnsi" w:hAnsiTheme="minorHAnsi" w:cstheme="minorHAnsi"/>
          <w:sz w:val="24"/>
          <w:szCs w:val="24"/>
        </w:rPr>
        <w:t xml:space="preserve"> limitazioni agli investimenti </w:t>
      </w:r>
      <w:r w:rsidR="009D3418">
        <w:rPr>
          <w:rFonts w:asciiTheme="minorHAnsi" w:hAnsiTheme="minorHAnsi" w:cstheme="minorHAnsi"/>
          <w:sz w:val="24"/>
          <w:szCs w:val="24"/>
        </w:rPr>
        <w:t>riconducibili</w:t>
      </w:r>
      <w:r w:rsidR="0016192C">
        <w:rPr>
          <w:rFonts w:asciiTheme="minorHAnsi" w:hAnsiTheme="minorHAnsi" w:cstheme="minorHAnsi"/>
          <w:sz w:val="24"/>
          <w:szCs w:val="24"/>
        </w:rPr>
        <w:t xml:space="preserve"> ai tagli minimi investibili e </w:t>
      </w:r>
      <w:r w:rsidR="009D3418">
        <w:rPr>
          <w:rFonts w:asciiTheme="minorHAnsi" w:hAnsiTheme="minorHAnsi" w:cstheme="minorHAnsi"/>
          <w:sz w:val="24"/>
          <w:szCs w:val="24"/>
        </w:rPr>
        <w:t>a</w:t>
      </w:r>
      <w:r w:rsidR="0016192C">
        <w:rPr>
          <w:rFonts w:asciiTheme="minorHAnsi" w:hAnsiTheme="minorHAnsi" w:cstheme="minorHAnsi"/>
          <w:sz w:val="24"/>
          <w:szCs w:val="24"/>
        </w:rPr>
        <w:t>i costi di ribilanciamento</w:t>
      </w:r>
      <w:r w:rsidR="009D3418">
        <w:rPr>
          <w:rFonts w:asciiTheme="minorHAnsi" w:hAnsiTheme="minorHAnsi" w:cstheme="minorHAnsi"/>
          <w:sz w:val="24"/>
          <w:szCs w:val="24"/>
        </w:rPr>
        <w:t xml:space="preserve"> della composizione di portafoglio</w:t>
      </w:r>
      <w:r w:rsidR="0016192C">
        <w:rPr>
          <w:rFonts w:asciiTheme="minorHAnsi" w:hAnsiTheme="minorHAnsi" w:cstheme="minorHAnsi"/>
          <w:sz w:val="24"/>
          <w:szCs w:val="24"/>
        </w:rPr>
        <w:t>.</w:t>
      </w:r>
      <w:r w:rsidR="009D3418">
        <w:rPr>
          <w:rFonts w:asciiTheme="minorHAnsi" w:hAnsiTheme="minorHAnsi" w:cstheme="minorHAnsi"/>
          <w:sz w:val="24"/>
          <w:szCs w:val="24"/>
        </w:rPr>
        <w:t xml:space="preserve"> Per tale ragione si è </w:t>
      </w:r>
      <w:r w:rsidR="00C804FA">
        <w:rPr>
          <w:rFonts w:asciiTheme="minorHAnsi" w:hAnsiTheme="minorHAnsi" w:cstheme="minorHAnsi"/>
          <w:sz w:val="24"/>
          <w:szCs w:val="24"/>
        </w:rPr>
        <w:t xml:space="preserve">definito che tali portafogli potranno essere composti da </w:t>
      </w:r>
      <w:r w:rsidR="009D3418">
        <w:rPr>
          <w:rFonts w:asciiTheme="minorHAnsi" w:hAnsiTheme="minorHAnsi" w:cstheme="minorHAnsi"/>
          <w:sz w:val="24"/>
          <w:szCs w:val="24"/>
        </w:rPr>
        <w:t xml:space="preserve">un numero </w:t>
      </w:r>
      <w:r w:rsidR="00C804FA">
        <w:rPr>
          <w:rFonts w:asciiTheme="minorHAnsi" w:hAnsiTheme="minorHAnsi" w:cstheme="minorHAnsi"/>
          <w:sz w:val="24"/>
          <w:szCs w:val="24"/>
        </w:rPr>
        <w:t xml:space="preserve">più elevato </w:t>
      </w:r>
      <w:r w:rsidR="009D3418">
        <w:rPr>
          <w:rFonts w:asciiTheme="minorHAnsi" w:hAnsiTheme="minorHAnsi" w:cstheme="minorHAnsi"/>
          <w:sz w:val="24"/>
          <w:szCs w:val="24"/>
        </w:rPr>
        <w:t>di asset class</w:t>
      </w:r>
      <w:r w:rsidR="00C804FA">
        <w:rPr>
          <w:rFonts w:asciiTheme="minorHAnsi" w:hAnsiTheme="minorHAnsi" w:cstheme="minorHAnsi"/>
          <w:sz w:val="24"/>
          <w:szCs w:val="24"/>
        </w:rPr>
        <w:t xml:space="preserve"> più circoscritte</w:t>
      </w:r>
      <w:r w:rsidR="009D3418">
        <w:rPr>
          <w:rFonts w:asciiTheme="minorHAnsi" w:hAnsiTheme="minorHAnsi" w:cstheme="minorHAnsi"/>
          <w:sz w:val="24"/>
          <w:szCs w:val="24"/>
        </w:rPr>
        <w:t>.</w:t>
      </w:r>
    </w:p>
    <w:p w:rsidR="002F7DFF" w:rsidRDefault="002F7DFF" w:rsidP="003710BD">
      <w:pPr>
        <w:spacing w:line="360" w:lineRule="auto"/>
        <w:jc w:val="both"/>
        <w:rPr>
          <w:rFonts w:asciiTheme="minorHAnsi" w:hAnsiTheme="minorHAnsi" w:cstheme="minorHAnsi"/>
          <w:sz w:val="24"/>
          <w:szCs w:val="24"/>
          <w:u w:val="single"/>
        </w:rPr>
      </w:pPr>
    </w:p>
    <w:p w:rsidR="006B7620" w:rsidRDefault="006B7620" w:rsidP="003710BD">
      <w:pPr>
        <w:spacing w:line="360" w:lineRule="auto"/>
        <w:jc w:val="both"/>
        <w:rPr>
          <w:rFonts w:asciiTheme="minorHAnsi" w:hAnsiTheme="minorHAnsi" w:cstheme="minorHAnsi"/>
          <w:sz w:val="24"/>
          <w:szCs w:val="24"/>
          <w:u w:val="single"/>
        </w:rPr>
      </w:pPr>
    </w:p>
    <w:p w:rsidR="006B7620" w:rsidRDefault="006B7620" w:rsidP="003710BD">
      <w:pPr>
        <w:spacing w:line="360" w:lineRule="auto"/>
        <w:jc w:val="both"/>
        <w:rPr>
          <w:rFonts w:asciiTheme="minorHAnsi" w:hAnsiTheme="minorHAnsi" w:cstheme="minorHAnsi"/>
          <w:sz w:val="24"/>
          <w:szCs w:val="24"/>
          <w:u w:val="single"/>
        </w:rPr>
      </w:pPr>
    </w:p>
    <w:p w:rsidR="006E1163" w:rsidRPr="002F7DFF" w:rsidRDefault="00EA7657" w:rsidP="003710BD">
      <w:pPr>
        <w:spacing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lastRenderedPageBreak/>
        <w:t xml:space="preserve">I </w:t>
      </w:r>
      <w:r w:rsidR="006E1163" w:rsidRPr="002F7DFF">
        <w:rPr>
          <w:rFonts w:asciiTheme="minorHAnsi" w:hAnsiTheme="minorHAnsi" w:cstheme="minorHAnsi"/>
          <w:sz w:val="24"/>
          <w:szCs w:val="24"/>
          <w:u w:val="single"/>
        </w:rPr>
        <w:t>VINCOLI</w:t>
      </w:r>
      <w:r w:rsidR="009D3418">
        <w:rPr>
          <w:rFonts w:asciiTheme="minorHAnsi" w:hAnsiTheme="minorHAnsi" w:cstheme="minorHAnsi"/>
          <w:sz w:val="24"/>
          <w:szCs w:val="24"/>
          <w:u w:val="single"/>
        </w:rPr>
        <w:t xml:space="preserve"> NELL’OTTIMIZZAZIONE</w:t>
      </w:r>
    </w:p>
    <w:p w:rsidR="004B7266" w:rsidRDefault="004B7266" w:rsidP="003710BD">
      <w:pPr>
        <w:spacing w:line="360" w:lineRule="auto"/>
        <w:jc w:val="both"/>
        <w:rPr>
          <w:rFonts w:asciiTheme="minorHAnsi" w:hAnsiTheme="minorHAnsi" w:cstheme="minorHAnsi"/>
          <w:sz w:val="24"/>
          <w:szCs w:val="24"/>
        </w:rPr>
      </w:pPr>
      <w:r w:rsidRPr="004B7266">
        <w:rPr>
          <w:rFonts w:asciiTheme="minorHAnsi" w:hAnsiTheme="minorHAnsi" w:cstheme="minorHAnsi"/>
          <w:sz w:val="24"/>
          <w:szCs w:val="24"/>
        </w:rPr>
        <w:t xml:space="preserve">Per il processo di ottimizzazione dei portafogli modello di CheBanca! si è optato per la definizione </w:t>
      </w:r>
      <w:r w:rsidR="009D3418">
        <w:rPr>
          <w:rFonts w:asciiTheme="minorHAnsi" w:hAnsiTheme="minorHAnsi" w:cstheme="minorHAnsi"/>
          <w:sz w:val="24"/>
          <w:szCs w:val="24"/>
        </w:rPr>
        <w:t>dei seguenti vincoli</w:t>
      </w:r>
      <w:r w:rsidR="003B48A7">
        <w:rPr>
          <w:rFonts w:asciiTheme="minorHAnsi" w:hAnsiTheme="minorHAnsi" w:cstheme="minorHAnsi"/>
          <w:sz w:val="24"/>
          <w:szCs w:val="24"/>
        </w:rPr>
        <w:t xml:space="preserve"> (</w:t>
      </w:r>
      <w:r w:rsidR="003B48A7" w:rsidRPr="003B48A7">
        <w:rPr>
          <w:rFonts w:asciiTheme="minorHAnsi" w:hAnsiTheme="minorHAnsi" w:cstheme="minorHAnsi"/>
          <w:sz w:val="24"/>
          <w:szCs w:val="24"/>
        </w:rPr>
        <w:t xml:space="preserve">Tabella </w:t>
      </w:r>
      <w:r w:rsidR="003B48A7">
        <w:rPr>
          <w:rFonts w:asciiTheme="minorHAnsi" w:hAnsiTheme="minorHAnsi" w:cstheme="minorHAnsi"/>
          <w:sz w:val="24"/>
          <w:szCs w:val="24"/>
        </w:rPr>
        <w:t>5)</w:t>
      </w:r>
      <w:r w:rsidR="009D3418">
        <w:rPr>
          <w:rFonts w:asciiTheme="minorHAnsi" w:hAnsiTheme="minorHAnsi" w:cstheme="minorHAnsi"/>
          <w:sz w:val="24"/>
          <w:szCs w:val="24"/>
        </w:rPr>
        <w:t>:</w:t>
      </w:r>
    </w:p>
    <w:tbl>
      <w:tblPr>
        <w:tblW w:w="9820" w:type="dxa"/>
        <w:tblInd w:w="55" w:type="dxa"/>
        <w:tblCellMar>
          <w:left w:w="70" w:type="dxa"/>
          <w:right w:w="70" w:type="dxa"/>
        </w:tblCellMar>
        <w:tblLook w:val="04A0" w:firstRow="1" w:lastRow="0" w:firstColumn="1" w:lastColumn="0" w:noHBand="0" w:noVBand="1"/>
      </w:tblPr>
      <w:tblGrid>
        <w:gridCol w:w="3613"/>
        <w:gridCol w:w="1868"/>
        <w:gridCol w:w="1602"/>
        <w:gridCol w:w="1410"/>
        <w:gridCol w:w="1327"/>
      </w:tblGrid>
      <w:tr w:rsidR="00EB2D41" w:rsidRPr="00EB2D41" w:rsidTr="00EB2D41">
        <w:trPr>
          <w:trHeight w:val="972"/>
        </w:trPr>
        <w:tc>
          <w:tcPr>
            <w:tcW w:w="36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Asset Class:</w:t>
            </w:r>
          </w:p>
        </w:tc>
        <w:tc>
          <w:tcPr>
            <w:tcW w:w="1868" w:type="dxa"/>
            <w:tcBorders>
              <w:top w:val="single" w:sz="4" w:space="0" w:color="auto"/>
              <w:left w:val="nil"/>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Gruppo Appartenenza</w:t>
            </w:r>
          </w:p>
        </w:tc>
        <w:tc>
          <w:tcPr>
            <w:tcW w:w="1602" w:type="dxa"/>
            <w:tcBorders>
              <w:top w:val="single" w:sz="4" w:space="0" w:color="auto"/>
              <w:left w:val="nil"/>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LOWER BOUND                          infra-gruppo</w:t>
            </w:r>
          </w:p>
        </w:tc>
        <w:tc>
          <w:tcPr>
            <w:tcW w:w="1410" w:type="dxa"/>
            <w:tcBorders>
              <w:top w:val="single" w:sz="4" w:space="0" w:color="auto"/>
              <w:left w:val="nil"/>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Pesi infra-gruppo NEUTRALI</w:t>
            </w:r>
          </w:p>
        </w:tc>
        <w:tc>
          <w:tcPr>
            <w:tcW w:w="1327" w:type="dxa"/>
            <w:tcBorders>
              <w:top w:val="single" w:sz="4" w:space="0" w:color="auto"/>
              <w:left w:val="nil"/>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UPPER BOUND                          infra-gruppo</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Monetario in €</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1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in € Tutte le Scadenze</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2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52%</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53%</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57%</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in € Breve Termine</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2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43%</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47%</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48%</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 xml:space="preserve">Obbligazionario Globale Paesi Sviluppati </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3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65%</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75%</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77%</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Paesi Emergenti</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3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14%</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15%</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18%</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High Yield</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3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8%</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12%</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Europa</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4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28%</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31%</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36%</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Nord America</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4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38%</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42%</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42%</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Pacifico</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4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7%</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12%</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16%</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Paesi Emergenti</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4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9%</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15%</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18%</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Opportunities</w:t>
            </w:r>
          </w:p>
        </w:tc>
        <w:tc>
          <w:tcPr>
            <w:tcW w:w="1868"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 xml:space="preserve">5 </w:t>
            </w:r>
          </w:p>
        </w:tc>
        <w:tc>
          <w:tcPr>
            <w:tcW w:w="1602"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1410"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c>
          <w:tcPr>
            <w:tcW w:w="1327"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bl>
    <w:p w:rsidR="004B7266" w:rsidRDefault="004B7266" w:rsidP="004C15CB">
      <w:pPr>
        <w:spacing w:line="360" w:lineRule="auto"/>
        <w:jc w:val="center"/>
        <w:rPr>
          <w:rStyle w:val="Rimandocommento"/>
          <w:sz w:val="20"/>
          <w:szCs w:val="20"/>
        </w:rPr>
      </w:pPr>
    </w:p>
    <w:p w:rsidR="003357F9" w:rsidRDefault="003357F9" w:rsidP="004C15CB">
      <w:pPr>
        <w:spacing w:line="360" w:lineRule="auto"/>
        <w:jc w:val="center"/>
        <w:rPr>
          <w:rStyle w:val="Rimandocommento"/>
          <w:sz w:val="20"/>
          <w:szCs w:val="20"/>
        </w:rPr>
      </w:pPr>
    </w:p>
    <w:tbl>
      <w:tblPr>
        <w:tblW w:w="5041" w:type="dxa"/>
        <w:tblInd w:w="55" w:type="dxa"/>
        <w:tblCellMar>
          <w:left w:w="70" w:type="dxa"/>
          <w:right w:w="70" w:type="dxa"/>
        </w:tblCellMar>
        <w:tblLook w:val="04A0" w:firstRow="1" w:lastRow="0" w:firstColumn="1" w:lastColumn="0" w:noHBand="0" w:noVBand="1"/>
      </w:tblPr>
      <w:tblGrid>
        <w:gridCol w:w="3613"/>
        <w:gridCol w:w="824"/>
        <w:gridCol w:w="824"/>
      </w:tblGrid>
      <w:tr w:rsidR="00EB2D41" w:rsidRPr="00EB2D41" w:rsidTr="00EB2D41">
        <w:trPr>
          <w:trHeight w:val="864"/>
        </w:trPr>
        <w:tc>
          <w:tcPr>
            <w:tcW w:w="36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Asset Class:</w:t>
            </w:r>
          </w:p>
        </w:tc>
        <w:tc>
          <w:tcPr>
            <w:tcW w:w="714" w:type="dxa"/>
            <w:tcBorders>
              <w:top w:val="single" w:sz="4" w:space="0" w:color="auto"/>
              <w:left w:val="nil"/>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LOWER BOUND                             assoluti</w:t>
            </w:r>
          </w:p>
        </w:tc>
        <w:tc>
          <w:tcPr>
            <w:tcW w:w="714" w:type="dxa"/>
            <w:tcBorders>
              <w:top w:val="single" w:sz="4" w:space="0" w:color="auto"/>
              <w:left w:val="nil"/>
              <w:bottom w:val="single" w:sz="4" w:space="0" w:color="auto"/>
              <w:right w:val="single" w:sz="4" w:space="0" w:color="auto"/>
            </w:tcBorders>
            <w:shd w:val="clear" w:color="auto" w:fill="auto"/>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UPPER BOUND                          assoluti</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Monetario in €</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in € Tutte le Scadenze</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in € Breve Termine</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 xml:space="preserve">Obbligazionario Globale Paesi Sviluppati </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Paesi Emergenti</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Obbligazionario High Yield</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Europa</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Nord America</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Pacifico</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Azionario Paesi Emergenti</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r w:rsidR="00EB2D41" w:rsidRPr="00EB2D41" w:rsidTr="00EB2D41">
        <w:trPr>
          <w:trHeight w:val="288"/>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rPr>
                <w:rFonts w:ascii="Calibri" w:hAnsi="Calibri"/>
                <w:color w:val="000000"/>
                <w:sz w:val="22"/>
                <w:szCs w:val="22"/>
                <w:lang w:eastAsia="it-IT"/>
              </w:rPr>
            </w:pPr>
            <w:r w:rsidRPr="00EB2D41">
              <w:rPr>
                <w:rFonts w:ascii="Calibri" w:hAnsi="Calibri"/>
                <w:color w:val="000000"/>
                <w:sz w:val="22"/>
                <w:szCs w:val="22"/>
                <w:lang w:eastAsia="it-IT"/>
              </w:rPr>
              <w:t>Opportunities</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0%</w:t>
            </w:r>
          </w:p>
        </w:tc>
        <w:tc>
          <w:tcPr>
            <w:tcW w:w="714" w:type="dxa"/>
            <w:tcBorders>
              <w:top w:val="nil"/>
              <w:left w:val="nil"/>
              <w:bottom w:val="single" w:sz="4" w:space="0" w:color="auto"/>
              <w:right w:val="single" w:sz="4" w:space="0" w:color="auto"/>
            </w:tcBorders>
            <w:shd w:val="clear" w:color="auto" w:fill="auto"/>
            <w:noWrap/>
            <w:vAlign w:val="bottom"/>
            <w:hideMark/>
          </w:tcPr>
          <w:p w:rsidR="00EB2D41" w:rsidRPr="00EB2D41" w:rsidRDefault="00EB2D41" w:rsidP="00EB2D41">
            <w:pPr>
              <w:autoSpaceDE/>
              <w:autoSpaceDN/>
              <w:adjustRightInd/>
              <w:jc w:val="center"/>
              <w:rPr>
                <w:rFonts w:ascii="Calibri" w:hAnsi="Calibri"/>
                <w:color w:val="000000"/>
                <w:sz w:val="22"/>
                <w:szCs w:val="22"/>
                <w:lang w:eastAsia="it-IT"/>
              </w:rPr>
            </w:pPr>
            <w:r w:rsidRPr="00EB2D41">
              <w:rPr>
                <w:rFonts w:ascii="Calibri" w:hAnsi="Calibri"/>
                <w:color w:val="000000"/>
                <w:sz w:val="22"/>
                <w:szCs w:val="22"/>
                <w:lang w:eastAsia="it-IT"/>
              </w:rPr>
              <w:t>100%</w:t>
            </w:r>
          </w:p>
        </w:tc>
      </w:tr>
    </w:tbl>
    <w:p w:rsidR="009D3418" w:rsidRDefault="009D3418" w:rsidP="004C15CB">
      <w:pPr>
        <w:spacing w:line="360" w:lineRule="auto"/>
        <w:jc w:val="center"/>
        <w:rPr>
          <w:rStyle w:val="Rimandocommento"/>
          <w:sz w:val="20"/>
          <w:szCs w:val="20"/>
        </w:rPr>
      </w:pPr>
    </w:p>
    <w:tbl>
      <w:tblPr>
        <w:tblW w:w="8440" w:type="dxa"/>
        <w:tblInd w:w="55" w:type="dxa"/>
        <w:tblCellMar>
          <w:left w:w="70" w:type="dxa"/>
          <w:right w:w="70" w:type="dxa"/>
        </w:tblCellMar>
        <w:tblLook w:val="04A0" w:firstRow="1" w:lastRow="0" w:firstColumn="1" w:lastColumn="0" w:noHBand="0" w:noVBand="1"/>
      </w:tblPr>
      <w:tblGrid>
        <w:gridCol w:w="1440"/>
        <w:gridCol w:w="1400"/>
        <w:gridCol w:w="1620"/>
        <w:gridCol w:w="1420"/>
        <w:gridCol w:w="1340"/>
        <w:gridCol w:w="1220"/>
      </w:tblGrid>
      <w:tr w:rsidR="00EB2D41" w:rsidRPr="00EB2D41" w:rsidTr="00EB2D41">
        <w:trPr>
          <w:trHeight w:val="408"/>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jc w:val="center"/>
              <w:rPr>
                <w:rFonts w:ascii="Arial" w:hAnsi="Arial" w:cs="Arial"/>
                <w:b/>
                <w:bCs/>
                <w:lang w:eastAsia="it-IT"/>
              </w:rPr>
            </w:pPr>
            <w:r w:rsidRPr="00EB2D41">
              <w:rPr>
                <w:rFonts w:ascii="Arial" w:hAnsi="Arial" w:cs="Arial"/>
                <w:b/>
                <w:bCs/>
                <w:lang w:eastAsia="it-IT"/>
              </w:rPr>
              <w:t>Gruppi:</w:t>
            </w:r>
          </w:p>
        </w:tc>
        <w:tc>
          <w:tcPr>
            <w:tcW w:w="1400" w:type="dxa"/>
            <w:tcBorders>
              <w:top w:val="single" w:sz="4" w:space="0" w:color="auto"/>
              <w:left w:val="nil"/>
              <w:bottom w:val="single" w:sz="4" w:space="0" w:color="auto"/>
              <w:right w:val="single" w:sz="4" w:space="0" w:color="auto"/>
            </w:tcBorders>
            <w:shd w:val="clear" w:color="000000" w:fill="FFFFFF"/>
            <w:vAlign w:val="center"/>
            <w:hideMark/>
          </w:tcPr>
          <w:p w:rsidR="00EB2D41" w:rsidRPr="00EB2D41" w:rsidRDefault="00EB2D41" w:rsidP="00EB2D41">
            <w:pPr>
              <w:autoSpaceDE/>
              <w:autoSpaceDN/>
              <w:adjustRightInd/>
              <w:jc w:val="center"/>
              <w:rPr>
                <w:rFonts w:ascii="Arial" w:hAnsi="Arial" w:cs="Arial"/>
                <w:b/>
                <w:bCs/>
                <w:sz w:val="16"/>
                <w:szCs w:val="16"/>
                <w:lang w:eastAsia="it-IT"/>
              </w:rPr>
            </w:pPr>
            <w:r w:rsidRPr="00EB2D41">
              <w:rPr>
                <w:rFonts w:ascii="Arial" w:hAnsi="Arial" w:cs="Arial"/>
                <w:b/>
                <w:bCs/>
                <w:sz w:val="16"/>
                <w:szCs w:val="16"/>
                <w:lang w:eastAsia="it-IT"/>
              </w:rPr>
              <w:t>Specifica Gruppo</w:t>
            </w:r>
          </w:p>
        </w:tc>
        <w:tc>
          <w:tcPr>
            <w:tcW w:w="1620" w:type="dxa"/>
            <w:tcBorders>
              <w:top w:val="single" w:sz="4" w:space="0" w:color="auto"/>
              <w:left w:val="nil"/>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jc w:val="center"/>
              <w:rPr>
                <w:rFonts w:ascii="Arial" w:hAnsi="Arial" w:cs="Arial"/>
                <w:b/>
                <w:bCs/>
                <w:lang w:eastAsia="it-IT"/>
              </w:rPr>
            </w:pPr>
            <w:r w:rsidRPr="00EB2D41">
              <w:rPr>
                <w:rFonts w:ascii="Arial" w:hAnsi="Arial" w:cs="Arial"/>
                <w:b/>
                <w:bCs/>
                <w:lang w:eastAsia="it-IT"/>
              </w:rPr>
              <w:t>Gruppi:</w:t>
            </w:r>
          </w:p>
        </w:tc>
        <w:tc>
          <w:tcPr>
            <w:tcW w:w="1420" w:type="dxa"/>
            <w:tcBorders>
              <w:top w:val="single" w:sz="4" w:space="0" w:color="auto"/>
              <w:left w:val="nil"/>
              <w:bottom w:val="single" w:sz="4" w:space="0" w:color="auto"/>
              <w:right w:val="single" w:sz="4" w:space="0" w:color="auto"/>
            </w:tcBorders>
            <w:shd w:val="clear" w:color="000000" w:fill="FFFFFF"/>
            <w:vAlign w:val="center"/>
            <w:hideMark/>
          </w:tcPr>
          <w:p w:rsidR="00EB2D41" w:rsidRPr="00EB2D41" w:rsidRDefault="00EB2D41" w:rsidP="00EB2D41">
            <w:pPr>
              <w:autoSpaceDE/>
              <w:autoSpaceDN/>
              <w:adjustRightInd/>
              <w:jc w:val="center"/>
              <w:rPr>
                <w:rFonts w:ascii="Arial" w:hAnsi="Arial" w:cs="Arial"/>
                <w:b/>
                <w:bCs/>
                <w:sz w:val="16"/>
                <w:szCs w:val="16"/>
                <w:lang w:eastAsia="it-IT"/>
              </w:rPr>
            </w:pPr>
            <w:r w:rsidRPr="00EB2D41">
              <w:rPr>
                <w:rFonts w:ascii="Arial" w:hAnsi="Arial" w:cs="Arial"/>
                <w:b/>
                <w:bCs/>
                <w:sz w:val="16"/>
                <w:szCs w:val="16"/>
                <w:lang w:eastAsia="it-IT"/>
              </w:rPr>
              <w:t>Specifica Gruppo</w:t>
            </w:r>
          </w:p>
        </w:tc>
        <w:tc>
          <w:tcPr>
            <w:tcW w:w="1340" w:type="dxa"/>
            <w:tcBorders>
              <w:top w:val="single" w:sz="4" w:space="0" w:color="auto"/>
              <w:left w:val="nil"/>
              <w:bottom w:val="single" w:sz="4" w:space="0" w:color="auto"/>
              <w:right w:val="single" w:sz="4" w:space="0" w:color="auto"/>
            </w:tcBorders>
            <w:shd w:val="clear" w:color="000000" w:fill="FFFFFF"/>
            <w:vAlign w:val="center"/>
            <w:hideMark/>
          </w:tcPr>
          <w:p w:rsidR="00EB2D41" w:rsidRPr="00EB2D41" w:rsidRDefault="00EB2D41" w:rsidP="00EB2D41">
            <w:pPr>
              <w:autoSpaceDE/>
              <w:autoSpaceDN/>
              <w:adjustRightInd/>
              <w:jc w:val="center"/>
              <w:rPr>
                <w:rFonts w:ascii="Arial" w:hAnsi="Arial" w:cs="Arial"/>
                <w:b/>
                <w:bCs/>
                <w:sz w:val="16"/>
                <w:szCs w:val="16"/>
                <w:lang w:eastAsia="it-IT"/>
              </w:rPr>
            </w:pPr>
            <w:r w:rsidRPr="00EB2D41">
              <w:rPr>
                <w:rFonts w:ascii="Arial" w:hAnsi="Arial" w:cs="Arial"/>
                <w:b/>
                <w:bCs/>
                <w:sz w:val="16"/>
                <w:szCs w:val="16"/>
                <w:lang w:eastAsia="it-IT"/>
              </w:rPr>
              <w:t>LOWER BOUND</w:t>
            </w:r>
          </w:p>
        </w:tc>
        <w:tc>
          <w:tcPr>
            <w:tcW w:w="1220" w:type="dxa"/>
            <w:tcBorders>
              <w:top w:val="single" w:sz="4" w:space="0" w:color="auto"/>
              <w:left w:val="nil"/>
              <w:bottom w:val="single" w:sz="4" w:space="0" w:color="auto"/>
              <w:right w:val="single" w:sz="4" w:space="0" w:color="auto"/>
            </w:tcBorders>
            <w:shd w:val="clear" w:color="000000" w:fill="FFFFFF"/>
            <w:vAlign w:val="center"/>
            <w:hideMark/>
          </w:tcPr>
          <w:p w:rsidR="00EB2D41" w:rsidRPr="00EB2D41" w:rsidRDefault="00EB2D41" w:rsidP="00EB2D41">
            <w:pPr>
              <w:autoSpaceDE/>
              <w:autoSpaceDN/>
              <w:adjustRightInd/>
              <w:jc w:val="center"/>
              <w:rPr>
                <w:rFonts w:ascii="Arial" w:hAnsi="Arial" w:cs="Arial"/>
                <w:b/>
                <w:bCs/>
                <w:sz w:val="16"/>
                <w:szCs w:val="16"/>
                <w:lang w:eastAsia="it-IT"/>
              </w:rPr>
            </w:pPr>
            <w:r w:rsidRPr="00EB2D41">
              <w:rPr>
                <w:rFonts w:ascii="Arial" w:hAnsi="Arial" w:cs="Arial"/>
                <w:b/>
                <w:bCs/>
                <w:sz w:val="16"/>
                <w:szCs w:val="16"/>
                <w:lang w:eastAsia="it-IT"/>
              </w:rPr>
              <w:t>UPPER BOUND</w:t>
            </w:r>
          </w:p>
        </w:tc>
      </w:tr>
      <w:tr w:rsidR="00EB2D41" w:rsidRPr="00EB2D41" w:rsidTr="00EB2D41">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rPr>
                <w:rFonts w:ascii="Calibri" w:hAnsi="Calibri"/>
                <w:sz w:val="22"/>
                <w:szCs w:val="22"/>
                <w:lang w:eastAsia="it-IT"/>
              </w:rPr>
            </w:pPr>
            <w:r w:rsidRPr="00EB2D41">
              <w:rPr>
                <w:rFonts w:ascii="Calibri" w:hAnsi="Calibri"/>
                <w:sz w:val="22"/>
                <w:szCs w:val="22"/>
                <w:lang w:eastAsia="it-IT"/>
              </w:rPr>
              <w:t>1° Gruppo</w:t>
            </w:r>
          </w:p>
        </w:tc>
        <w:tc>
          <w:tcPr>
            <w:tcW w:w="1400" w:type="dxa"/>
            <w:tcBorders>
              <w:top w:val="nil"/>
              <w:left w:val="nil"/>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jc w:val="center"/>
              <w:rPr>
                <w:rFonts w:ascii="Arial" w:hAnsi="Arial" w:cs="Arial"/>
                <w:b/>
                <w:bCs/>
                <w:lang w:eastAsia="it-IT"/>
              </w:rPr>
            </w:pPr>
            <w:r w:rsidRPr="00EB2D41">
              <w:rPr>
                <w:rFonts w:ascii="Arial" w:hAnsi="Arial" w:cs="Arial"/>
                <w:b/>
                <w:bCs/>
                <w:lang w:eastAsia="it-IT"/>
              </w:rPr>
              <w:t>3</w:t>
            </w:r>
          </w:p>
        </w:tc>
        <w:tc>
          <w:tcPr>
            <w:tcW w:w="1620" w:type="dxa"/>
            <w:tcBorders>
              <w:top w:val="nil"/>
              <w:left w:val="nil"/>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rPr>
                <w:rFonts w:ascii="Calibri" w:hAnsi="Calibri"/>
                <w:sz w:val="22"/>
                <w:szCs w:val="22"/>
                <w:lang w:eastAsia="it-IT"/>
              </w:rPr>
            </w:pPr>
            <w:r w:rsidRPr="00EB2D41">
              <w:rPr>
                <w:rFonts w:ascii="Calibri" w:hAnsi="Calibri"/>
                <w:sz w:val="22"/>
                <w:szCs w:val="22"/>
                <w:lang w:eastAsia="it-IT"/>
              </w:rPr>
              <w:t>2° Gruppo</w:t>
            </w:r>
          </w:p>
        </w:tc>
        <w:tc>
          <w:tcPr>
            <w:tcW w:w="1420" w:type="dxa"/>
            <w:tcBorders>
              <w:top w:val="nil"/>
              <w:left w:val="nil"/>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jc w:val="center"/>
              <w:rPr>
                <w:rFonts w:ascii="Arial" w:hAnsi="Arial" w:cs="Arial"/>
                <w:b/>
                <w:bCs/>
                <w:lang w:eastAsia="it-IT"/>
              </w:rPr>
            </w:pPr>
            <w:r w:rsidRPr="00EB2D41">
              <w:rPr>
                <w:rFonts w:ascii="Arial" w:hAnsi="Arial" w:cs="Arial"/>
                <w:b/>
                <w:bCs/>
                <w:lang w:eastAsia="it-IT"/>
              </w:rPr>
              <w:t>2</w:t>
            </w:r>
          </w:p>
        </w:tc>
        <w:tc>
          <w:tcPr>
            <w:tcW w:w="1340" w:type="dxa"/>
            <w:tcBorders>
              <w:top w:val="nil"/>
              <w:left w:val="nil"/>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jc w:val="center"/>
              <w:rPr>
                <w:rFonts w:ascii="Arial" w:hAnsi="Arial" w:cs="Arial"/>
                <w:b/>
                <w:bCs/>
                <w:lang w:eastAsia="it-IT"/>
              </w:rPr>
            </w:pPr>
            <w:r w:rsidRPr="00EB2D41">
              <w:rPr>
                <w:rFonts w:ascii="Arial" w:hAnsi="Arial" w:cs="Arial"/>
                <w:b/>
                <w:bCs/>
                <w:lang w:eastAsia="it-IT"/>
              </w:rPr>
              <w:t>40,00%</w:t>
            </w:r>
          </w:p>
        </w:tc>
        <w:tc>
          <w:tcPr>
            <w:tcW w:w="1220" w:type="dxa"/>
            <w:tcBorders>
              <w:top w:val="nil"/>
              <w:left w:val="nil"/>
              <w:bottom w:val="single" w:sz="4" w:space="0" w:color="auto"/>
              <w:right w:val="single" w:sz="4" w:space="0" w:color="auto"/>
            </w:tcBorders>
            <w:shd w:val="clear" w:color="000000" w:fill="FFFFFF"/>
            <w:noWrap/>
            <w:vAlign w:val="bottom"/>
            <w:hideMark/>
          </w:tcPr>
          <w:p w:rsidR="00EB2D41" w:rsidRPr="00EB2D41" w:rsidRDefault="00EB2D41" w:rsidP="00EB2D41">
            <w:pPr>
              <w:autoSpaceDE/>
              <w:autoSpaceDN/>
              <w:adjustRightInd/>
              <w:jc w:val="center"/>
              <w:rPr>
                <w:rFonts w:ascii="Arial" w:hAnsi="Arial" w:cs="Arial"/>
                <w:b/>
                <w:bCs/>
                <w:lang w:eastAsia="it-IT"/>
              </w:rPr>
            </w:pPr>
            <w:r w:rsidRPr="00EB2D41">
              <w:rPr>
                <w:rFonts w:ascii="Arial" w:hAnsi="Arial" w:cs="Arial"/>
                <w:b/>
                <w:bCs/>
                <w:lang w:eastAsia="it-IT"/>
              </w:rPr>
              <w:t>100,00%</w:t>
            </w:r>
          </w:p>
        </w:tc>
      </w:tr>
    </w:tbl>
    <w:p w:rsidR="00C804FA" w:rsidRDefault="00765E8B" w:rsidP="00EB2D41">
      <w:pPr>
        <w:spacing w:line="360" w:lineRule="auto"/>
        <w:rPr>
          <w:rFonts w:asciiTheme="minorHAnsi" w:hAnsiTheme="minorHAnsi" w:cstheme="minorHAnsi"/>
          <w:b/>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5</w:t>
      </w:r>
    </w:p>
    <w:p w:rsidR="00EB2D41" w:rsidRDefault="00EB2D41" w:rsidP="00E37B96">
      <w:pPr>
        <w:spacing w:line="360" w:lineRule="auto"/>
        <w:ind w:left="1843"/>
        <w:rPr>
          <w:rFonts w:asciiTheme="minorHAnsi" w:hAnsiTheme="minorHAnsi" w:cstheme="minorHAnsi"/>
          <w:sz w:val="24"/>
          <w:szCs w:val="24"/>
        </w:rPr>
      </w:pPr>
    </w:p>
    <w:p w:rsidR="004B7266" w:rsidRDefault="009D3418"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 vincoli di peso infra gruppo vengono definiti in modo da permettere a ciascuna asset class di assumere un peso all’interno del gruppo di appartenenza</w:t>
      </w:r>
      <w:r w:rsidR="00E000D0">
        <w:rPr>
          <w:rFonts w:asciiTheme="minorHAnsi" w:hAnsiTheme="minorHAnsi" w:cstheme="minorHAnsi"/>
          <w:sz w:val="24"/>
          <w:szCs w:val="24"/>
        </w:rPr>
        <w:t xml:space="preserve"> diverso dal peso </w:t>
      </w:r>
      <w:r w:rsidR="00E000D0" w:rsidRPr="00E30EE2">
        <w:rPr>
          <w:rFonts w:asciiTheme="minorHAnsi" w:hAnsiTheme="minorHAnsi" w:cstheme="minorHAnsi"/>
          <w:i/>
          <w:sz w:val="24"/>
          <w:szCs w:val="24"/>
        </w:rPr>
        <w:t>market neutral</w:t>
      </w:r>
      <w:r w:rsidR="00E000D0">
        <w:rPr>
          <w:rFonts w:asciiTheme="minorHAnsi" w:hAnsiTheme="minorHAnsi" w:cstheme="minorHAnsi"/>
          <w:sz w:val="24"/>
          <w:szCs w:val="24"/>
        </w:rPr>
        <w:t xml:space="preserve">. Tuttavia, la necessità di </w:t>
      </w:r>
      <w:r w:rsidR="00E30EE2">
        <w:rPr>
          <w:rFonts w:asciiTheme="minorHAnsi" w:hAnsiTheme="minorHAnsi" w:cstheme="minorHAnsi"/>
          <w:sz w:val="24"/>
          <w:szCs w:val="24"/>
        </w:rPr>
        <w:t>gestire i fenomeni</w:t>
      </w:r>
      <w:r w:rsidR="00800406">
        <w:rPr>
          <w:rFonts w:asciiTheme="minorHAnsi" w:hAnsiTheme="minorHAnsi" w:cstheme="minorHAnsi"/>
          <w:sz w:val="24"/>
          <w:szCs w:val="24"/>
        </w:rPr>
        <w:t xml:space="preserve"> </w:t>
      </w:r>
      <w:r w:rsidR="00E30EE2">
        <w:rPr>
          <w:rFonts w:asciiTheme="minorHAnsi" w:hAnsiTheme="minorHAnsi" w:cstheme="minorHAnsi"/>
          <w:sz w:val="24"/>
          <w:szCs w:val="24"/>
        </w:rPr>
        <w:t>del</w:t>
      </w:r>
      <w:r w:rsidR="00E000D0">
        <w:rPr>
          <w:rFonts w:asciiTheme="minorHAnsi" w:hAnsiTheme="minorHAnsi" w:cstheme="minorHAnsi"/>
          <w:sz w:val="24"/>
          <w:szCs w:val="24"/>
        </w:rPr>
        <w:t xml:space="preserve">l’estimation error e </w:t>
      </w:r>
      <w:r w:rsidR="00E30EE2">
        <w:rPr>
          <w:rFonts w:asciiTheme="minorHAnsi" w:hAnsiTheme="minorHAnsi" w:cstheme="minorHAnsi"/>
          <w:sz w:val="24"/>
          <w:szCs w:val="24"/>
        </w:rPr>
        <w:t>del</w:t>
      </w:r>
      <w:r w:rsidR="00E000D0">
        <w:rPr>
          <w:rFonts w:asciiTheme="minorHAnsi" w:hAnsiTheme="minorHAnsi" w:cstheme="minorHAnsi"/>
          <w:sz w:val="24"/>
          <w:szCs w:val="24"/>
        </w:rPr>
        <w:t xml:space="preserve">la ragionevolezza dei </w:t>
      </w:r>
      <w:r w:rsidR="00E000D0">
        <w:rPr>
          <w:rFonts w:asciiTheme="minorHAnsi" w:hAnsiTheme="minorHAnsi" w:cstheme="minorHAnsi"/>
          <w:sz w:val="24"/>
          <w:szCs w:val="24"/>
        </w:rPr>
        <w:lastRenderedPageBreak/>
        <w:t xml:space="preserve">portafogli ha suggerito di definire degli intervalli </w:t>
      </w:r>
      <w:r w:rsidR="00E30EE2">
        <w:rPr>
          <w:rFonts w:asciiTheme="minorHAnsi" w:hAnsiTheme="minorHAnsi" w:cstheme="minorHAnsi"/>
          <w:sz w:val="24"/>
          <w:szCs w:val="24"/>
        </w:rPr>
        <w:t>(</w:t>
      </w:r>
      <w:r w:rsidR="00E000D0">
        <w:rPr>
          <w:rFonts w:asciiTheme="minorHAnsi" w:hAnsiTheme="minorHAnsi" w:cstheme="minorHAnsi"/>
          <w:sz w:val="24"/>
          <w:szCs w:val="24"/>
        </w:rPr>
        <w:t>delimitati dai pesi minimi e massimi</w:t>
      </w:r>
      <w:r w:rsidR="00E30EE2">
        <w:rPr>
          <w:rFonts w:asciiTheme="minorHAnsi" w:hAnsiTheme="minorHAnsi" w:cstheme="minorHAnsi"/>
          <w:sz w:val="24"/>
          <w:szCs w:val="24"/>
        </w:rPr>
        <w:t>)</w:t>
      </w:r>
      <w:r w:rsidR="004A79CA">
        <w:rPr>
          <w:rFonts w:asciiTheme="minorHAnsi" w:hAnsiTheme="minorHAnsi" w:cstheme="minorHAnsi"/>
          <w:sz w:val="24"/>
          <w:szCs w:val="24"/>
        </w:rPr>
        <w:t xml:space="preserve"> che impediscono di allontanarsi </w:t>
      </w:r>
      <w:r w:rsidR="00E30EE2">
        <w:rPr>
          <w:rFonts w:asciiTheme="minorHAnsi" w:hAnsiTheme="minorHAnsi" w:cstheme="minorHAnsi"/>
          <w:sz w:val="24"/>
          <w:szCs w:val="24"/>
        </w:rPr>
        <w:t>sensibilmente</w:t>
      </w:r>
      <w:r w:rsidR="004A79CA">
        <w:rPr>
          <w:rFonts w:asciiTheme="minorHAnsi" w:hAnsiTheme="minorHAnsi" w:cstheme="minorHAnsi"/>
          <w:sz w:val="24"/>
          <w:szCs w:val="24"/>
        </w:rPr>
        <w:t xml:space="preserve"> d</w:t>
      </w:r>
      <w:r w:rsidR="00C804FA">
        <w:rPr>
          <w:rFonts w:asciiTheme="minorHAnsi" w:hAnsiTheme="minorHAnsi" w:cstheme="minorHAnsi"/>
          <w:sz w:val="24"/>
          <w:szCs w:val="24"/>
        </w:rPr>
        <w:t xml:space="preserve">ai pesi pel portafoglio </w:t>
      </w:r>
      <w:r w:rsidR="004A79CA">
        <w:rPr>
          <w:rFonts w:asciiTheme="minorHAnsi" w:hAnsiTheme="minorHAnsi" w:cstheme="minorHAnsi"/>
          <w:sz w:val="24"/>
          <w:szCs w:val="24"/>
        </w:rPr>
        <w:t>market neutral.</w:t>
      </w:r>
    </w:p>
    <w:p w:rsidR="004A79CA" w:rsidRDefault="004A79CA"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 vincoli di peso assoluti relativi al monetario in € e al comparto Opportunities rispondono alla esigenza commerciale di non investire</w:t>
      </w:r>
      <w:r w:rsidR="00433452">
        <w:rPr>
          <w:rFonts w:asciiTheme="minorHAnsi" w:hAnsiTheme="minorHAnsi" w:cstheme="minorHAnsi"/>
          <w:sz w:val="24"/>
          <w:szCs w:val="24"/>
        </w:rPr>
        <w:t xml:space="preserve"> </w:t>
      </w:r>
      <w:r w:rsidR="00E37B96">
        <w:rPr>
          <w:rFonts w:asciiTheme="minorHAnsi" w:hAnsiTheme="minorHAnsi" w:cstheme="minorHAnsi"/>
          <w:sz w:val="24"/>
          <w:szCs w:val="24"/>
        </w:rPr>
        <w:t>(ne</w:t>
      </w:r>
      <w:r w:rsidR="00876568">
        <w:rPr>
          <w:rFonts w:asciiTheme="minorHAnsi" w:hAnsiTheme="minorHAnsi" w:cstheme="minorHAnsi"/>
          <w:sz w:val="24"/>
          <w:szCs w:val="24"/>
        </w:rPr>
        <w:t>lla prima elaborazione dei portafogli modello strategici</w:t>
      </w:r>
      <w:r w:rsidR="00E37B96">
        <w:rPr>
          <w:rFonts w:asciiTheme="minorHAnsi" w:hAnsiTheme="minorHAnsi" w:cstheme="minorHAnsi"/>
          <w:sz w:val="24"/>
          <w:szCs w:val="24"/>
        </w:rPr>
        <w:t>)</w:t>
      </w:r>
      <w:r>
        <w:rPr>
          <w:rFonts w:asciiTheme="minorHAnsi" w:hAnsiTheme="minorHAnsi" w:cstheme="minorHAnsi"/>
          <w:sz w:val="24"/>
          <w:szCs w:val="24"/>
        </w:rPr>
        <w:t xml:space="preserve">, per tale segmento di clientela, in </w:t>
      </w:r>
      <w:r w:rsidR="00E30EE2">
        <w:rPr>
          <w:rFonts w:asciiTheme="minorHAnsi" w:hAnsiTheme="minorHAnsi" w:cstheme="minorHAnsi"/>
          <w:sz w:val="24"/>
          <w:szCs w:val="24"/>
        </w:rPr>
        <w:t>queste</w:t>
      </w:r>
      <w:r>
        <w:rPr>
          <w:rFonts w:asciiTheme="minorHAnsi" w:hAnsiTheme="minorHAnsi" w:cstheme="minorHAnsi"/>
          <w:sz w:val="24"/>
          <w:szCs w:val="24"/>
        </w:rPr>
        <w:t xml:space="preserve"> asset class.</w:t>
      </w:r>
    </w:p>
    <w:p w:rsidR="004A79CA" w:rsidRDefault="004A79CA"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 vincoli di peso relativo tra gruppi sono stati inseriti allo scopo di gestire il fenomeno dell’</w:t>
      </w:r>
      <w:r w:rsidRPr="00E30EE2">
        <w:rPr>
          <w:rFonts w:asciiTheme="minorHAnsi" w:hAnsiTheme="minorHAnsi" w:cstheme="minorHAnsi"/>
          <w:i/>
          <w:sz w:val="24"/>
          <w:szCs w:val="24"/>
        </w:rPr>
        <w:t>home bias</w:t>
      </w:r>
      <w:r>
        <w:rPr>
          <w:rFonts w:asciiTheme="minorHAnsi" w:hAnsiTheme="minorHAnsi" w:cstheme="minorHAnsi"/>
          <w:sz w:val="24"/>
          <w:szCs w:val="24"/>
        </w:rPr>
        <w:t>. In particolare, si sono introdotti dei limiti che impediscono all’obbligazionario in valuta (gruppo 3) di assumere un peso eccessivo rispetto all’obbligazionario in € (</w:t>
      </w:r>
      <w:r w:rsidR="007979F4">
        <w:rPr>
          <w:rFonts w:asciiTheme="minorHAnsi" w:hAnsiTheme="minorHAnsi" w:cstheme="minorHAnsi"/>
          <w:sz w:val="24"/>
          <w:szCs w:val="24"/>
        </w:rPr>
        <w:t>g</w:t>
      </w:r>
      <w:r>
        <w:rPr>
          <w:rFonts w:asciiTheme="minorHAnsi" w:hAnsiTheme="minorHAnsi" w:cstheme="minorHAnsi"/>
          <w:sz w:val="24"/>
          <w:szCs w:val="24"/>
        </w:rPr>
        <w:t>ruppo 2).</w:t>
      </w:r>
    </w:p>
    <w:p w:rsidR="004B7266" w:rsidRPr="000376E5" w:rsidRDefault="004B7266" w:rsidP="003710BD">
      <w:pPr>
        <w:spacing w:line="360" w:lineRule="auto"/>
        <w:jc w:val="both"/>
        <w:rPr>
          <w:rFonts w:asciiTheme="minorHAnsi" w:hAnsiTheme="minorHAnsi" w:cstheme="minorHAnsi"/>
          <w:sz w:val="24"/>
          <w:szCs w:val="24"/>
        </w:rPr>
      </w:pPr>
    </w:p>
    <w:p w:rsidR="004B7266" w:rsidRDefault="009B6BA5" w:rsidP="003710BD">
      <w:pPr>
        <w:spacing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 xml:space="preserve">I </w:t>
      </w:r>
      <w:r w:rsidR="006E1163" w:rsidRPr="002F7DFF">
        <w:rPr>
          <w:rFonts w:asciiTheme="minorHAnsi" w:hAnsiTheme="minorHAnsi" w:cstheme="minorHAnsi"/>
          <w:sz w:val="24"/>
          <w:szCs w:val="24"/>
          <w:u w:val="single"/>
        </w:rPr>
        <w:t xml:space="preserve">CRITERI DI INVIDUAZIONE DEI </w:t>
      </w:r>
      <w:r w:rsidR="00C804FA">
        <w:rPr>
          <w:rFonts w:asciiTheme="minorHAnsi" w:hAnsiTheme="minorHAnsi" w:cstheme="minorHAnsi"/>
          <w:sz w:val="24"/>
          <w:szCs w:val="24"/>
          <w:u w:val="single"/>
        </w:rPr>
        <w:t>PORTAFOGLI</w:t>
      </w:r>
      <w:r w:rsidR="006E1163" w:rsidRPr="002F7DFF">
        <w:rPr>
          <w:rFonts w:asciiTheme="minorHAnsi" w:hAnsiTheme="minorHAnsi" w:cstheme="minorHAnsi"/>
          <w:sz w:val="24"/>
          <w:szCs w:val="24"/>
          <w:u w:val="single"/>
        </w:rPr>
        <w:t>MODELLO</w:t>
      </w:r>
    </w:p>
    <w:p w:rsidR="00E30EE2" w:rsidRDefault="00E30EE2"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I criteri definiti ai fini dell’individuazione dei 7 portafogli modello sono </w:t>
      </w:r>
      <w:r w:rsidR="00C804FA">
        <w:rPr>
          <w:rFonts w:asciiTheme="minorHAnsi" w:hAnsiTheme="minorHAnsi" w:cstheme="minorHAnsi"/>
          <w:sz w:val="24"/>
          <w:szCs w:val="24"/>
        </w:rPr>
        <w:t xml:space="preserve">rappresentati in </w:t>
      </w:r>
      <w:r w:rsidR="003B48A7">
        <w:rPr>
          <w:rFonts w:asciiTheme="minorHAnsi" w:hAnsiTheme="minorHAnsi" w:cstheme="minorHAnsi"/>
          <w:sz w:val="24"/>
          <w:szCs w:val="24"/>
        </w:rPr>
        <w:t>Tabella 6</w:t>
      </w:r>
      <w:r>
        <w:rPr>
          <w:rFonts w:asciiTheme="minorHAnsi" w:hAnsiTheme="minorHAnsi" w:cstheme="minorHAnsi"/>
          <w:sz w:val="24"/>
          <w:szCs w:val="24"/>
        </w:rPr>
        <w:t>:</w:t>
      </w:r>
    </w:p>
    <w:p w:rsidR="003B48A7" w:rsidRPr="003D2BBB" w:rsidRDefault="003B48A7" w:rsidP="003B48A7">
      <w:pPr>
        <w:spacing w:line="360" w:lineRule="auto"/>
        <w:ind w:left="1134"/>
        <w:jc w:val="both"/>
        <w:rPr>
          <w:rFonts w:asciiTheme="minorHAnsi" w:hAnsiTheme="minorHAnsi" w:cstheme="minorHAnsi"/>
          <w:b/>
          <w:sz w:val="24"/>
          <w:szCs w:val="24"/>
        </w:rPr>
      </w:pPr>
    </w:p>
    <w:p w:rsidR="00CE76A2" w:rsidRDefault="00CE76A2" w:rsidP="00E30EE2">
      <w:pPr>
        <w:spacing w:line="360" w:lineRule="auto"/>
        <w:jc w:val="center"/>
        <w:rPr>
          <w:rFonts w:asciiTheme="minorHAnsi" w:hAnsiTheme="minorHAnsi" w:cstheme="minorHAnsi"/>
          <w:sz w:val="24"/>
          <w:szCs w:val="24"/>
        </w:rPr>
      </w:pPr>
      <w:r w:rsidRPr="000376E5">
        <w:rPr>
          <w:rFonts w:asciiTheme="minorHAnsi" w:hAnsiTheme="minorHAnsi" w:cstheme="minorHAnsi"/>
          <w:noProof/>
          <w:sz w:val="24"/>
          <w:szCs w:val="24"/>
          <w:lang w:eastAsia="it-IT"/>
        </w:rPr>
        <w:drawing>
          <wp:inline distT="0" distB="0" distL="0" distR="0" wp14:anchorId="35A7DEC6" wp14:editId="041A1E6F">
            <wp:extent cx="4781882" cy="1879126"/>
            <wp:effectExtent l="0" t="0" r="0" b="0"/>
            <wp:docPr id="93" name="Immagin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31"/>
                    <a:srcRect t="13095" r="4132" b="12202"/>
                    <a:stretch/>
                  </pic:blipFill>
                  <pic:spPr bwMode="auto">
                    <a:xfrm>
                      <a:off x="0" y="0"/>
                      <a:ext cx="4787457" cy="1881317"/>
                    </a:xfrm>
                    <a:prstGeom prst="rect">
                      <a:avLst/>
                    </a:prstGeom>
                    <a:noFill/>
                    <a:ln>
                      <a:noFill/>
                    </a:ln>
                    <a:extLst>
                      <a:ext uri="{53640926-AAD7-44D8-BBD7-CCE9431645EC}">
                        <a14:shadowObscured xmlns:a14="http://schemas.microsoft.com/office/drawing/2010/main"/>
                      </a:ext>
                    </a:extLst>
                  </pic:spPr>
                </pic:pic>
              </a:graphicData>
            </a:graphic>
          </wp:inline>
        </w:drawing>
      </w:r>
    </w:p>
    <w:p w:rsidR="00E37B96" w:rsidRDefault="00E37B96" w:rsidP="00E37B96">
      <w:pPr>
        <w:spacing w:line="360" w:lineRule="auto"/>
        <w:ind w:left="1134"/>
        <w:jc w:val="both"/>
        <w:rPr>
          <w:rFonts w:asciiTheme="minorHAnsi" w:hAnsiTheme="minorHAnsi" w:cstheme="minorHAnsi"/>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6</w:t>
      </w:r>
    </w:p>
    <w:p w:rsidR="009B6BA5" w:rsidRDefault="009B6BA5" w:rsidP="003B48A7">
      <w:pPr>
        <w:spacing w:line="360" w:lineRule="auto"/>
        <w:jc w:val="both"/>
        <w:rPr>
          <w:rFonts w:asciiTheme="minorHAnsi" w:hAnsiTheme="minorHAnsi" w:cstheme="minorHAnsi"/>
          <w:sz w:val="24"/>
          <w:szCs w:val="24"/>
        </w:rPr>
      </w:pPr>
    </w:p>
    <w:p w:rsidR="003B48A7" w:rsidRDefault="003B48A7" w:rsidP="003B48A7">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Le combinazioni </w:t>
      </w:r>
      <w:r w:rsidR="003629F8">
        <w:rPr>
          <w:rFonts w:asciiTheme="minorHAnsi" w:hAnsiTheme="minorHAnsi" w:cstheme="minorHAnsi"/>
          <w:sz w:val="24"/>
          <w:szCs w:val="24"/>
        </w:rPr>
        <w:t>“</w:t>
      </w:r>
      <w:r>
        <w:rPr>
          <w:rFonts w:asciiTheme="minorHAnsi" w:hAnsiTheme="minorHAnsi" w:cstheme="minorHAnsi"/>
          <w:sz w:val="24"/>
          <w:szCs w:val="24"/>
        </w:rPr>
        <w:t>percentuale di equity</w:t>
      </w:r>
      <w:r w:rsidR="00C804FA">
        <w:rPr>
          <w:rFonts w:asciiTheme="minorHAnsi" w:hAnsiTheme="minorHAnsi" w:cstheme="minorHAnsi"/>
          <w:sz w:val="24"/>
          <w:szCs w:val="24"/>
        </w:rPr>
        <w:t>/</w:t>
      </w:r>
      <w:r w:rsidR="003629F8">
        <w:rPr>
          <w:rFonts w:asciiTheme="minorHAnsi" w:hAnsiTheme="minorHAnsi" w:cstheme="minorHAnsi"/>
          <w:sz w:val="24"/>
          <w:szCs w:val="24"/>
        </w:rPr>
        <w:t>Va</w:t>
      </w:r>
      <w:r w:rsidR="006045A7">
        <w:rPr>
          <w:rFonts w:asciiTheme="minorHAnsi" w:hAnsiTheme="minorHAnsi" w:cstheme="minorHAnsi"/>
          <w:sz w:val="24"/>
          <w:szCs w:val="24"/>
        </w:rPr>
        <w:t>R</w:t>
      </w:r>
      <w:r w:rsidR="003629F8">
        <w:rPr>
          <w:rFonts w:asciiTheme="minorHAnsi" w:hAnsiTheme="minorHAnsi" w:cstheme="minorHAnsi"/>
          <w:sz w:val="24"/>
          <w:szCs w:val="24"/>
        </w:rPr>
        <w:t xml:space="preserve"> annuale al 95%” sono state selezionate secondo un approccio euristico. In particolare, sulla base della conoscenza dei mercati e sulla base dell’esperienza in ambito di tolleranza al rischio dei clienti, si sono identificate delle combinazioni che vengono reputare efficaci al fine di </w:t>
      </w:r>
      <w:r w:rsidR="007979F4">
        <w:rPr>
          <w:rFonts w:asciiTheme="minorHAnsi" w:hAnsiTheme="minorHAnsi" w:cstheme="minorHAnsi"/>
          <w:sz w:val="24"/>
          <w:szCs w:val="24"/>
        </w:rPr>
        <w:t>associare</w:t>
      </w:r>
      <w:r w:rsidR="00800406">
        <w:rPr>
          <w:rFonts w:asciiTheme="minorHAnsi" w:hAnsiTheme="minorHAnsi" w:cstheme="minorHAnsi"/>
          <w:sz w:val="24"/>
          <w:szCs w:val="24"/>
        </w:rPr>
        <w:t xml:space="preserve"> </w:t>
      </w:r>
      <w:r w:rsidR="003629F8">
        <w:rPr>
          <w:rFonts w:asciiTheme="minorHAnsi" w:hAnsiTheme="minorHAnsi" w:cstheme="minorHAnsi"/>
          <w:sz w:val="24"/>
          <w:szCs w:val="24"/>
        </w:rPr>
        <w:t>ad ogni classe di tolleranza al rischio un portafoglio dalle caratteristiche di rischio coerenti.</w:t>
      </w:r>
    </w:p>
    <w:p w:rsidR="003629F8" w:rsidRDefault="003629F8" w:rsidP="003B48A7">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Con riferimento al processo di calcolo del VaR, si è utilizzato </w:t>
      </w:r>
      <w:r w:rsidR="007979F4">
        <w:rPr>
          <w:rFonts w:asciiTheme="minorHAnsi" w:hAnsiTheme="minorHAnsi" w:cstheme="minorHAnsi"/>
          <w:sz w:val="24"/>
          <w:szCs w:val="24"/>
        </w:rPr>
        <w:t>un</w:t>
      </w:r>
      <w:r>
        <w:rPr>
          <w:rFonts w:asciiTheme="minorHAnsi" w:hAnsiTheme="minorHAnsi" w:cstheme="minorHAnsi"/>
          <w:sz w:val="24"/>
          <w:szCs w:val="24"/>
        </w:rPr>
        <w:t xml:space="preserve"> modello parametrico basato sull’ipotesi di distribuzione normale dei rendimenti dei portafogli. </w:t>
      </w:r>
      <w:r w:rsidR="007979F4">
        <w:rPr>
          <w:rFonts w:asciiTheme="minorHAnsi" w:hAnsiTheme="minorHAnsi" w:cstheme="minorHAnsi"/>
          <w:sz w:val="24"/>
          <w:szCs w:val="24"/>
        </w:rPr>
        <w:t>Dove</w:t>
      </w:r>
      <w:r>
        <w:rPr>
          <w:rFonts w:asciiTheme="minorHAnsi" w:hAnsiTheme="minorHAnsi" w:cstheme="minorHAnsi"/>
          <w:sz w:val="24"/>
          <w:szCs w:val="24"/>
        </w:rPr>
        <w:t>ndo calcolare una perdita potenziale su un orizzonte temporale elevato (1 anno), non si è applicata l’ipotesi di media nulla. Coerentemente con le assunzioni appena elencate, il VaR è stato calcolato nel modo seguente:</w:t>
      </w:r>
    </w:p>
    <w:p w:rsidR="003629F8" w:rsidRDefault="003629F8" w:rsidP="003629F8">
      <w:pPr>
        <w:spacing w:line="360" w:lineRule="auto"/>
        <w:jc w:val="center"/>
        <w:rPr>
          <w:rFonts w:asciiTheme="minorHAnsi" w:hAnsiTheme="minorHAnsi" w:cstheme="minorHAnsi"/>
          <w:sz w:val="24"/>
          <w:szCs w:val="24"/>
        </w:rPr>
      </w:pPr>
      <w:r>
        <w:rPr>
          <w:rFonts w:asciiTheme="minorHAnsi" w:hAnsiTheme="minorHAnsi" w:cstheme="minorHAnsi"/>
          <w:sz w:val="24"/>
          <w:szCs w:val="24"/>
        </w:rPr>
        <w:t>VaR = E(R)</w:t>
      </w:r>
      <w:r w:rsidR="006B4225" w:rsidRPr="006B4225">
        <w:rPr>
          <w:rFonts w:asciiTheme="minorHAnsi" w:hAnsiTheme="minorHAnsi" w:cstheme="minorHAnsi"/>
          <w:sz w:val="24"/>
          <w:szCs w:val="24"/>
          <w:vertAlign w:val="subscript"/>
        </w:rPr>
        <w:t>Port</w:t>
      </w:r>
      <w:r w:rsidR="006B4225">
        <w:rPr>
          <w:rFonts w:asciiTheme="minorHAnsi" w:hAnsiTheme="minorHAnsi" w:cstheme="minorHAnsi"/>
          <w:sz w:val="24"/>
          <w:szCs w:val="24"/>
        </w:rPr>
        <w:t>-1,645*</w:t>
      </w:r>
      <w:r w:rsidR="006B4225" w:rsidRPr="006B4225">
        <w:rPr>
          <w:rFonts w:ascii="Symbol" w:hAnsi="Symbol" w:cstheme="minorHAnsi"/>
          <w:sz w:val="24"/>
          <w:szCs w:val="24"/>
        </w:rPr>
        <w:t></w:t>
      </w:r>
      <w:r w:rsidR="006B4225" w:rsidRPr="006B4225">
        <w:rPr>
          <w:rFonts w:asciiTheme="minorHAnsi" w:hAnsiTheme="minorHAnsi" w:cstheme="minorHAnsi"/>
          <w:sz w:val="24"/>
          <w:szCs w:val="24"/>
          <w:vertAlign w:val="subscript"/>
        </w:rPr>
        <w:t>Port</w:t>
      </w:r>
    </w:p>
    <w:p w:rsidR="003629F8" w:rsidRDefault="003629F8" w:rsidP="003B48A7">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Nello specifico</w:t>
      </w:r>
      <w:r w:rsidR="007979F4">
        <w:rPr>
          <w:rFonts w:asciiTheme="minorHAnsi" w:hAnsiTheme="minorHAnsi" w:cstheme="minorHAnsi"/>
          <w:sz w:val="24"/>
          <w:szCs w:val="24"/>
        </w:rPr>
        <w:t>:</w:t>
      </w:r>
      <w:r>
        <w:rPr>
          <w:rFonts w:asciiTheme="minorHAnsi" w:hAnsiTheme="minorHAnsi" w:cstheme="minorHAnsi"/>
          <w:sz w:val="24"/>
          <w:szCs w:val="24"/>
        </w:rPr>
        <w:t xml:space="preserve"> il rendimento</w:t>
      </w:r>
      <w:r w:rsidR="006B4225">
        <w:rPr>
          <w:rFonts w:asciiTheme="minorHAnsi" w:hAnsiTheme="minorHAnsi" w:cstheme="minorHAnsi"/>
          <w:sz w:val="24"/>
          <w:szCs w:val="24"/>
        </w:rPr>
        <w:t xml:space="preserve"> atteso del portafoglio viene calcolato sulla base dei rendimenti attesi alla Black-Litterman; la deviazione standard del portafoglio viene calcolata sulla base della matrice varianze-covarianze</w:t>
      </w:r>
      <w:r w:rsidR="007979F4">
        <w:rPr>
          <w:rFonts w:asciiTheme="minorHAnsi" w:hAnsiTheme="minorHAnsi" w:cstheme="minorHAnsi"/>
          <w:sz w:val="24"/>
          <w:szCs w:val="24"/>
        </w:rPr>
        <w:t xml:space="preserve"> dei rendimenti</w:t>
      </w:r>
      <w:r w:rsidR="006B4225">
        <w:rPr>
          <w:rFonts w:asciiTheme="minorHAnsi" w:hAnsiTheme="minorHAnsi" w:cstheme="minorHAnsi"/>
          <w:sz w:val="24"/>
          <w:szCs w:val="24"/>
        </w:rPr>
        <w:t xml:space="preserve"> estrapolata sulla base della serie storica di rendimenti di ampiezza 17 anni e 2 mesi</w:t>
      </w:r>
      <w:r w:rsidR="00E37B96">
        <w:rPr>
          <w:rFonts w:asciiTheme="minorHAnsi" w:hAnsiTheme="minorHAnsi" w:cstheme="minorHAnsi"/>
          <w:sz w:val="24"/>
          <w:szCs w:val="24"/>
        </w:rPr>
        <w:t xml:space="preserve"> (trattasi della medesima matrice descritta nel paragrafo 1.3)</w:t>
      </w:r>
      <w:r w:rsidR="006B4225">
        <w:rPr>
          <w:rFonts w:asciiTheme="minorHAnsi" w:hAnsiTheme="minorHAnsi" w:cstheme="minorHAnsi"/>
          <w:sz w:val="24"/>
          <w:szCs w:val="24"/>
        </w:rPr>
        <w:t>.</w:t>
      </w:r>
    </w:p>
    <w:p w:rsidR="003B48A7" w:rsidRPr="000376E5" w:rsidRDefault="003B48A7" w:rsidP="003B48A7">
      <w:pPr>
        <w:spacing w:line="360" w:lineRule="auto"/>
        <w:jc w:val="both"/>
        <w:rPr>
          <w:rFonts w:asciiTheme="minorHAnsi" w:hAnsiTheme="minorHAnsi" w:cstheme="minorHAnsi"/>
          <w:sz w:val="24"/>
          <w:szCs w:val="24"/>
        </w:rPr>
      </w:pPr>
    </w:p>
    <w:p w:rsidR="0016192C" w:rsidRPr="004B7266" w:rsidRDefault="00EA7657" w:rsidP="0016192C">
      <w:pPr>
        <w:pStyle w:val="Titolo3"/>
        <w:spacing w:line="360" w:lineRule="auto"/>
        <w:jc w:val="both"/>
        <w:rPr>
          <w:rFonts w:asciiTheme="minorHAnsi" w:hAnsiTheme="minorHAnsi" w:cstheme="minorHAnsi"/>
          <w:color w:val="auto"/>
          <w:sz w:val="24"/>
          <w:szCs w:val="24"/>
        </w:rPr>
      </w:pPr>
      <w:bookmarkStart w:id="60" w:name="_Toc425154137"/>
      <w:r>
        <w:rPr>
          <w:rFonts w:asciiTheme="minorHAnsi" w:hAnsiTheme="minorHAnsi" w:cstheme="minorHAnsi"/>
          <w:color w:val="auto"/>
          <w:sz w:val="24"/>
          <w:szCs w:val="24"/>
        </w:rPr>
        <w:t xml:space="preserve">I </w:t>
      </w:r>
      <w:r w:rsidR="0016192C" w:rsidRPr="004B7266">
        <w:rPr>
          <w:rFonts w:asciiTheme="minorHAnsi" w:hAnsiTheme="minorHAnsi" w:cstheme="minorHAnsi"/>
          <w:color w:val="auto"/>
          <w:sz w:val="24"/>
          <w:szCs w:val="24"/>
        </w:rPr>
        <w:t>P</w:t>
      </w:r>
      <w:r w:rsidR="0016192C">
        <w:rPr>
          <w:rFonts w:asciiTheme="minorHAnsi" w:hAnsiTheme="minorHAnsi" w:cstheme="minorHAnsi"/>
          <w:color w:val="auto"/>
          <w:sz w:val="24"/>
          <w:szCs w:val="24"/>
        </w:rPr>
        <w:t>ORTAFOGLIMEDIUM</w:t>
      </w:r>
      <w:r w:rsidR="0016192C" w:rsidRPr="004B7266">
        <w:rPr>
          <w:rFonts w:asciiTheme="minorHAnsi" w:hAnsiTheme="minorHAnsi" w:cstheme="minorHAnsi"/>
          <w:color w:val="auto"/>
          <w:sz w:val="24"/>
          <w:szCs w:val="24"/>
        </w:rPr>
        <w:t xml:space="preserve"> (</w:t>
      </w:r>
      <w:r w:rsidR="0016192C">
        <w:rPr>
          <w:rFonts w:asciiTheme="minorHAnsi" w:hAnsiTheme="minorHAnsi" w:cstheme="minorHAnsi"/>
          <w:color w:val="auto"/>
          <w:sz w:val="24"/>
          <w:szCs w:val="24"/>
        </w:rPr>
        <w:t>DA 20.000€ A</w:t>
      </w:r>
      <w:r w:rsidR="0016192C" w:rsidRPr="004B7266">
        <w:rPr>
          <w:rFonts w:asciiTheme="minorHAnsi" w:hAnsiTheme="minorHAnsi" w:cstheme="minorHAnsi"/>
          <w:color w:val="auto"/>
          <w:sz w:val="24"/>
          <w:szCs w:val="24"/>
        </w:rPr>
        <w:t xml:space="preserve"> 100.000€)</w:t>
      </w:r>
      <w:bookmarkEnd w:id="60"/>
    </w:p>
    <w:p w:rsidR="006E1163" w:rsidRDefault="002F4F69"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 clienti che possono investire almeno tra 20.000€ e 100.000€ sono parzialmente soggetti alle limitazioni agli investimenti riconducibili ai tagli minimi investibili e ai costi di ribilanciamento della composizione di portafoglio. Per tale ragione si è ridotto il numero delle asset class. Inoltre sono state introdotte asset class flessibili al fine di delegare la fase di correzione tattica ai prodotti flessibili.</w:t>
      </w:r>
    </w:p>
    <w:p w:rsidR="002F4F69" w:rsidRPr="000376E5" w:rsidRDefault="002F4F69" w:rsidP="003710BD">
      <w:pPr>
        <w:spacing w:line="360" w:lineRule="auto"/>
        <w:jc w:val="both"/>
        <w:rPr>
          <w:rFonts w:asciiTheme="minorHAnsi" w:hAnsiTheme="minorHAnsi" w:cstheme="minorHAnsi"/>
        </w:rPr>
      </w:pPr>
    </w:p>
    <w:p w:rsidR="006E1163" w:rsidRPr="002F7DFF" w:rsidRDefault="00EA7657" w:rsidP="003710BD">
      <w:pPr>
        <w:spacing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 xml:space="preserve">I </w:t>
      </w:r>
      <w:r w:rsidR="006E1163" w:rsidRPr="002F7DFF">
        <w:rPr>
          <w:rFonts w:asciiTheme="minorHAnsi" w:hAnsiTheme="minorHAnsi" w:cstheme="minorHAnsi"/>
          <w:sz w:val="24"/>
          <w:szCs w:val="24"/>
          <w:u w:val="single"/>
        </w:rPr>
        <w:t>VINCOLI</w:t>
      </w:r>
    </w:p>
    <w:p w:rsidR="00CE76A2" w:rsidRPr="006B4225" w:rsidRDefault="00CE76A2" w:rsidP="003710BD">
      <w:pPr>
        <w:spacing w:line="360" w:lineRule="auto"/>
        <w:jc w:val="both"/>
        <w:rPr>
          <w:rFonts w:asciiTheme="minorHAnsi" w:eastAsiaTheme="minorHAnsi" w:hAnsiTheme="minorHAnsi" w:cstheme="minorHAnsi"/>
          <w:sz w:val="24"/>
          <w:szCs w:val="24"/>
        </w:rPr>
      </w:pPr>
      <w:r w:rsidRPr="006B4225">
        <w:rPr>
          <w:rFonts w:asciiTheme="minorHAnsi" w:eastAsiaTheme="minorHAnsi" w:hAnsiTheme="minorHAnsi" w:cstheme="minorHAnsi"/>
          <w:sz w:val="24"/>
          <w:szCs w:val="24"/>
        </w:rPr>
        <w:t>Ai fini della selezione dei portafogli modello si è utilizzato la medesima metodologia utilizzata per la</w:t>
      </w:r>
      <w:r w:rsidR="00800406">
        <w:rPr>
          <w:rFonts w:asciiTheme="minorHAnsi" w:eastAsiaTheme="minorHAnsi" w:hAnsiTheme="minorHAnsi" w:cstheme="minorHAnsi"/>
          <w:sz w:val="24"/>
          <w:szCs w:val="24"/>
        </w:rPr>
        <w:t xml:space="preserve"> </w:t>
      </w:r>
      <w:r w:rsidRPr="006B4225">
        <w:rPr>
          <w:rFonts w:asciiTheme="minorHAnsi" w:eastAsiaTheme="minorHAnsi" w:hAnsiTheme="minorHAnsi" w:cstheme="minorHAnsi"/>
          <w:sz w:val="24"/>
          <w:szCs w:val="24"/>
        </w:rPr>
        <w:t>selezione dei portafogli modello della clientela “TOP”, ma con le seguenti differenze:</w:t>
      </w:r>
    </w:p>
    <w:p w:rsidR="003629F8" w:rsidRPr="006B4225" w:rsidRDefault="006B4225" w:rsidP="00224F24">
      <w:pPr>
        <w:pStyle w:val="Paragrafoelenco"/>
        <w:numPr>
          <w:ilvl w:val="0"/>
          <w:numId w:val="34"/>
        </w:numPr>
        <w:spacing w:line="360" w:lineRule="auto"/>
        <w:jc w:val="both"/>
        <w:rPr>
          <w:rFonts w:asciiTheme="minorHAnsi" w:eastAsiaTheme="minorHAnsi" w:hAnsiTheme="minorHAnsi" w:cstheme="minorHAnsi"/>
        </w:rPr>
      </w:pPr>
      <w:r w:rsidRPr="006B4225">
        <w:rPr>
          <w:rFonts w:asciiTheme="minorHAnsi" w:eastAsiaTheme="minorHAnsi" w:hAnsiTheme="minorHAnsi" w:cstheme="minorHAnsi"/>
        </w:rPr>
        <w:t>s</w:t>
      </w:r>
      <w:r w:rsidR="003629F8" w:rsidRPr="006B4225">
        <w:rPr>
          <w:rFonts w:asciiTheme="minorHAnsi" w:eastAsiaTheme="minorHAnsi" w:hAnsiTheme="minorHAnsi" w:cstheme="minorHAnsi"/>
        </w:rPr>
        <w:t>i sono introdotte le asset class flessibili, alle quali viene delegato il compito di gestire le correzioni tattiche periodiche;</w:t>
      </w:r>
    </w:p>
    <w:p w:rsidR="00CE76A2" w:rsidRPr="006B4225" w:rsidRDefault="000F1321" w:rsidP="00224F24">
      <w:pPr>
        <w:pStyle w:val="Paragrafoelenco"/>
        <w:numPr>
          <w:ilvl w:val="0"/>
          <w:numId w:val="34"/>
        </w:numPr>
        <w:spacing w:line="360" w:lineRule="auto"/>
        <w:jc w:val="both"/>
        <w:rPr>
          <w:rFonts w:asciiTheme="minorHAnsi" w:eastAsiaTheme="minorHAnsi" w:hAnsiTheme="minorHAnsi" w:cstheme="minorHAnsi"/>
        </w:rPr>
      </w:pPr>
      <w:r w:rsidRPr="006B4225">
        <w:rPr>
          <w:rFonts w:asciiTheme="minorHAnsi" w:eastAsiaTheme="minorHAnsi" w:hAnsiTheme="minorHAnsi" w:cstheme="minorHAnsi"/>
        </w:rPr>
        <w:t>s</w:t>
      </w:r>
      <w:r w:rsidR="00CE76A2" w:rsidRPr="006B4225">
        <w:rPr>
          <w:rFonts w:asciiTheme="minorHAnsi" w:eastAsiaTheme="minorHAnsi" w:hAnsiTheme="minorHAnsi" w:cstheme="minorHAnsi"/>
        </w:rPr>
        <w:t>i è imposto che le asset class flessibili assumano un peso pari al 20% in ogni portafoglio modello;</w:t>
      </w:r>
    </w:p>
    <w:p w:rsidR="00CE76A2" w:rsidRPr="006B4225" w:rsidRDefault="000F1321" w:rsidP="00224F24">
      <w:pPr>
        <w:pStyle w:val="Paragrafoelenco"/>
        <w:numPr>
          <w:ilvl w:val="0"/>
          <w:numId w:val="34"/>
        </w:numPr>
        <w:spacing w:line="360" w:lineRule="auto"/>
        <w:jc w:val="both"/>
        <w:rPr>
          <w:rFonts w:asciiTheme="minorHAnsi" w:eastAsiaTheme="minorHAnsi" w:hAnsiTheme="minorHAnsi" w:cstheme="minorHAnsi"/>
        </w:rPr>
      </w:pPr>
      <w:r w:rsidRPr="006B4225">
        <w:rPr>
          <w:rFonts w:asciiTheme="minorHAnsi" w:eastAsiaTheme="minorHAnsi" w:hAnsiTheme="minorHAnsi" w:cstheme="minorHAnsi"/>
        </w:rPr>
        <w:t>s</w:t>
      </w:r>
      <w:r w:rsidR="00CE76A2" w:rsidRPr="006B4225">
        <w:rPr>
          <w:rFonts w:asciiTheme="minorHAnsi" w:eastAsiaTheme="minorHAnsi" w:hAnsiTheme="minorHAnsi" w:cstheme="minorHAnsi"/>
        </w:rPr>
        <w:t>i è imposto che ogni portafoglio modello non presenti al suo interno più di due asset class</w:t>
      </w:r>
      <w:r w:rsidR="00800406">
        <w:rPr>
          <w:rFonts w:asciiTheme="minorHAnsi" w:eastAsiaTheme="minorHAnsi" w:hAnsiTheme="minorHAnsi" w:cstheme="minorHAnsi"/>
        </w:rPr>
        <w:t xml:space="preserve"> </w:t>
      </w:r>
      <w:r w:rsidR="00CE76A2" w:rsidRPr="006B4225">
        <w:rPr>
          <w:rFonts w:asciiTheme="minorHAnsi" w:eastAsiaTheme="minorHAnsi" w:hAnsiTheme="minorHAnsi" w:cstheme="minorHAnsi"/>
        </w:rPr>
        <w:t>flessibili;</w:t>
      </w:r>
    </w:p>
    <w:p w:rsidR="00CE76A2" w:rsidRPr="006B4225" w:rsidRDefault="000F1321" w:rsidP="00224F24">
      <w:pPr>
        <w:pStyle w:val="Paragrafoelenco"/>
        <w:numPr>
          <w:ilvl w:val="0"/>
          <w:numId w:val="34"/>
        </w:numPr>
        <w:spacing w:line="360" w:lineRule="auto"/>
        <w:jc w:val="both"/>
        <w:rPr>
          <w:rFonts w:asciiTheme="minorHAnsi" w:eastAsiaTheme="minorHAnsi" w:hAnsiTheme="minorHAnsi" w:cstheme="minorHAnsi"/>
        </w:rPr>
      </w:pPr>
      <w:r w:rsidRPr="006B4225">
        <w:rPr>
          <w:rFonts w:asciiTheme="minorHAnsi" w:eastAsiaTheme="minorHAnsi" w:hAnsiTheme="minorHAnsi" w:cstheme="minorHAnsi"/>
        </w:rPr>
        <w:t>o</w:t>
      </w:r>
      <w:r w:rsidR="00CE76A2" w:rsidRPr="006B4225">
        <w:rPr>
          <w:rFonts w:asciiTheme="minorHAnsi" w:eastAsiaTheme="minorHAnsi" w:hAnsiTheme="minorHAnsi" w:cstheme="minorHAnsi"/>
        </w:rPr>
        <w:t>gni singola asset class ha un peso minimo pari al 5% (ciò al fine di risolvere il problema dei tagli</w:t>
      </w:r>
      <w:r w:rsidR="00800406">
        <w:rPr>
          <w:rFonts w:asciiTheme="minorHAnsi" w:eastAsiaTheme="minorHAnsi" w:hAnsiTheme="minorHAnsi" w:cstheme="minorHAnsi"/>
        </w:rPr>
        <w:t xml:space="preserve"> </w:t>
      </w:r>
      <w:r w:rsidR="00CE76A2" w:rsidRPr="006B4225">
        <w:rPr>
          <w:rFonts w:asciiTheme="minorHAnsi" w:eastAsiaTheme="minorHAnsi" w:hAnsiTheme="minorHAnsi" w:cstheme="minorHAnsi"/>
        </w:rPr>
        <w:t>minimi da investire)</w:t>
      </w:r>
      <w:r w:rsidR="00D87D7C">
        <w:rPr>
          <w:rFonts w:asciiTheme="minorHAnsi" w:eastAsiaTheme="minorHAnsi" w:hAnsiTheme="minorHAnsi" w:cstheme="minorHAnsi"/>
        </w:rPr>
        <w:t>, diversamente dai portafogli top che possono assumere valore minimo pari a 1%</w:t>
      </w:r>
      <w:r w:rsidR="00CE76A2" w:rsidRPr="006B4225">
        <w:rPr>
          <w:rFonts w:asciiTheme="minorHAnsi" w:eastAsiaTheme="minorHAnsi" w:hAnsiTheme="minorHAnsi" w:cstheme="minorHAnsi"/>
        </w:rPr>
        <w:t>;</w:t>
      </w:r>
    </w:p>
    <w:p w:rsidR="00CE76A2" w:rsidRPr="006B4225" w:rsidRDefault="000F1321" w:rsidP="00224F24">
      <w:pPr>
        <w:pStyle w:val="Paragrafoelenco"/>
        <w:numPr>
          <w:ilvl w:val="0"/>
          <w:numId w:val="34"/>
        </w:numPr>
        <w:spacing w:line="360" w:lineRule="auto"/>
        <w:jc w:val="both"/>
        <w:rPr>
          <w:rFonts w:asciiTheme="minorHAnsi" w:eastAsiaTheme="minorHAnsi" w:hAnsiTheme="minorHAnsi" w:cstheme="minorHAnsi"/>
        </w:rPr>
      </w:pPr>
      <w:r w:rsidRPr="006B4225">
        <w:rPr>
          <w:rFonts w:asciiTheme="minorHAnsi" w:eastAsiaTheme="minorHAnsi" w:hAnsiTheme="minorHAnsi" w:cstheme="minorHAnsi"/>
        </w:rPr>
        <w:t>i</w:t>
      </w:r>
      <w:r w:rsidR="00CE76A2" w:rsidRPr="006B4225">
        <w:rPr>
          <w:rFonts w:asciiTheme="minorHAnsi" w:eastAsiaTheme="minorHAnsi" w:hAnsiTheme="minorHAnsi" w:cstheme="minorHAnsi"/>
        </w:rPr>
        <w:t xml:space="preserve"> sette portafogli modello sono stati selezionati in modo che essi presentino un VaR annuale (con</w:t>
      </w:r>
      <w:r w:rsidR="00800406">
        <w:rPr>
          <w:rFonts w:asciiTheme="minorHAnsi" w:eastAsiaTheme="minorHAnsi" w:hAnsiTheme="minorHAnsi" w:cstheme="minorHAnsi"/>
        </w:rPr>
        <w:t xml:space="preserve"> </w:t>
      </w:r>
      <w:r w:rsidR="00CE76A2" w:rsidRPr="006B4225">
        <w:rPr>
          <w:rFonts w:asciiTheme="minorHAnsi" w:eastAsiaTheme="minorHAnsi" w:hAnsiTheme="minorHAnsi" w:cstheme="minorHAnsi"/>
        </w:rPr>
        <w:t>livello di confidenza del 95%) il più possibile vicino al VaR annuale (l.c. 95%) dei sette portafogli</w:t>
      </w:r>
      <w:r w:rsidR="00800406">
        <w:rPr>
          <w:rFonts w:asciiTheme="minorHAnsi" w:eastAsiaTheme="minorHAnsi" w:hAnsiTheme="minorHAnsi" w:cstheme="minorHAnsi"/>
        </w:rPr>
        <w:t xml:space="preserve"> </w:t>
      </w:r>
      <w:r w:rsidR="00CE76A2" w:rsidRPr="006B4225">
        <w:rPr>
          <w:rFonts w:asciiTheme="minorHAnsi" w:eastAsiaTheme="minorHAnsi" w:hAnsiTheme="minorHAnsi" w:cstheme="minorHAnsi"/>
        </w:rPr>
        <w:t>modello della clientela “TOP” (poich</w:t>
      </w:r>
      <w:r w:rsidR="006B4225" w:rsidRPr="006B4225">
        <w:rPr>
          <w:rFonts w:asciiTheme="minorHAnsi" w:eastAsiaTheme="minorHAnsi" w:hAnsiTheme="minorHAnsi" w:cstheme="minorHAnsi"/>
        </w:rPr>
        <w:t>é</w:t>
      </w:r>
      <w:r w:rsidR="00CE76A2" w:rsidRPr="006B4225">
        <w:rPr>
          <w:rFonts w:asciiTheme="minorHAnsi" w:eastAsiaTheme="minorHAnsi" w:hAnsiTheme="minorHAnsi" w:cstheme="minorHAnsi"/>
        </w:rPr>
        <w:t xml:space="preserve"> i VaR non possono coincidere perfettamente, ci si è assicurati</w:t>
      </w:r>
      <w:r w:rsidR="00800406">
        <w:rPr>
          <w:rFonts w:asciiTheme="minorHAnsi" w:eastAsiaTheme="minorHAnsi" w:hAnsiTheme="minorHAnsi" w:cstheme="minorHAnsi"/>
        </w:rPr>
        <w:t xml:space="preserve"> </w:t>
      </w:r>
      <w:r w:rsidR="00CE76A2" w:rsidRPr="006B4225">
        <w:rPr>
          <w:rFonts w:asciiTheme="minorHAnsi" w:eastAsiaTheme="minorHAnsi" w:hAnsiTheme="minorHAnsi" w:cstheme="minorHAnsi"/>
        </w:rPr>
        <w:t>che i VaR dei portafogli modello della clientela “Medium” siano più bassi dei VaR dei portafogli</w:t>
      </w:r>
      <w:r w:rsidR="00800406">
        <w:rPr>
          <w:rFonts w:asciiTheme="minorHAnsi" w:eastAsiaTheme="minorHAnsi" w:hAnsiTheme="minorHAnsi" w:cstheme="minorHAnsi"/>
        </w:rPr>
        <w:t xml:space="preserve"> </w:t>
      </w:r>
      <w:r w:rsidR="00CE76A2" w:rsidRPr="006B4225">
        <w:rPr>
          <w:rFonts w:asciiTheme="minorHAnsi" w:eastAsiaTheme="minorHAnsi" w:hAnsiTheme="minorHAnsi" w:cstheme="minorHAnsi"/>
        </w:rPr>
        <w:t>modello della clientela “Top”).</w:t>
      </w:r>
    </w:p>
    <w:p w:rsidR="00224F24" w:rsidRDefault="00224F24" w:rsidP="00224F24">
      <w:pPr>
        <w:pStyle w:val="Paragrafoelenco"/>
        <w:spacing w:line="360" w:lineRule="auto"/>
        <w:jc w:val="both"/>
        <w:rPr>
          <w:rFonts w:asciiTheme="minorHAnsi" w:eastAsiaTheme="minorHAnsi" w:hAnsiTheme="minorHAnsi" w:cstheme="minorHAnsi"/>
          <w:sz w:val="22"/>
          <w:szCs w:val="22"/>
        </w:rPr>
      </w:pPr>
    </w:p>
    <w:p w:rsidR="006B7620" w:rsidRDefault="006B7620" w:rsidP="00224F24">
      <w:pPr>
        <w:pStyle w:val="Paragrafoelenco"/>
        <w:spacing w:line="360" w:lineRule="auto"/>
        <w:jc w:val="both"/>
        <w:rPr>
          <w:rFonts w:asciiTheme="minorHAnsi" w:eastAsiaTheme="minorHAnsi" w:hAnsiTheme="minorHAnsi" w:cstheme="minorHAnsi"/>
          <w:sz w:val="22"/>
          <w:szCs w:val="22"/>
        </w:rPr>
      </w:pPr>
    </w:p>
    <w:p w:rsidR="006B7620" w:rsidRPr="00224F24" w:rsidRDefault="006B7620" w:rsidP="00224F24">
      <w:pPr>
        <w:pStyle w:val="Paragrafoelenco"/>
        <w:spacing w:line="360" w:lineRule="auto"/>
        <w:jc w:val="both"/>
        <w:rPr>
          <w:rFonts w:asciiTheme="minorHAnsi" w:eastAsiaTheme="minorHAnsi" w:hAnsiTheme="minorHAnsi" w:cstheme="minorHAnsi"/>
          <w:sz w:val="22"/>
          <w:szCs w:val="22"/>
        </w:rPr>
      </w:pPr>
    </w:p>
    <w:p w:rsidR="000F1321" w:rsidRPr="002F7DFF" w:rsidRDefault="00EA7657" w:rsidP="000F1321">
      <w:pPr>
        <w:spacing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lastRenderedPageBreak/>
        <w:t xml:space="preserve">I </w:t>
      </w:r>
      <w:r w:rsidR="000F1321" w:rsidRPr="002F7DFF">
        <w:rPr>
          <w:rFonts w:asciiTheme="minorHAnsi" w:hAnsiTheme="minorHAnsi" w:cstheme="minorHAnsi"/>
          <w:sz w:val="24"/>
          <w:szCs w:val="24"/>
          <w:u w:val="single"/>
        </w:rPr>
        <w:t xml:space="preserve">CRITERI DI INVIDUAZIONE DEI </w:t>
      </w:r>
      <w:r w:rsidR="00D87D7C">
        <w:rPr>
          <w:rFonts w:asciiTheme="minorHAnsi" w:hAnsiTheme="minorHAnsi" w:cstheme="minorHAnsi"/>
          <w:sz w:val="24"/>
          <w:szCs w:val="24"/>
          <w:u w:val="single"/>
        </w:rPr>
        <w:t>PORTAFOGLI</w:t>
      </w:r>
      <w:r w:rsidR="000F1321" w:rsidRPr="002F7DFF">
        <w:rPr>
          <w:rFonts w:asciiTheme="minorHAnsi" w:hAnsiTheme="minorHAnsi" w:cstheme="minorHAnsi"/>
          <w:sz w:val="24"/>
          <w:szCs w:val="24"/>
          <w:u w:val="single"/>
        </w:rPr>
        <w:t>MODELLO</w:t>
      </w:r>
    </w:p>
    <w:p w:rsidR="00AE0156" w:rsidRDefault="00AE0156" w:rsidP="00AE015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I criteri definiti ai fini dell’individuazione dei 7 portafogli modello sono </w:t>
      </w:r>
      <w:r w:rsidR="00D87D7C">
        <w:rPr>
          <w:rFonts w:asciiTheme="minorHAnsi" w:hAnsiTheme="minorHAnsi" w:cstheme="minorHAnsi"/>
          <w:sz w:val="24"/>
          <w:szCs w:val="24"/>
        </w:rPr>
        <w:t xml:space="preserve">descritti in </w:t>
      </w:r>
      <w:r>
        <w:rPr>
          <w:rFonts w:asciiTheme="minorHAnsi" w:hAnsiTheme="minorHAnsi" w:cstheme="minorHAnsi"/>
          <w:sz w:val="24"/>
          <w:szCs w:val="24"/>
        </w:rPr>
        <w:t>Tabella 7:</w:t>
      </w:r>
    </w:p>
    <w:p w:rsidR="00FD29C7" w:rsidRDefault="00FD29C7" w:rsidP="009B6BA5">
      <w:pPr>
        <w:spacing w:line="360" w:lineRule="auto"/>
        <w:ind w:left="708" w:firstLine="708"/>
        <w:jc w:val="both"/>
        <w:rPr>
          <w:rFonts w:asciiTheme="minorHAnsi" w:hAnsiTheme="minorHAnsi" w:cstheme="minorHAnsi"/>
          <w:b/>
          <w:sz w:val="24"/>
          <w:szCs w:val="24"/>
        </w:rPr>
      </w:pPr>
    </w:p>
    <w:p w:rsidR="006E1163" w:rsidRDefault="00CE76A2" w:rsidP="00FD29C7">
      <w:pPr>
        <w:spacing w:line="360" w:lineRule="auto"/>
        <w:jc w:val="center"/>
        <w:rPr>
          <w:rFonts w:asciiTheme="minorHAnsi" w:hAnsiTheme="minorHAnsi" w:cstheme="minorHAnsi"/>
          <w:sz w:val="24"/>
          <w:szCs w:val="24"/>
        </w:rPr>
      </w:pPr>
      <w:r w:rsidRPr="000376E5">
        <w:rPr>
          <w:rFonts w:asciiTheme="minorHAnsi" w:hAnsiTheme="minorHAnsi" w:cstheme="minorHAnsi"/>
          <w:noProof/>
          <w:sz w:val="24"/>
          <w:szCs w:val="24"/>
          <w:lang w:eastAsia="it-IT"/>
        </w:rPr>
        <w:drawing>
          <wp:inline distT="0" distB="0" distL="0" distR="0" wp14:anchorId="790E4D41" wp14:editId="34B6BB03">
            <wp:extent cx="5022850" cy="1517650"/>
            <wp:effectExtent l="0" t="0" r="0" b="0"/>
            <wp:docPr id="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32"/>
                    <a:srcRect t="12112" b="5188"/>
                    <a:stretch/>
                  </pic:blipFill>
                  <pic:spPr bwMode="auto">
                    <a:xfrm>
                      <a:off x="0" y="0"/>
                      <a:ext cx="5035085" cy="1521347"/>
                    </a:xfrm>
                    <a:prstGeom prst="rect">
                      <a:avLst/>
                    </a:prstGeom>
                    <a:noFill/>
                    <a:ln>
                      <a:noFill/>
                    </a:ln>
                    <a:extLst>
                      <a:ext uri="{53640926-AAD7-44D8-BBD7-CCE9431645EC}">
                        <a14:shadowObscured xmlns:a14="http://schemas.microsoft.com/office/drawing/2010/main"/>
                      </a:ext>
                    </a:extLst>
                  </pic:spPr>
                </pic:pic>
              </a:graphicData>
            </a:graphic>
          </wp:inline>
        </w:drawing>
      </w:r>
    </w:p>
    <w:p w:rsidR="003E1971" w:rsidRDefault="00252E08" w:rsidP="00252E08">
      <w:pPr>
        <w:spacing w:line="360" w:lineRule="auto"/>
        <w:ind w:left="1134"/>
        <w:jc w:val="both"/>
        <w:rPr>
          <w:rFonts w:asciiTheme="minorHAnsi" w:hAnsiTheme="minorHAnsi" w:cstheme="minorHAnsi"/>
          <w:b/>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7</w:t>
      </w:r>
    </w:p>
    <w:p w:rsidR="00252E08" w:rsidRDefault="00252E08" w:rsidP="003710BD">
      <w:pPr>
        <w:spacing w:line="360" w:lineRule="auto"/>
        <w:jc w:val="both"/>
        <w:rPr>
          <w:rFonts w:asciiTheme="minorHAnsi" w:hAnsiTheme="minorHAnsi" w:cstheme="minorHAnsi"/>
          <w:sz w:val="24"/>
          <w:szCs w:val="24"/>
        </w:rPr>
      </w:pPr>
    </w:p>
    <w:p w:rsidR="002F4F69" w:rsidRDefault="002F4F69"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 parametri di individuazione dei parametri e le modalità di stima del VaR annuale al 95% sono i medesimi descritti nel paragrafo 1.10.3.</w:t>
      </w:r>
    </w:p>
    <w:p w:rsidR="002F4F69" w:rsidRPr="000376E5" w:rsidRDefault="002F4F69" w:rsidP="003710BD">
      <w:pPr>
        <w:spacing w:line="360" w:lineRule="auto"/>
        <w:jc w:val="both"/>
        <w:rPr>
          <w:rFonts w:asciiTheme="minorHAnsi" w:hAnsiTheme="minorHAnsi" w:cstheme="minorHAnsi"/>
          <w:sz w:val="24"/>
          <w:szCs w:val="24"/>
        </w:rPr>
      </w:pPr>
    </w:p>
    <w:p w:rsidR="006E1163" w:rsidRPr="000F1321" w:rsidRDefault="009B6BA5" w:rsidP="000F1321">
      <w:pPr>
        <w:pStyle w:val="Titolo3"/>
        <w:spacing w:line="360" w:lineRule="auto"/>
        <w:jc w:val="both"/>
        <w:rPr>
          <w:rFonts w:asciiTheme="minorHAnsi" w:hAnsiTheme="minorHAnsi" w:cstheme="minorHAnsi"/>
          <w:color w:val="auto"/>
          <w:sz w:val="24"/>
          <w:szCs w:val="24"/>
        </w:rPr>
      </w:pPr>
      <w:bookmarkStart w:id="61" w:name="_Toc425154138"/>
      <w:r>
        <w:rPr>
          <w:rFonts w:asciiTheme="minorHAnsi" w:hAnsiTheme="minorHAnsi" w:cstheme="minorHAnsi"/>
          <w:color w:val="auto"/>
          <w:sz w:val="24"/>
          <w:szCs w:val="24"/>
        </w:rPr>
        <w:t xml:space="preserve">I </w:t>
      </w:r>
      <w:r w:rsidR="006E1163" w:rsidRPr="000F1321">
        <w:rPr>
          <w:rFonts w:asciiTheme="minorHAnsi" w:hAnsiTheme="minorHAnsi" w:cstheme="minorHAnsi"/>
          <w:color w:val="auto"/>
          <w:sz w:val="24"/>
          <w:szCs w:val="24"/>
        </w:rPr>
        <w:t>P</w:t>
      </w:r>
      <w:r w:rsidR="000F1321">
        <w:rPr>
          <w:rFonts w:asciiTheme="minorHAnsi" w:hAnsiTheme="minorHAnsi" w:cstheme="minorHAnsi"/>
          <w:color w:val="auto"/>
          <w:sz w:val="24"/>
          <w:szCs w:val="24"/>
        </w:rPr>
        <w:t>ORTAFOGLI</w:t>
      </w:r>
      <w:r w:rsidR="006E1163" w:rsidRPr="000F1321">
        <w:rPr>
          <w:rFonts w:asciiTheme="minorHAnsi" w:hAnsiTheme="minorHAnsi" w:cstheme="minorHAnsi"/>
          <w:color w:val="auto"/>
          <w:sz w:val="24"/>
          <w:szCs w:val="24"/>
        </w:rPr>
        <w:t xml:space="preserve"> SMALL</w:t>
      </w:r>
      <w:r w:rsidR="000F1321">
        <w:rPr>
          <w:rFonts w:asciiTheme="minorHAnsi" w:hAnsiTheme="minorHAnsi" w:cstheme="minorHAnsi"/>
          <w:color w:val="auto"/>
          <w:sz w:val="24"/>
          <w:szCs w:val="24"/>
        </w:rPr>
        <w:t xml:space="preserve"> (&lt; 20.000€)</w:t>
      </w:r>
      <w:bookmarkEnd w:id="61"/>
    </w:p>
    <w:p w:rsidR="006E1163" w:rsidRDefault="00625D1F"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 clienti che possono investire al massimo 20.000€ sono fortemente soggetti alle limitazioni agli investimenti riconducibili ai tagli minimi investibili e ai costi di ribilanciamento della composizione di portafoglio. Per tale ragione si è ridotto drasticamente il numero delle asset class.</w:t>
      </w:r>
    </w:p>
    <w:p w:rsidR="00625D1F" w:rsidRPr="000376E5" w:rsidRDefault="00625D1F" w:rsidP="003710BD">
      <w:pPr>
        <w:spacing w:line="360" w:lineRule="auto"/>
        <w:jc w:val="both"/>
        <w:rPr>
          <w:rFonts w:asciiTheme="minorHAnsi" w:hAnsiTheme="minorHAnsi" w:cstheme="minorHAnsi"/>
        </w:rPr>
      </w:pPr>
    </w:p>
    <w:p w:rsidR="006E1163" w:rsidRPr="002F7DFF" w:rsidRDefault="00EA7657" w:rsidP="003710BD">
      <w:pPr>
        <w:spacing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 xml:space="preserve">I </w:t>
      </w:r>
      <w:r w:rsidR="006E1163" w:rsidRPr="002F7DFF">
        <w:rPr>
          <w:rFonts w:asciiTheme="minorHAnsi" w:hAnsiTheme="minorHAnsi" w:cstheme="minorHAnsi"/>
          <w:sz w:val="24"/>
          <w:szCs w:val="24"/>
          <w:u w:val="single"/>
        </w:rPr>
        <w:t>VINCOLI</w:t>
      </w:r>
    </w:p>
    <w:p w:rsidR="00CE76A2" w:rsidRPr="00625D1F" w:rsidRDefault="00CE76A2" w:rsidP="003710BD">
      <w:pPr>
        <w:spacing w:line="360" w:lineRule="auto"/>
        <w:jc w:val="both"/>
        <w:rPr>
          <w:rFonts w:asciiTheme="minorHAnsi" w:eastAsiaTheme="minorHAnsi" w:hAnsiTheme="minorHAnsi" w:cstheme="minorHAnsi"/>
          <w:sz w:val="24"/>
          <w:szCs w:val="24"/>
        </w:rPr>
      </w:pPr>
      <w:r w:rsidRPr="00625D1F">
        <w:rPr>
          <w:rFonts w:asciiTheme="minorHAnsi" w:eastAsiaTheme="minorHAnsi" w:hAnsiTheme="minorHAnsi" w:cstheme="minorHAnsi"/>
          <w:sz w:val="24"/>
          <w:szCs w:val="24"/>
        </w:rPr>
        <w:t>Ai fini della selezione dei portafogli modello si è utilizzato la medesima metodologia utilizzata in precedenza</w:t>
      </w:r>
      <w:r w:rsidR="00800406">
        <w:rPr>
          <w:rFonts w:asciiTheme="minorHAnsi" w:eastAsiaTheme="minorHAnsi" w:hAnsiTheme="minorHAnsi" w:cstheme="minorHAnsi"/>
          <w:sz w:val="24"/>
          <w:szCs w:val="24"/>
        </w:rPr>
        <w:t xml:space="preserve"> </w:t>
      </w:r>
      <w:r w:rsidRPr="00625D1F">
        <w:rPr>
          <w:rFonts w:asciiTheme="minorHAnsi" w:eastAsiaTheme="minorHAnsi" w:hAnsiTheme="minorHAnsi" w:cstheme="minorHAnsi"/>
          <w:sz w:val="24"/>
          <w:szCs w:val="24"/>
        </w:rPr>
        <w:t>per gli altri due segmenti di clientela, ma con le seguenti differenze:</w:t>
      </w:r>
    </w:p>
    <w:p w:rsidR="00625D1F" w:rsidRDefault="00625D1F" w:rsidP="002F7DFF">
      <w:pPr>
        <w:pStyle w:val="Paragrafoelenco"/>
        <w:numPr>
          <w:ilvl w:val="0"/>
          <w:numId w:val="35"/>
        </w:numPr>
        <w:spacing w:line="360" w:lineRule="auto"/>
        <w:jc w:val="both"/>
        <w:rPr>
          <w:rFonts w:asciiTheme="minorHAnsi" w:eastAsiaTheme="minorHAnsi" w:hAnsiTheme="minorHAnsi" w:cstheme="minorHAnsi"/>
        </w:rPr>
      </w:pPr>
      <w:r w:rsidRPr="006B4225">
        <w:rPr>
          <w:rFonts w:asciiTheme="minorHAnsi" w:eastAsiaTheme="minorHAnsi" w:hAnsiTheme="minorHAnsi" w:cstheme="minorHAnsi"/>
        </w:rPr>
        <w:t>si sono introdotte le asset class flessibili, alle quali viene delegato il compito di gestire le correzioni tattiche periodiche;</w:t>
      </w:r>
    </w:p>
    <w:p w:rsidR="00CE76A2" w:rsidRPr="00625D1F" w:rsidRDefault="00625D1F" w:rsidP="002F7DFF">
      <w:pPr>
        <w:pStyle w:val="Paragrafoelenco"/>
        <w:numPr>
          <w:ilvl w:val="0"/>
          <w:numId w:val="35"/>
        </w:numPr>
        <w:spacing w:line="360" w:lineRule="auto"/>
        <w:jc w:val="both"/>
        <w:rPr>
          <w:rFonts w:asciiTheme="minorHAnsi" w:eastAsiaTheme="minorHAnsi" w:hAnsiTheme="minorHAnsi" w:cstheme="minorHAnsi"/>
        </w:rPr>
      </w:pPr>
      <w:r>
        <w:rPr>
          <w:rFonts w:asciiTheme="minorHAnsi" w:eastAsiaTheme="minorHAnsi" w:hAnsiTheme="minorHAnsi" w:cstheme="minorHAnsi"/>
        </w:rPr>
        <w:t>s</w:t>
      </w:r>
      <w:r w:rsidR="00CE76A2" w:rsidRPr="00625D1F">
        <w:rPr>
          <w:rFonts w:asciiTheme="minorHAnsi" w:eastAsiaTheme="minorHAnsi" w:hAnsiTheme="minorHAnsi" w:cstheme="minorHAnsi"/>
        </w:rPr>
        <w:t>i è imposto che ogni portafoglio modello non presenti al suo interno più di due asset class;</w:t>
      </w:r>
    </w:p>
    <w:p w:rsidR="00CE76A2" w:rsidRPr="00625D1F" w:rsidRDefault="00625D1F" w:rsidP="002F7DFF">
      <w:pPr>
        <w:pStyle w:val="Paragrafoelenco"/>
        <w:numPr>
          <w:ilvl w:val="0"/>
          <w:numId w:val="35"/>
        </w:numPr>
        <w:spacing w:line="360" w:lineRule="auto"/>
        <w:jc w:val="both"/>
        <w:rPr>
          <w:rFonts w:asciiTheme="minorHAnsi" w:eastAsiaTheme="minorHAnsi" w:hAnsiTheme="minorHAnsi" w:cstheme="minorHAnsi"/>
        </w:rPr>
      </w:pPr>
      <w:r>
        <w:rPr>
          <w:rFonts w:asciiTheme="minorHAnsi" w:eastAsiaTheme="minorHAnsi" w:hAnsiTheme="minorHAnsi" w:cstheme="minorHAnsi"/>
        </w:rPr>
        <w:t>o</w:t>
      </w:r>
      <w:r w:rsidR="00CE76A2" w:rsidRPr="00625D1F">
        <w:rPr>
          <w:rFonts w:asciiTheme="minorHAnsi" w:eastAsiaTheme="minorHAnsi" w:hAnsiTheme="minorHAnsi" w:cstheme="minorHAnsi"/>
        </w:rPr>
        <w:t>gni singola asset class ha un peso minimo pari al 10% (ciò al fine di risolvere il problema dei tagli</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minimi da investire);</w:t>
      </w:r>
    </w:p>
    <w:p w:rsidR="00CE76A2" w:rsidRPr="00625D1F" w:rsidRDefault="00625D1F" w:rsidP="002F7DFF">
      <w:pPr>
        <w:pStyle w:val="Paragrafoelenco"/>
        <w:numPr>
          <w:ilvl w:val="0"/>
          <w:numId w:val="35"/>
        </w:numPr>
        <w:spacing w:line="360" w:lineRule="auto"/>
        <w:jc w:val="both"/>
        <w:rPr>
          <w:rFonts w:asciiTheme="minorHAnsi" w:eastAsiaTheme="minorHAnsi" w:hAnsiTheme="minorHAnsi" w:cstheme="minorHAnsi"/>
        </w:rPr>
      </w:pPr>
      <w:r>
        <w:rPr>
          <w:rFonts w:asciiTheme="minorHAnsi" w:eastAsiaTheme="minorHAnsi" w:hAnsiTheme="minorHAnsi" w:cstheme="minorHAnsi"/>
        </w:rPr>
        <w:t>i</w:t>
      </w:r>
      <w:r w:rsidR="00CE76A2" w:rsidRPr="00625D1F">
        <w:rPr>
          <w:rFonts w:asciiTheme="minorHAnsi" w:eastAsiaTheme="minorHAnsi" w:hAnsiTheme="minorHAnsi" w:cstheme="minorHAnsi"/>
        </w:rPr>
        <w:t xml:space="preserve"> portafogli sono stati costruiti in modo da massimizzare il peso delle asset class flessibili;</w:t>
      </w:r>
    </w:p>
    <w:p w:rsidR="00CE76A2" w:rsidRPr="00625D1F" w:rsidRDefault="00625D1F" w:rsidP="002F7DFF">
      <w:pPr>
        <w:pStyle w:val="Paragrafoelenco"/>
        <w:numPr>
          <w:ilvl w:val="0"/>
          <w:numId w:val="35"/>
        </w:numPr>
        <w:spacing w:line="360" w:lineRule="auto"/>
        <w:jc w:val="both"/>
        <w:rPr>
          <w:rFonts w:asciiTheme="minorHAnsi" w:eastAsiaTheme="minorHAnsi" w:hAnsiTheme="minorHAnsi" w:cstheme="minorHAnsi"/>
        </w:rPr>
      </w:pPr>
      <w:r>
        <w:rPr>
          <w:rFonts w:asciiTheme="minorHAnsi" w:eastAsiaTheme="minorHAnsi" w:hAnsiTheme="minorHAnsi" w:cstheme="minorHAnsi"/>
        </w:rPr>
        <w:t>i</w:t>
      </w:r>
      <w:r w:rsidR="00CE76A2" w:rsidRPr="00625D1F">
        <w:rPr>
          <w:rFonts w:asciiTheme="minorHAnsi" w:eastAsiaTheme="minorHAnsi" w:hAnsiTheme="minorHAnsi" w:cstheme="minorHAnsi"/>
        </w:rPr>
        <w:t>n ragione del fatto che il VaR annuale (con liv.conf.=95%) della asset class Flessibile Bassa Volatilità</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è più alto del VaR target associato ai portafogli 1 e 2, si è reso necessario identificare un’altra asset</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class da combinare al Flessibile Bassa Volatilità allo scopo di ottenere anche per il segmento “Small”</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 xml:space="preserve">dei portafogli 1 e 2 caratterizzati da un VaR in linea </w:t>
      </w:r>
      <w:r w:rsidR="00CE76A2" w:rsidRPr="00625D1F">
        <w:rPr>
          <w:rFonts w:asciiTheme="minorHAnsi" w:eastAsiaTheme="minorHAnsi" w:hAnsiTheme="minorHAnsi" w:cstheme="minorHAnsi"/>
        </w:rPr>
        <w:lastRenderedPageBreak/>
        <w:t>con i portafogli 1 e 2 dei segmenti “Top” e</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“Medium”. Tale asset class è stata identificata nell’Obbligazionario € Breve Termine.</w:t>
      </w:r>
    </w:p>
    <w:p w:rsidR="00CE76A2" w:rsidRPr="00625D1F" w:rsidRDefault="00625D1F" w:rsidP="002F7DFF">
      <w:pPr>
        <w:pStyle w:val="Paragrafoelenco"/>
        <w:numPr>
          <w:ilvl w:val="0"/>
          <w:numId w:val="35"/>
        </w:numPr>
        <w:spacing w:line="360" w:lineRule="auto"/>
        <w:jc w:val="both"/>
        <w:rPr>
          <w:rFonts w:asciiTheme="minorHAnsi" w:eastAsiaTheme="minorHAnsi" w:hAnsiTheme="minorHAnsi" w:cstheme="minorHAnsi"/>
        </w:rPr>
      </w:pPr>
      <w:r>
        <w:rPr>
          <w:rFonts w:asciiTheme="minorHAnsi" w:eastAsiaTheme="minorHAnsi" w:hAnsiTheme="minorHAnsi" w:cstheme="minorHAnsi"/>
        </w:rPr>
        <w:t>i</w:t>
      </w:r>
      <w:r w:rsidR="00CE76A2" w:rsidRPr="00625D1F">
        <w:rPr>
          <w:rFonts w:asciiTheme="minorHAnsi" w:eastAsiaTheme="minorHAnsi" w:hAnsiTheme="minorHAnsi" w:cstheme="minorHAnsi"/>
        </w:rPr>
        <w:t>n ragione del fatto che il VaR annuale (con liv.conf.=95%) della asset class Flessibile Alta Volatilità è</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più basso del VaR target associato al portafoglio 7, si è reso necessario identificare un’altra asset</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class da combinare al Flessibile Alta Volatilità allo scopo di ottenere anche per il segmento “Small”</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un portafoglio 7 caratterizzato da un VaR in linea con i portafogli 7 dei segmenti “Top” e “Medium”.</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Tale asset class è stata identificata nell’Azionario Globale.</w:t>
      </w:r>
    </w:p>
    <w:p w:rsidR="00CE76A2" w:rsidRPr="00625D1F" w:rsidRDefault="00625D1F" w:rsidP="002F7DFF">
      <w:pPr>
        <w:pStyle w:val="Paragrafoelenco"/>
        <w:numPr>
          <w:ilvl w:val="0"/>
          <w:numId w:val="35"/>
        </w:numPr>
        <w:spacing w:line="360" w:lineRule="auto"/>
        <w:jc w:val="both"/>
        <w:rPr>
          <w:rFonts w:asciiTheme="minorHAnsi" w:eastAsiaTheme="minorHAnsi" w:hAnsiTheme="minorHAnsi" w:cstheme="minorHAnsi"/>
        </w:rPr>
      </w:pPr>
      <w:r>
        <w:rPr>
          <w:rFonts w:asciiTheme="minorHAnsi" w:eastAsiaTheme="minorHAnsi" w:hAnsiTheme="minorHAnsi" w:cstheme="minorHAnsi"/>
        </w:rPr>
        <w:t>i</w:t>
      </w:r>
      <w:r w:rsidR="00CE76A2" w:rsidRPr="00625D1F">
        <w:rPr>
          <w:rFonts w:asciiTheme="minorHAnsi" w:eastAsiaTheme="minorHAnsi" w:hAnsiTheme="minorHAnsi" w:cstheme="minorHAnsi"/>
        </w:rPr>
        <w:t xml:space="preserve"> sette portafogli modello sono stati selezionati in modo che essi presentino un VaR annuale (con</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livello di confidenza del 95%) il più possibile vicino al VaR annuale (l.c. 95%) dei sette portafogl</w:t>
      </w:r>
      <w:r w:rsidR="002F7DFF" w:rsidRPr="00625D1F">
        <w:rPr>
          <w:rFonts w:asciiTheme="minorHAnsi" w:eastAsiaTheme="minorHAnsi" w:hAnsiTheme="minorHAnsi" w:cstheme="minorHAnsi"/>
        </w:rPr>
        <w:t xml:space="preserve">i </w:t>
      </w:r>
      <w:r w:rsidR="00CE76A2" w:rsidRPr="00625D1F">
        <w:rPr>
          <w:rFonts w:asciiTheme="minorHAnsi" w:eastAsiaTheme="minorHAnsi" w:hAnsiTheme="minorHAnsi" w:cstheme="minorHAnsi"/>
        </w:rPr>
        <w:t>modello della clientela “TOP”</w:t>
      </w:r>
      <w:r w:rsidR="00A0791E">
        <w:rPr>
          <w:rFonts w:asciiTheme="minorHAnsi" w:eastAsiaTheme="minorHAnsi" w:hAnsiTheme="minorHAnsi" w:cstheme="minorHAnsi"/>
        </w:rPr>
        <w:t xml:space="preserve"> e </w:t>
      </w:r>
      <w:r w:rsidR="00CE76A2" w:rsidRPr="00625D1F">
        <w:rPr>
          <w:rFonts w:asciiTheme="minorHAnsi" w:eastAsiaTheme="minorHAnsi" w:hAnsiTheme="minorHAnsi" w:cstheme="minorHAnsi"/>
        </w:rPr>
        <w:t>””MEDIUM (poiché i VaR non possono coincidere perfettamente, ci si</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è assicurati che i VaR dei portafogli modello della clientela “Small” siano più bassi dei VaR dei</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portafogli modello della clientela “Medium”, che sono a loro volta più bassi del VaR del segmento</w:t>
      </w:r>
      <w:r w:rsidR="00800406">
        <w:rPr>
          <w:rFonts w:asciiTheme="minorHAnsi" w:eastAsiaTheme="minorHAnsi" w:hAnsiTheme="minorHAnsi" w:cstheme="minorHAnsi"/>
        </w:rPr>
        <w:t xml:space="preserve"> </w:t>
      </w:r>
      <w:r w:rsidR="00CE76A2" w:rsidRPr="00625D1F">
        <w:rPr>
          <w:rFonts w:asciiTheme="minorHAnsi" w:eastAsiaTheme="minorHAnsi" w:hAnsiTheme="minorHAnsi" w:cstheme="minorHAnsi"/>
        </w:rPr>
        <w:t>“Top”).</w:t>
      </w:r>
    </w:p>
    <w:p w:rsidR="00CE76A2" w:rsidRPr="000376E5" w:rsidRDefault="00CE76A2" w:rsidP="003710BD">
      <w:pPr>
        <w:spacing w:line="360" w:lineRule="auto"/>
        <w:jc w:val="both"/>
        <w:rPr>
          <w:rFonts w:asciiTheme="minorHAnsi" w:hAnsiTheme="minorHAnsi" w:cstheme="minorHAnsi"/>
          <w:sz w:val="24"/>
          <w:szCs w:val="24"/>
        </w:rPr>
      </w:pPr>
    </w:p>
    <w:p w:rsidR="000F1321" w:rsidRPr="002F7DFF" w:rsidRDefault="00EA7657" w:rsidP="000F1321">
      <w:pPr>
        <w:spacing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 xml:space="preserve">I </w:t>
      </w:r>
      <w:r w:rsidR="000F1321" w:rsidRPr="002F7DFF">
        <w:rPr>
          <w:rFonts w:asciiTheme="minorHAnsi" w:hAnsiTheme="minorHAnsi" w:cstheme="minorHAnsi"/>
          <w:sz w:val="24"/>
          <w:szCs w:val="24"/>
          <w:u w:val="single"/>
        </w:rPr>
        <w:t xml:space="preserve">CRITERI DI INVIDUAZIONE DEI </w:t>
      </w:r>
      <w:r w:rsidR="00D87D7C">
        <w:rPr>
          <w:rFonts w:asciiTheme="minorHAnsi" w:hAnsiTheme="minorHAnsi" w:cstheme="minorHAnsi"/>
          <w:sz w:val="24"/>
          <w:szCs w:val="24"/>
          <w:u w:val="single"/>
        </w:rPr>
        <w:t>PORTAFOGLI</w:t>
      </w:r>
      <w:r w:rsidR="000F1321" w:rsidRPr="002F7DFF">
        <w:rPr>
          <w:rFonts w:asciiTheme="minorHAnsi" w:hAnsiTheme="minorHAnsi" w:cstheme="minorHAnsi"/>
          <w:sz w:val="24"/>
          <w:szCs w:val="24"/>
          <w:u w:val="single"/>
        </w:rPr>
        <w:t>MODELLO</w:t>
      </w:r>
    </w:p>
    <w:p w:rsidR="00AE0156" w:rsidRDefault="00AE0156" w:rsidP="00AE015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I criteri definiti ai fini dell’individuazione dei 7 portafogli modello sono </w:t>
      </w:r>
      <w:r w:rsidR="00D87D7C">
        <w:rPr>
          <w:rFonts w:asciiTheme="minorHAnsi" w:hAnsiTheme="minorHAnsi" w:cstheme="minorHAnsi"/>
          <w:sz w:val="24"/>
          <w:szCs w:val="24"/>
        </w:rPr>
        <w:t>dettagliati in Tabella 8</w:t>
      </w:r>
      <w:r>
        <w:rPr>
          <w:rFonts w:asciiTheme="minorHAnsi" w:hAnsiTheme="minorHAnsi" w:cstheme="minorHAnsi"/>
          <w:sz w:val="24"/>
          <w:szCs w:val="24"/>
        </w:rPr>
        <w:t>:</w:t>
      </w:r>
    </w:p>
    <w:p w:rsidR="006E1163" w:rsidRDefault="00CE76A2" w:rsidP="00AE0156">
      <w:pPr>
        <w:spacing w:line="360" w:lineRule="auto"/>
        <w:jc w:val="center"/>
        <w:rPr>
          <w:rFonts w:asciiTheme="minorHAnsi" w:hAnsiTheme="minorHAnsi" w:cstheme="minorHAnsi"/>
          <w:sz w:val="24"/>
          <w:szCs w:val="24"/>
        </w:rPr>
      </w:pPr>
      <w:r w:rsidRPr="000376E5">
        <w:rPr>
          <w:rFonts w:asciiTheme="minorHAnsi" w:hAnsiTheme="minorHAnsi" w:cstheme="minorHAnsi"/>
          <w:noProof/>
          <w:sz w:val="24"/>
          <w:szCs w:val="24"/>
          <w:lang w:eastAsia="it-IT"/>
        </w:rPr>
        <w:drawing>
          <wp:inline distT="0" distB="0" distL="0" distR="0" wp14:anchorId="61313A6E" wp14:editId="389B6DB8">
            <wp:extent cx="5393557" cy="2448421"/>
            <wp:effectExtent l="0" t="0" r="0" b="0"/>
            <wp:docPr id="95" name="Immagin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3"/>
                    <a:srcRect/>
                    <a:stretch>
                      <a:fillRect/>
                    </a:stretch>
                  </pic:blipFill>
                  <pic:spPr bwMode="auto">
                    <a:xfrm>
                      <a:off x="0" y="0"/>
                      <a:ext cx="5394397" cy="2448802"/>
                    </a:xfrm>
                    <a:prstGeom prst="rect">
                      <a:avLst/>
                    </a:prstGeom>
                    <a:noFill/>
                    <a:ln w="9525">
                      <a:noFill/>
                      <a:miter lim="800000"/>
                      <a:headEnd/>
                      <a:tailEnd/>
                    </a:ln>
                  </pic:spPr>
                </pic:pic>
              </a:graphicData>
            </a:graphic>
          </wp:inline>
        </w:drawing>
      </w:r>
    </w:p>
    <w:p w:rsidR="00E37B96" w:rsidRPr="000376E5" w:rsidRDefault="00E37B96" w:rsidP="00E37B96">
      <w:pPr>
        <w:spacing w:line="360" w:lineRule="auto"/>
        <w:ind w:left="709"/>
        <w:rPr>
          <w:rFonts w:asciiTheme="minorHAnsi" w:hAnsiTheme="minorHAnsi" w:cstheme="minorHAnsi"/>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8</w:t>
      </w:r>
    </w:p>
    <w:p w:rsidR="00EA7657" w:rsidRDefault="00EA7657" w:rsidP="003710BD">
      <w:pPr>
        <w:spacing w:line="360" w:lineRule="auto"/>
        <w:jc w:val="both"/>
        <w:rPr>
          <w:rFonts w:asciiTheme="minorHAnsi" w:hAnsiTheme="minorHAnsi" w:cstheme="minorHAnsi"/>
          <w:sz w:val="24"/>
          <w:szCs w:val="24"/>
        </w:rPr>
      </w:pPr>
    </w:p>
    <w:p w:rsidR="00CE76A2" w:rsidRDefault="00625D1F" w:rsidP="003710BD">
      <w:pPr>
        <w:spacing w:line="360" w:lineRule="auto"/>
        <w:jc w:val="both"/>
        <w:rPr>
          <w:rFonts w:asciiTheme="minorHAnsi" w:hAnsiTheme="minorHAnsi" w:cstheme="minorHAnsi"/>
          <w:sz w:val="24"/>
          <w:szCs w:val="24"/>
        </w:rPr>
      </w:pPr>
      <w:r>
        <w:rPr>
          <w:rFonts w:asciiTheme="minorHAnsi" w:hAnsiTheme="minorHAnsi" w:cstheme="minorHAnsi"/>
          <w:sz w:val="24"/>
          <w:szCs w:val="24"/>
        </w:rPr>
        <w:t>I parametri di individuazione dei parametri e le modalità di stima del VaR annuale al 95% sono i medesimi descritti nel paragrafo 1.10.3.</w:t>
      </w:r>
    </w:p>
    <w:p w:rsidR="003652F5" w:rsidRDefault="003652F5" w:rsidP="003710BD">
      <w:pPr>
        <w:spacing w:line="360" w:lineRule="auto"/>
        <w:jc w:val="both"/>
        <w:rPr>
          <w:rFonts w:asciiTheme="minorHAnsi" w:hAnsiTheme="minorHAnsi" w:cstheme="minorHAnsi"/>
          <w:sz w:val="24"/>
          <w:szCs w:val="24"/>
        </w:rPr>
      </w:pPr>
    </w:p>
    <w:p w:rsidR="006B7620" w:rsidRPr="000376E5" w:rsidRDefault="006B7620" w:rsidP="003710BD">
      <w:pPr>
        <w:spacing w:line="360" w:lineRule="auto"/>
        <w:jc w:val="both"/>
        <w:rPr>
          <w:rFonts w:asciiTheme="minorHAnsi" w:hAnsiTheme="minorHAnsi" w:cstheme="minorHAnsi"/>
          <w:sz w:val="24"/>
          <w:szCs w:val="24"/>
        </w:rPr>
      </w:pPr>
    </w:p>
    <w:p w:rsidR="000C01DC" w:rsidRPr="000376E5" w:rsidRDefault="00EA7657" w:rsidP="000C01DC">
      <w:pPr>
        <w:pStyle w:val="Titolo1"/>
        <w:spacing w:line="360" w:lineRule="auto"/>
        <w:jc w:val="both"/>
        <w:rPr>
          <w:rFonts w:asciiTheme="minorHAnsi" w:hAnsiTheme="minorHAnsi" w:cstheme="minorHAnsi"/>
        </w:rPr>
      </w:pPr>
      <w:bookmarkStart w:id="62" w:name="_Toc425154139"/>
      <w:r>
        <w:rPr>
          <w:rFonts w:asciiTheme="minorHAnsi" w:hAnsiTheme="minorHAnsi" w:cstheme="minorHAnsi"/>
        </w:rPr>
        <w:lastRenderedPageBreak/>
        <w:t xml:space="preserve">LA </w:t>
      </w:r>
      <w:r w:rsidR="000C01DC" w:rsidRPr="000376E5">
        <w:rPr>
          <w:rFonts w:asciiTheme="minorHAnsi" w:hAnsiTheme="minorHAnsi" w:cstheme="minorHAnsi"/>
        </w:rPr>
        <w:t xml:space="preserve">DEFINIZIONE DEI PORTAFOGLI </w:t>
      </w:r>
      <w:r w:rsidR="000C01DC">
        <w:rPr>
          <w:rFonts w:asciiTheme="minorHAnsi" w:hAnsiTheme="minorHAnsi" w:cstheme="minorHAnsi"/>
        </w:rPr>
        <w:t>TATTICI</w:t>
      </w:r>
      <w:bookmarkEnd w:id="62"/>
    </w:p>
    <w:p w:rsidR="0059232A" w:rsidRDefault="00CE76A2" w:rsidP="003710BD">
      <w:pPr>
        <w:spacing w:line="360" w:lineRule="auto"/>
        <w:jc w:val="both"/>
        <w:rPr>
          <w:rFonts w:asciiTheme="minorHAnsi" w:eastAsiaTheme="minorHAnsi" w:hAnsiTheme="minorHAnsi" w:cstheme="minorHAnsi"/>
          <w:sz w:val="24"/>
          <w:szCs w:val="24"/>
        </w:rPr>
      </w:pPr>
      <w:r w:rsidRPr="000376E5">
        <w:rPr>
          <w:rFonts w:asciiTheme="minorHAnsi" w:eastAsiaTheme="minorHAnsi" w:hAnsiTheme="minorHAnsi" w:cstheme="minorHAnsi"/>
          <w:sz w:val="24"/>
          <w:szCs w:val="24"/>
        </w:rPr>
        <w:t xml:space="preserve">Al fine di alimentare (con frequenza </w:t>
      </w:r>
      <w:r w:rsidR="00B66079">
        <w:rPr>
          <w:rFonts w:asciiTheme="minorHAnsi" w:eastAsiaTheme="minorHAnsi" w:hAnsiTheme="minorHAnsi" w:cstheme="minorHAnsi"/>
          <w:sz w:val="24"/>
          <w:szCs w:val="24"/>
        </w:rPr>
        <w:t>mensile</w:t>
      </w:r>
      <w:r w:rsidRPr="000376E5">
        <w:rPr>
          <w:rFonts w:asciiTheme="minorHAnsi" w:eastAsiaTheme="minorHAnsi" w:hAnsiTheme="minorHAnsi" w:cstheme="minorHAnsi"/>
          <w:sz w:val="24"/>
          <w:szCs w:val="24"/>
        </w:rPr>
        <w:t>) le scommesse tattiche dei</w:t>
      </w:r>
      <w:r w:rsidR="00800406">
        <w:rPr>
          <w:rFonts w:asciiTheme="minorHAnsi" w:eastAsiaTheme="minorHAnsi" w:hAnsiTheme="minorHAnsi" w:cstheme="minorHAnsi"/>
          <w:sz w:val="24"/>
          <w:szCs w:val="24"/>
        </w:rPr>
        <w:t xml:space="preserve"> </w:t>
      </w:r>
      <w:r w:rsidRPr="000376E5">
        <w:rPr>
          <w:rFonts w:asciiTheme="minorHAnsi" w:eastAsiaTheme="minorHAnsi" w:hAnsiTheme="minorHAnsi" w:cstheme="minorHAnsi"/>
          <w:sz w:val="24"/>
          <w:szCs w:val="24"/>
        </w:rPr>
        <w:t>portafogli modello della Piattaforma di Advisory, si è sviluppato un tool in grado di</w:t>
      </w:r>
      <w:r w:rsidR="00800406">
        <w:rPr>
          <w:rFonts w:asciiTheme="minorHAnsi" w:eastAsiaTheme="minorHAnsi" w:hAnsiTheme="minorHAnsi" w:cstheme="minorHAnsi"/>
          <w:sz w:val="24"/>
          <w:szCs w:val="24"/>
        </w:rPr>
        <w:t xml:space="preserve"> </w:t>
      </w:r>
      <w:r w:rsidRPr="000376E5">
        <w:rPr>
          <w:rFonts w:asciiTheme="minorHAnsi" w:eastAsiaTheme="minorHAnsi" w:hAnsiTheme="minorHAnsi" w:cstheme="minorHAnsi"/>
          <w:sz w:val="24"/>
          <w:szCs w:val="24"/>
        </w:rPr>
        <w:t>generare i correttivi tattici di tutti i portafogli modello</w:t>
      </w:r>
      <w:r w:rsidR="00786111">
        <w:rPr>
          <w:rFonts w:asciiTheme="minorHAnsi" w:eastAsiaTheme="minorHAnsi" w:hAnsiTheme="minorHAnsi" w:cstheme="minorHAnsi"/>
          <w:sz w:val="24"/>
          <w:szCs w:val="24"/>
        </w:rPr>
        <w:t xml:space="preserve"> </w:t>
      </w:r>
      <w:r w:rsidR="00786111" w:rsidRPr="006B7620">
        <w:rPr>
          <w:rFonts w:asciiTheme="minorHAnsi" w:eastAsiaTheme="minorHAnsi" w:hAnsiTheme="minorHAnsi" w:cstheme="minorHAnsi"/>
          <w:sz w:val="24"/>
          <w:szCs w:val="24"/>
        </w:rPr>
        <w:t>relativi alla clientela TOP</w:t>
      </w:r>
      <w:r w:rsidR="00725EC3" w:rsidRPr="006B7620">
        <w:rPr>
          <w:rFonts w:asciiTheme="minorHAnsi" w:eastAsiaTheme="minorHAnsi" w:hAnsiTheme="minorHAnsi" w:cstheme="minorHAnsi"/>
          <w:sz w:val="24"/>
          <w:szCs w:val="24"/>
        </w:rPr>
        <w:t xml:space="preserve"> e MEDIUM</w:t>
      </w:r>
      <w:r w:rsidR="00786111" w:rsidRPr="006B7620">
        <w:rPr>
          <w:rFonts w:asciiTheme="minorHAnsi" w:eastAsiaTheme="minorHAnsi" w:hAnsiTheme="minorHAnsi" w:cstheme="minorHAnsi"/>
          <w:sz w:val="24"/>
          <w:szCs w:val="24"/>
        </w:rPr>
        <w:t xml:space="preserve"> (per l</w:t>
      </w:r>
      <w:r w:rsidR="00725EC3" w:rsidRPr="006B7620">
        <w:rPr>
          <w:rFonts w:asciiTheme="minorHAnsi" w:eastAsiaTheme="minorHAnsi" w:hAnsiTheme="minorHAnsi" w:cstheme="minorHAnsi"/>
          <w:sz w:val="24"/>
          <w:szCs w:val="24"/>
        </w:rPr>
        <w:t>a</w:t>
      </w:r>
      <w:r w:rsidR="00786111" w:rsidRPr="006B7620">
        <w:rPr>
          <w:rFonts w:asciiTheme="minorHAnsi" w:eastAsiaTheme="minorHAnsi" w:hAnsiTheme="minorHAnsi" w:cstheme="minorHAnsi"/>
          <w:sz w:val="24"/>
          <w:szCs w:val="24"/>
        </w:rPr>
        <w:t xml:space="preserve"> tipologi</w:t>
      </w:r>
      <w:r w:rsidR="00725EC3" w:rsidRPr="006B7620">
        <w:rPr>
          <w:rFonts w:asciiTheme="minorHAnsi" w:eastAsiaTheme="minorHAnsi" w:hAnsiTheme="minorHAnsi" w:cstheme="minorHAnsi"/>
          <w:sz w:val="24"/>
          <w:szCs w:val="24"/>
        </w:rPr>
        <w:t>a</w:t>
      </w:r>
      <w:r w:rsidR="00786111" w:rsidRPr="006B7620">
        <w:rPr>
          <w:rFonts w:asciiTheme="minorHAnsi" w:eastAsiaTheme="minorHAnsi" w:hAnsiTheme="minorHAnsi" w:cstheme="minorHAnsi"/>
          <w:sz w:val="24"/>
          <w:szCs w:val="24"/>
        </w:rPr>
        <w:t xml:space="preserve"> SMALL la correzione tattica viene delegata ai </w:t>
      </w:r>
      <w:r w:rsidR="003E1971" w:rsidRPr="006B7620">
        <w:rPr>
          <w:rFonts w:asciiTheme="minorHAnsi" w:eastAsiaTheme="minorHAnsi" w:hAnsiTheme="minorHAnsi" w:cstheme="minorHAnsi"/>
          <w:sz w:val="24"/>
          <w:szCs w:val="24"/>
        </w:rPr>
        <w:t>prodotti</w:t>
      </w:r>
      <w:r w:rsidR="00B66079" w:rsidRPr="006B7620">
        <w:rPr>
          <w:rFonts w:asciiTheme="minorHAnsi" w:eastAsiaTheme="minorHAnsi" w:hAnsiTheme="minorHAnsi" w:cstheme="minorHAnsi"/>
          <w:sz w:val="24"/>
          <w:szCs w:val="24"/>
        </w:rPr>
        <w:t xml:space="preserve"> flessibili</w:t>
      </w:r>
      <w:r w:rsidR="00786111" w:rsidRPr="006B7620">
        <w:rPr>
          <w:rFonts w:asciiTheme="minorHAnsi" w:eastAsiaTheme="minorHAnsi" w:hAnsiTheme="minorHAnsi" w:cstheme="minorHAnsi"/>
          <w:sz w:val="24"/>
          <w:szCs w:val="24"/>
        </w:rPr>
        <w:t>)</w:t>
      </w:r>
      <w:r w:rsidRPr="006B7620">
        <w:rPr>
          <w:rFonts w:asciiTheme="minorHAnsi" w:eastAsiaTheme="minorHAnsi" w:hAnsiTheme="minorHAnsi" w:cstheme="minorHAnsi"/>
          <w:sz w:val="24"/>
          <w:szCs w:val="24"/>
        </w:rPr>
        <w:t>.</w:t>
      </w:r>
      <w:r w:rsidRPr="000376E5">
        <w:rPr>
          <w:rFonts w:asciiTheme="minorHAnsi" w:eastAsiaTheme="minorHAnsi" w:hAnsiTheme="minorHAnsi" w:cstheme="minorHAnsi"/>
          <w:sz w:val="24"/>
          <w:szCs w:val="24"/>
        </w:rPr>
        <w:t xml:space="preserve"> A tale scopo si è sviluppato un</w:t>
      </w:r>
      <w:r w:rsidR="00800406">
        <w:rPr>
          <w:rFonts w:asciiTheme="minorHAnsi" w:eastAsiaTheme="minorHAnsi" w:hAnsiTheme="minorHAnsi" w:cstheme="minorHAnsi"/>
          <w:sz w:val="24"/>
          <w:szCs w:val="24"/>
        </w:rPr>
        <w:t xml:space="preserve"> </w:t>
      </w:r>
      <w:r w:rsidRPr="000376E5">
        <w:rPr>
          <w:rFonts w:asciiTheme="minorHAnsi" w:eastAsiaTheme="minorHAnsi" w:hAnsiTheme="minorHAnsi" w:cstheme="minorHAnsi"/>
          <w:sz w:val="24"/>
          <w:szCs w:val="24"/>
        </w:rPr>
        <w:t>modello</w:t>
      </w:r>
      <w:r w:rsidR="003E1971">
        <w:rPr>
          <w:rFonts w:asciiTheme="minorHAnsi" w:eastAsiaTheme="minorHAnsi" w:hAnsiTheme="minorHAnsi" w:cstheme="minorHAnsi"/>
          <w:sz w:val="24"/>
          <w:szCs w:val="24"/>
        </w:rPr>
        <w:t xml:space="preserve"> di stima dei rendimenti</w:t>
      </w:r>
      <w:r w:rsidRPr="000376E5">
        <w:rPr>
          <w:rFonts w:asciiTheme="minorHAnsi" w:eastAsiaTheme="minorHAnsi" w:hAnsiTheme="minorHAnsi" w:cstheme="minorHAnsi"/>
          <w:sz w:val="24"/>
          <w:szCs w:val="24"/>
        </w:rPr>
        <w:t xml:space="preserve"> tattic</w:t>
      </w:r>
      <w:r w:rsidR="003E1971">
        <w:rPr>
          <w:rFonts w:asciiTheme="minorHAnsi" w:eastAsiaTheme="minorHAnsi" w:hAnsiTheme="minorHAnsi" w:cstheme="minorHAnsi"/>
          <w:sz w:val="24"/>
          <w:szCs w:val="24"/>
        </w:rPr>
        <w:t>i</w:t>
      </w:r>
      <w:r w:rsidRPr="000376E5">
        <w:rPr>
          <w:rFonts w:asciiTheme="minorHAnsi" w:eastAsiaTheme="minorHAnsi" w:hAnsiTheme="minorHAnsi" w:cstheme="minorHAnsi"/>
          <w:sz w:val="24"/>
          <w:szCs w:val="24"/>
        </w:rPr>
        <w:t xml:space="preserve"> - basato sempre sulla logica Black-Litterman – ed un modello di</w:t>
      </w:r>
      <w:r w:rsidR="00800406">
        <w:rPr>
          <w:rFonts w:asciiTheme="minorHAnsi" w:eastAsiaTheme="minorHAnsi" w:hAnsiTheme="minorHAnsi" w:cstheme="minorHAnsi"/>
          <w:sz w:val="24"/>
          <w:szCs w:val="24"/>
        </w:rPr>
        <w:t xml:space="preserve"> </w:t>
      </w:r>
      <w:r w:rsidRPr="000376E5">
        <w:rPr>
          <w:rFonts w:asciiTheme="minorHAnsi" w:eastAsiaTheme="minorHAnsi" w:hAnsiTheme="minorHAnsi" w:cstheme="minorHAnsi"/>
          <w:sz w:val="24"/>
          <w:szCs w:val="24"/>
        </w:rPr>
        <w:t>ottimizzazione relativa.</w:t>
      </w:r>
      <w:r w:rsidR="00800406">
        <w:rPr>
          <w:rFonts w:asciiTheme="minorHAnsi" w:eastAsiaTheme="minorHAnsi" w:hAnsiTheme="minorHAnsi" w:cstheme="minorHAnsi"/>
          <w:sz w:val="24"/>
          <w:szCs w:val="24"/>
        </w:rPr>
        <w:t xml:space="preserve"> </w:t>
      </w:r>
      <w:r w:rsidR="0059232A">
        <w:rPr>
          <w:rFonts w:asciiTheme="minorHAnsi" w:eastAsiaTheme="minorHAnsi" w:hAnsiTheme="minorHAnsi" w:cstheme="minorHAnsi"/>
          <w:sz w:val="24"/>
          <w:szCs w:val="24"/>
        </w:rPr>
        <w:t>L’elemento che più degli altri differenzia il modello Black-Litterman tattico rispetto al modello applicato ai fini della costruzione dei portafogli strategici è il seguente:</w:t>
      </w:r>
    </w:p>
    <w:p w:rsidR="0059232A" w:rsidRDefault="0059232A" w:rsidP="00E64598">
      <w:pPr>
        <w:pStyle w:val="Paragrafoelenco"/>
        <w:numPr>
          <w:ilvl w:val="1"/>
          <w:numId w:val="2"/>
        </w:numPr>
        <w:spacing w:line="360" w:lineRule="auto"/>
        <w:ind w:left="426"/>
        <w:jc w:val="both"/>
        <w:rPr>
          <w:rFonts w:asciiTheme="minorHAnsi" w:eastAsiaTheme="minorHAnsi" w:hAnsiTheme="minorHAnsi" w:cstheme="minorHAnsi"/>
        </w:rPr>
      </w:pPr>
      <w:r>
        <w:rPr>
          <w:rFonts w:asciiTheme="minorHAnsi" w:eastAsiaTheme="minorHAnsi" w:hAnsiTheme="minorHAnsi" w:cstheme="minorHAnsi"/>
        </w:rPr>
        <w:t xml:space="preserve">nel modello Black-Litterman applicato per finalità di asset allocation strategica, i rendimenti a priori di partenza sono i rendimenti attesi </w:t>
      </w:r>
      <w:r w:rsidRPr="0059232A">
        <w:rPr>
          <w:rFonts w:asciiTheme="minorHAnsi" w:eastAsiaTheme="minorHAnsi" w:hAnsiTheme="minorHAnsi" w:cstheme="minorHAnsi"/>
          <w:i/>
        </w:rPr>
        <w:t>market neutral</w:t>
      </w:r>
      <w:r>
        <w:rPr>
          <w:rFonts w:asciiTheme="minorHAnsi" w:eastAsiaTheme="minorHAnsi" w:hAnsiTheme="minorHAnsi" w:cstheme="minorHAnsi"/>
        </w:rPr>
        <w:t xml:space="preserve">, ovvero i rendimenti attesi coerenti con un portafoglio fedele alla </w:t>
      </w:r>
      <w:r w:rsidR="00D87D7C">
        <w:rPr>
          <w:rFonts w:asciiTheme="minorHAnsi" w:eastAsiaTheme="minorHAnsi" w:hAnsiTheme="minorHAnsi" w:cstheme="minorHAnsi"/>
        </w:rPr>
        <w:t>composizione</w:t>
      </w:r>
      <w:r w:rsidR="00EE1009">
        <w:rPr>
          <w:rFonts w:asciiTheme="minorHAnsi" w:eastAsiaTheme="minorHAnsi" w:hAnsiTheme="minorHAnsi" w:cstheme="minorHAnsi"/>
        </w:rPr>
        <w:t xml:space="preserve"> neutrale</w:t>
      </w:r>
      <w:r w:rsidR="00800406">
        <w:rPr>
          <w:rFonts w:asciiTheme="minorHAnsi" w:eastAsiaTheme="minorHAnsi" w:hAnsiTheme="minorHAnsi" w:cstheme="minorHAnsi"/>
        </w:rPr>
        <w:t xml:space="preserve"> </w:t>
      </w:r>
      <w:r>
        <w:rPr>
          <w:rFonts w:asciiTheme="minorHAnsi" w:eastAsiaTheme="minorHAnsi" w:hAnsiTheme="minorHAnsi" w:cstheme="minorHAnsi"/>
        </w:rPr>
        <w:t>dei mercati;</w:t>
      </w:r>
    </w:p>
    <w:p w:rsidR="0059232A" w:rsidRPr="0059232A" w:rsidRDefault="0059232A" w:rsidP="00E64598">
      <w:pPr>
        <w:pStyle w:val="Paragrafoelenco"/>
        <w:numPr>
          <w:ilvl w:val="1"/>
          <w:numId w:val="2"/>
        </w:numPr>
        <w:spacing w:line="360" w:lineRule="auto"/>
        <w:ind w:left="426"/>
        <w:jc w:val="both"/>
        <w:rPr>
          <w:rFonts w:asciiTheme="minorHAnsi" w:eastAsiaTheme="minorHAnsi" w:hAnsiTheme="minorHAnsi" w:cstheme="minorHAnsi"/>
        </w:rPr>
      </w:pPr>
      <w:r>
        <w:rPr>
          <w:rFonts w:asciiTheme="minorHAnsi" w:eastAsiaTheme="minorHAnsi" w:hAnsiTheme="minorHAnsi" w:cstheme="minorHAnsi"/>
        </w:rPr>
        <w:t xml:space="preserve">nel modello Black-Litterman applicato per finalità di asset allocation tattica, i rendimenti a priori di partenza sono i rendimenti attesi </w:t>
      </w:r>
      <w:r w:rsidRPr="0059232A">
        <w:rPr>
          <w:rFonts w:asciiTheme="minorHAnsi" w:eastAsiaTheme="minorHAnsi" w:hAnsiTheme="minorHAnsi" w:cstheme="minorHAnsi"/>
        </w:rPr>
        <w:t>strategici</w:t>
      </w:r>
      <w:r>
        <w:rPr>
          <w:rFonts w:asciiTheme="minorHAnsi" w:eastAsiaTheme="minorHAnsi" w:hAnsiTheme="minorHAnsi" w:cstheme="minorHAnsi"/>
        </w:rPr>
        <w:t xml:space="preserve">, ovvero i rendimenti attesi coerenti con la composizione del portafoglio </w:t>
      </w:r>
      <w:r w:rsidR="00EE1009">
        <w:rPr>
          <w:rFonts w:asciiTheme="minorHAnsi" w:eastAsiaTheme="minorHAnsi" w:hAnsiTheme="minorHAnsi" w:cstheme="minorHAnsi"/>
        </w:rPr>
        <w:t>strategico</w:t>
      </w:r>
      <w:r w:rsidR="00D87D7C">
        <w:rPr>
          <w:rFonts w:asciiTheme="minorHAnsi" w:eastAsiaTheme="minorHAnsi" w:hAnsiTheme="minorHAnsi" w:cstheme="minorHAnsi"/>
        </w:rPr>
        <w:t xml:space="preserve"> (derivante dall’applicazione delle view strategiche al portafoglio market neutral)</w:t>
      </w:r>
      <w:r>
        <w:rPr>
          <w:rFonts w:asciiTheme="minorHAnsi" w:eastAsiaTheme="minorHAnsi" w:hAnsiTheme="minorHAnsi" w:cstheme="minorHAnsi"/>
        </w:rPr>
        <w:t>.</w:t>
      </w:r>
    </w:p>
    <w:p w:rsidR="00CE76A2" w:rsidRPr="000376E5" w:rsidRDefault="00CE76A2" w:rsidP="003710BD">
      <w:pPr>
        <w:spacing w:line="360" w:lineRule="auto"/>
        <w:jc w:val="both"/>
        <w:rPr>
          <w:rFonts w:asciiTheme="minorHAnsi" w:eastAsiaTheme="minorHAnsi" w:hAnsiTheme="minorHAnsi" w:cstheme="minorHAnsi"/>
          <w:sz w:val="24"/>
          <w:szCs w:val="24"/>
        </w:rPr>
      </w:pPr>
      <w:r w:rsidRPr="000376E5">
        <w:rPr>
          <w:rFonts w:asciiTheme="minorHAnsi" w:eastAsiaTheme="minorHAnsi" w:hAnsiTheme="minorHAnsi" w:cstheme="minorHAnsi"/>
          <w:sz w:val="24"/>
          <w:szCs w:val="24"/>
        </w:rPr>
        <w:t>Il modello funziona secondo l’iter qui di seguito descritto:</w:t>
      </w:r>
    </w:p>
    <w:p w:rsidR="00CE76A2" w:rsidRPr="000C01DC" w:rsidRDefault="0059232A" w:rsidP="000C01DC">
      <w:pPr>
        <w:pStyle w:val="Paragrafoelenco"/>
        <w:numPr>
          <w:ilvl w:val="0"/>
          <w:numId w:val="39"/>
        </w:numPr>
        <w:spacing w:line="360" w:lineRule="auto"/>
        <w:jc w:val="both"/>
        <w:rPr>
          <w:rFonts w:asciiTheme="minorHAnsi" w:eastAsiaTheme="minorHAnsi" w:hAnsiTheme="minorHAnsi" w:cstheme="minorHAnsi"/>
        </w:rPr>
      </w:pPr>
      <w:r>
        <w:rPr>
          <w:rFonts w:asciiTheme="minorHAnsi" w:eastAsiaTheme="minorHAnsi" w:hAnsiTheme="minorHAnsi" w:cstheme="minorHAnsi"/>
        </w:rPr>
        <w:t>i</w:t>
      </w:r>
      <w:r w:rsidR="00CE76A2" w:rsidRPr="000C01DC">
        <w:rPr>
          <w:rFonts w:asciiTheme="minorHAnsi" w:eastAsiaTheme="minorHAnsi" w:hAnsiTheme="minorHAnsi" w:cstheme="minorHAnsi"/>
        </w:rPr>
        <w:t xml:space="preserve">l processo di ottimizzazione tattica viene svolto in modo da creare </w:t>
      </w:r>
      <w:r>
        <w:rPr>
          <w:rFonts w:asciiTheme="minorHAnsi" w:eastAsiaTheme="minorHAnsi" w:hAnsiTheme="minorHAnsi" w:cstheme="minorHAnsi"/>
        </w:rPr>
        <w:t>un portafoglio</w:t>
      </w:r>
      <w:r w:rsidR="00CE76A2" w:rsidRPr="000C01DC">
        <w:rPr>
          <w:rFonts w:asciiTheme="minorHAnsi" w:eastAsiaTheme="minorHAnsi" w:hAnsiTheme="minorHAnsi" w:cstheme="minorHAnsi"/>
        </w:rPr>
        <w:t xml:space="preserve"> tattic</w:t>
      </w:r>
      <w:r>
        <w:rPr>
          <w:rFonts w:asciiTheme="minorHAnsi" w:eastAsiaTheme="minorHAnsi" w:hAnsiTheme="minorHAnsi" w:cstheme="minorHAnsi"/>
        </w:rPr>
        <w:t>o specifico</w:t>
      </w:r>
      <w:r w:rsidR="00800406">
        <w:rPr>
          <w:rFonts w:asciiTheme="minorHAnsi" w:eastAsiaTheme="minorHAnsi" w:hAnsiTheme="minorHAnsi" w:cstheme="minorHAnsi"/>
        </w:rPr>
        <w:t xml:space="preserve"> </w:t>
      </w:r>
      <w:r>
        <w:rPr>
          <w:rFonts w:asciiTheme="minorHAnsi" w:eastAsiaTheme="minorHAnsi" w:hAnsiTheme="minorHAnsi" w:cstheme="minorHAnsi"/>
        </w:rPr>
        <w:t>per ciascuno</w:t>
      </w:r>
      <w:r w:rsidR="00800406">
        <w:rPr>
          <w:rFonts w:asciiTheme="minorHAnsi" w:eastAsiaTheme="minorHAnsi" w:hAnsiTheme="minorHAnsi" w:cstheme="minorHAnsi"/>
        </w:rPr>
        <w:t xml:space="preserve"> </w:t>
      </w:r>
      <w:r>
        <w:rPr>
          <w:rFonts w:asciiTheme="minorHAnsi" w:eastAsiaTheme="minorHAnsi" w:hAnsiTheme="minorHAnsi" w:cstheme="minorHAnsi"/>
        </w:rPr>
        <w:t>dei sette portafogli modello</w:t>
      </w:r>
      <w:r w:rsidR="00CE76A2" w:rsidRPr="000C01DC">
        <w:rPr>
          <w:rFonts w:asciiTheme="minorHAnsi" w:eastAsiaTheme="minorHAnsi" w:hAnsiTheme="minorHAnsi" w:cstheme="minorHAnsi"/>
        </w:rPr>
        <w:t>.</w:t>
      </w:r>
    </w:p>
    <w:p w:rsidR="00CE76A2" w:rsidRPr="000C01DC" w:rsidRDefault="00EE1009" w:rsidP="000C01DC">
      <w:pPr>
        <w:pStyle w:val="Paragrafoelenco"/>
        <w:numPr>
          <w:ilvl w:val="0"/>
          <w:numId w:val="39"/>
        </w:numPr>
        <w:spacing w:line="360" w:lineRule="auto"/>
        <w:jc w:val="both"/>
        <w:rPr>
          <w:rFonts w:asciiTheme="minorHAnsi" w:eastAsiaTheme="minorHAnsi" w:hAnsiTheme="minorHAnsi" w:cstheme="minorHAnsi"/>
        </w:rPr>
      </w:pPr>
      <w:r>
        <w:rPr>
          <w:rFonts w:asciiTheme="minorHAnsi" w:eastAsiaTheme="minorHAnsi" w:hAnsiTheme="minorHAnsi" w:cstheme="minorHAnsi"/>
        </w:rPr>
        <w:t xml:space="preserve">noti </w:t>
      </w:r>
      <w:r w:rsidR="00CE76A2" w:rsidRPr="000C01DC">
        <w:rPr>
          <w:rFonts w:asciiTheme="minorHAnsi" w:eastAsiaTheme="minorHAnsi" w:hAnsiTheme="minorHAnsi" w:cstheme="minorHAnsi"/>
        </w:rPr>
        <w:t xml:space="preserve">la composizione del portafoglio modello, il coefficiente </w:t>
      </w:r>
      <w:r w:rsidR="0059232A" w:rsidRPr="0059232A">
        <w:rPr>
          <w:rFonts w:ascii="Symbol" w:eastAsiaTheme="minorHAnsi" w:hAnsi="Symbol" w:cstheme="minorHAnsi"/>
        </w:rPr>
        <w:t></w:t>
      </w:r>
      <w:r w:rsidR="002C12B6">
        <w:rPr>
          <w:rFonts w:ascii="Symbol" w:eastAsiaTheme="minorHAnsi" w:hAnsi="Symbol" w:cstheme="minorHAnsi"/>
        </w:rPr>
        <w:t></w:t>
      </w:r>
      <w:r w:rsidR="00CE76A2" w:rsidRPr="000C01DC">
        <w:rPr>
          <w:rFonts w:asciiTheme="minorHAnsi" w:eastAsiaTheme="minorHAnsi" w:hAnsiTheme="minorHAnsi" w:cstheme="minorHAnsi"/>
        </w:rPr>
        <w:t>di avversione al</w:t>
      </w:r>
      <w:r w:rsidR="00800406">
        <w:rPr>
          <w:rFonts w:asciiTheme="minorHAnsi" w:eastAsiaTheme="minorHAnsi" w:hAnsiTheme="minorHAnsi" w:cstheme="minorHAnsi"/>
        </w:rPr>
        <w:t xml:space="preserve"> </w:t>
      </w:r>
      <w:r w:rsidR="00CE76A2" w:rsidRPr="000C01DC">
        <w:rPr>
          <w:rFonts w:asciiTheme="minorHAnsi" w:eastAsiaTheme="minorHAnsi" w:hAnsiTheme="minorHAnsi" w:cstheme="minorHAnsi"/>
        </w:rPr>
        <w:t>rischio e la matrice varianz</w:t>
      </w:r>
      <w:r w:rsidR="00D87D7C">
        <w:rPr>
          <w:rFonts w:asciiTheme="minorHAnsi" w:eastAsiaTheme="minorHAnsi" w:hAnsiTheme="minorHAnsi" w:cstheme="minorHAnsi"/>
        </w:rPr>
        <w:t>a</w:t>
      </w:r>
      <w:r w:rsidR="00CE76A2" w:rsidRPr="000C01DC">
        <w:rPr>
          <w:rFonts w:asciiTheme="minorHAnsi" w:eastAsiaTheme="minorHAnsi" w:hAnsiTheme="minorHAnsi" w:cstheme="minorHAnsi"/>
        </w:rPr>
        <w:t>-covarianz</w:t>
      </w:r>
      <w:r>
        <w:rPr>
          <w:rFonts w:asciiTheme="minorHAnsi" w:eastAsiaTheme="minorHAnsi" w:hAnsiTheme="minorHAnsi" w:cstheme="minorHAnsi"/>
        </w:rPr>
        <w:t>a</w:t>
      </w:r>
      <w:r w:rsidR="00CE76A2" w:rsidRPr="000C01DC">
        <w:rPr>
          <w:rFonts w:asciiTheme="minorHAnsi" w:eastAsiaTheme="minorHAnsi" w:hAnsiTheme="minorHAnsi" w:cstheme="minorHAnsi"/>
        </w:rPr>
        <w:t>, vengono calcolati (attraverso la reverse</w:t>
      </w:r>
      <w:r w:rsidR="00800406">
        <w:rPr>
          <w:rFonts w:asciiTheme="minorHAnsi" w:eastAsiaTheme="minorHAnsi" w:hAnsiTheme="minorHAnsi" w:cstheme="minorHAnsi"/>
        </w:rPr>
        <w:t xml:space="preserve"> </w:t>
      </w:r>
      <w:r w:rsidR="00CE76A2" w:rsidRPr="000C01DC">
        <w:rPr>
          <w:rFonts w:asciiTheme="minorHAnsi" w:eastAsiaTheme="minorHAnsi" w:hAnsiTheme="minorHAnsi" w:cstheme="minorHAnsi"/>
        </w:rPr>
        <w:t xml:space="preserve">optimization) i rendimenti </w:t>
      </w:r>
      <w:r w:rsidR="0059232A" w:rsidRPr="0059232A">
        <w:rPr>
          <w:rFonts w:asciiTheme="minorHAnsi" w:eastAsiaTheme="minorHAnsi" w:hAnsiTheme="minorHAnsi" w:cstheme="minorHAnsi"/>
          <w:i/>
        </w:rPr>
        <w:t>strategic</w:t>
      </w:r>
      <w:r w:rsidR="00CE76A2" w:rsidRPr="0059232A">
        <w:rPr>
          <w:rFonts w:asciiTheme="minorHAnsi" w:eastAsiaTheme="minorHAnsi" w:hAnsiTheme="minorHAnsi" w:cstheme="minorHAnsi"/>
          <w:i/>
        </w:rPr>
        <w:t xml:space="preserve"> neutral</w:t>
      </w:r>
      <w:r w:rsidR="00CE76A2" w:rsidRPr="000C01DC">
        <w:rPr>
          <w:rFonts w:asciiTheme="minorHAnsi" w:eastAsiaTheme="minorHAnsi" w:hAnsiTheme="minorHAnsi" w:cstheme="minorHAnsi"/>
        </w:rPr>
        <w:t>, ovvero i rendimenti</w:t>
      </w:r>
      <w:r w:rsidR="0059232A">
        <w:rPr>
          <w:rFonts w:asciiTheme="minorHAnsi" w:eastAsiaTheme="minorHAnsi" w:hAnsiTheme="minorHAnsi" w:cstheme="minorHAnsi"/>
        </w:rPr>
        <w:t xml:space="preserve"> attesi</w:t>
      </w:r>
      <w:r w:rsidR="00CE76A2" w:rsidRPr="000C01DC">
        <w:rPr>
          <w:rFonts w:asciiTheme="minorHAnsi" w:eastAsiaTheme="minorHAnsi" w:hAnsiTheme="minorHAnsi" w:cstheme="minorHAnsi"/>
        </w:rPr>
        <w:t xml:space="preserve"> che utilizzati in</w:t>
      </w:r>
      <w:r w:rsidR="00800406">
        <w:rPr>
          <w:rFonts w:asciiTheme="minorHAnsi" w:eastAsiaTheme="minorHAnsi" w:hAnsiTheme="minorHAnsi" w:cstheme="minorHAnsi"/>
        </w:rPr>
        <w:t xml:space="preserve"> </w:t>
      </w:r>
      <w:r w:rsidR="00CE76A2" w:rsidRPr="000C01DC">
        <w:rPr>
          <w:rFonts w:asciiTheme="minorHAnsi" w:eastAsiaTheme="minorHAnsi" w:hAnsiTheme="minorHAnsi" w:cstheme="minorHAnsi"/>
        </w:rPr>
        <w:t>una ottimizzazione alla Markowitz restituirebbero come portafoglio ottimale (per il</w:t>
      </w:r>
      <w:r w:rsidR="00800406">
        <w:rPr>
          <w:rFonts w:asciiTheme="minorHAnsi" w:eastAsiaTheme="minorHAnsi" w:hAnsiTheme="minorHAnsi" w:cstheme="minorHAnsi"/>
        </w:rPr>
        <w:t xml:space="preserve"> </w:t>
      </w:r>
      <w:r w:rsidR="00CE76A2" w:rsidRPr="000C01DC">
        <w:rPr>
          <w:rFonts w:asciiTheme="minorHAnsi" w:eastAsiaTheme="minorHAnsi" w:hAnsiTheme="minorHAnsi" w:cstheme="minorHAnsi"/>
        </w:rPr>
        <w:t>livello di avversione al rischio desiderato) il portafoglio modello stesso</w:t>
      </w:r>
      <w:r>
        <w:rPr>
          <w:rStyle w:val="Rimandonotaapidipagina"/>
          <w:rFonts w:asciiTheme="minorHAnsi" w:eastAsiaTheme="minorHAnsi" w:hAnsiTheme="minorHAnsi" w:cstheme="minorHAnsi"/>
        </w:rPr>
        <w:footnoteReference w:id="9"/>
      </w:r>
      <w:r w:rsidR="0059232A">
        <w:rPr>
          <w:rFonts w:asciiTheme="minorHAnsi" w:eastAsiaTheme="minorHAnsi" w:hAnsiTheme="minorHAnsi" w:cstheme="minorHAnsi"/>
        </w:rPr>
        <w:t>;</w:t>
      </w:r>
    </w:p>
    <w:p w:rsidR="00CE76A2" w:rsidRPr="000C01DC" w:rsidRDefault="0059232A" w:rsidP="000C01DC">
      <w:pPr>
        <w:pStyle w:val="Paragrafoelenco"/>
        <w:numPr>
          <w:ilvl w:val="0"/>
          <w:numId w:val="39"/>
        </w:numPr>
        <w:spacing w:line="360" w:lineRule="auto"/>
        <w:jc w:val="both"/>
        <w:rPr>
          <w:rFonts w:asciiTheme="minorHAnsi" w:eastAsiaTheme="minorHAnsi" w:hAnsiTheme="minorHAnsi" w:cstheme="minorHAnsi"/>
        </w:rPr>
      </w:pPr>
      <w:r>
        <w:rPr>
          <w:rFonts w:asciiTheme="minorHAnsi" w:eastAsiaTheme="minorHAnsi" w:hAnsiTheme="minorHAnsi" w:cstheme="minorHAnsi"/>
        </w:rPr>
        <w:t>s</w:t>
      </w:r>
      <w:r w:rsidR="00CE76A2" w:rsidRPr="000C01DC">
        <w:rPr>
          <w:rFonts w:asciiTheme="minorHAnsi" w:eastAsiaTheme="minorHAnsi" w:hAnsiTheme="minorHAnsi" w:cstheme="minorHAnsi"/>
        </w:rPr>
        <w:t>i definiscono le view tattiche (relative e/o assolute), replicando il modello</w:t>
      </w:r>
      <w:r>
        <w:rPr>
          <w:rFonts w:asciiTheme="minorHAnsi" w:eastAsiaTheme="minorHAnsi" w:hAnsiTheme="minorHAnsi" w:cstheme="minorHAnsi"/>
        </w:rPr>
        <w:t xml:space="preserve"> qualitativo</w:t>
      </w:r>
      <w:r w:rsidR="00CE76A2" w:rsidRPr="000C01DC">
        <w:rPr>
          <w:rFonts w:asciiTheme="minorHAnsi" w:eastAsiaTheme="minorHAnsi" w:hAnsiTheme="minorHAnsi" w:cstheme="minorHAnsi"/>
        </w:rPr>
        <w:t xml:space="preserve"> di</w:t>
      </w:r>
      <w:r w:rsidR="00800406">
        <w:rPr>
          <w:rFonts w:asciiTheme="minorHAnsi" w:eastAsiaTheme="minorHAnsi" w:hAnsiTheme="minorHAnsi" w:cstheme="minorHAnsi"/>
        </w:rPr>
        <w:t xml:space="preserve"> </w:t>
      </w:r>
      <w:r w:rsidR="00CE76A2" w:rsidRPr="000C01DC">
        <w:rPr>
          <w:rFonts w:asciiTheme="minorHAnsi" w:eastAsiaTheme="minorHAnsi" w:hAnsiTheme="minorHAnsi" w:cstheme="minorHAnsi"/>
        </w:rPr>
        <w:t>imputazione delle view tattiche utilizzato per la costruzione dei portafogli</w:t>
      </w:r>
      <w:r w:rsidR="00800406">
        <w:rPr>
          <w:rFonts w:asciiTheme="minorHAnsi" w:eastAsiaTheme="minorHAnsi" w:hAnsiTheme="minorHAnsi" w:cstheme="minorHAnsi"/>
        </w:rPr>
        <w:t xml:space="preserve"> </w:t>
      </w:r>
      <w:r w:rsidR="00CE76A2" w:rsidRPr="000C01DC">
        <w:rPr>
          <w:rFonts w:asciiTheme="minorHAnsi" w:eastAsiaTheme="minorHAnsi" w:hAnsiTheme="minorHAnsi" w:cstheme="minorHAnsi"/>
        </w:rPr>
        <w:t>strategici.</w:t>
      </w:r>
    </w:p>
    <w:p w:rsidR="00CE76A2" w:rsidRPr="000C01DC" w:rsidRDefault="002C12B6" w:rsidP="000C01DC">
      <w:pPr>
        <w:pStyle w:val="Paragrafoelenco"/>
        <w:numPr>
          <w:ilvl w:val="0"/>
          <w:numId w:val="39"/>
        </w:numPr>
        <w:spacing w:line="360" w:lineRule="auto"/>
        <w:jc w:val="both"/>
        <w:rPr>
          <w:rFonts w:asciiTheme="minorHAnsi" w:eastAsiaTheme="minorHAnsi" w:hAnsiTheme="minorHAnsi" w:cstheme="minorHAnsi"/>
        </w:rPr>
      </w:pPr>
      <w:r>
        <w:rPr>
          <w:rFonts w:asciiTheme="minorHAnsi" w:eastAsiaTheme="minorHAnsi" w:hAnsiTheme="minorHAnsi" w:cstheme="minorHAnsi"/>
        </w:rPr>
        <w:t>S</w:t>
      </w:r>
      <w:r w:rsidR="00CE76A2" w:rsidRPr="000C01DC">
        <w:rPr>
          <w:rFonts w:asciiTheme="minorHAnsi" w:eastAsiaTheme="minorHAnsi" w:hAnsiTheme="minorHAnsi" w:cstheme="minorHAnsi"/>
        </w:rPr>
        <w:t>i</w:t>
      </w:r>
      <w:r w:rsidR="00800406">
        <w:rPr>
          <w:rFonts w:asciiTheme="minorHAnsi" w:eastAsiaTheme="minorHAnsi" w:hAnsiTheme="minorHAnsi" w:cstheme="minorHAnsi"/>
        </w:rPr>
        <w:t xml:space="preserve"> </w:t>
      </w:r>
      <w:r w:rsidR="0059232A">
        <w:rPr>
          <w:rFonts w:asciiTheme="minorHAnsi" w:eastAsiaTheme="minorHAnsi" w:hAnsiTheme="minorHAnsi" w:cstheme="minorHAnsi"/>
        </w:rPr>
        <w:t>combinano i rendimenti attesi strategic neutral e le view tattiche, ottenendo</w:t>
      </w:r>
      <w:r w:rsidR="00CE76A2" w:rsidRPr="000C01DC">
        <w:rPr>
          <w:rFonts w:asciiTheme="minorHAnsi" w:eastAsiaTheme="minorHAnsi" w:hAnsiTheme="minorHAnsi" w:cstheme="minorHAnsi"/>
        </w:rPr>
        <w:t xml:space="preserve"> i rendimenti attesi</w:t>
      </w:r>
      <w:r w:rsidR="0059232A">
        <w:rPr>
          <w:rFonts w:asciiTheme="minorHAnsi" w:eastAsiaTheme="minorHAnsi" w:hAnsiTheme="minorHAnsi" w:cstheme="minorHAnsi"/>
        </w:rPr>
        <w:t xml:space="preserve"> alla Black-Litterman </w:t>
      </w:r>
      <w:r w:rsidR="003E1971">
        <w:rPr>
          <w:rFonts w:asciiTheme="minorHAnsi" w:eastAsiaTheme="minorHAnsi" w:hAnsiTheme="minorHAnsi" w:cstheme="minorHAnsi"/>
        </w:rPr>
        <w:t xml:space="preserve">di tipo </w:t>
      </w:r>
      <w:r w:rsidR="0059232A">
        <w:rPr>
          <w:rFonts w:asciiTheme="minorHAnsi" w:eastAsiaTheme="minorHAnsi" w:hAnsiTheme="minorHAnsi" w:cstheme="minorHAnsi"/>
        </w:rPr>
        <w:t>tattic</w:t>
      </w:r>
      <w:r w:rsidR="003E1971">
        <w:rPr>
          <w:rFonts w:asciiTheme="minorHAnsi" w:eastAsiaTheme="minorHAnsi" w:hAnsiTheme="minorHAnsi" w:cstheme="minorHAnsi"/>
        </w:rPr>
        <w:t>o</w:t>
      </w:r>
      <w:r w:rsidR="0059232A">
        <w:rPr>
          <w:rStyle w:val="Rimandonotaapidipagina"/>
          <w:rFonts w:asciiTheme="minorHAnsi" w:eastAsiaTheme="minorHAnsi" w:hAnsiTheme="minorHAnsi" w:cstheme="minorHAnsi"/>
        </w:rPr>
        <w:footnoteReference w:id="10"/>
      </w:r>
      <w:r w:rsidR="00CE76A2" w:rsidRPr="000C01DC">
        <w:rPr>
          <w:rFonts w:asciiTheme="minorHAnsi" w:eastAsiaTheme="minorHAnsi" w:hAnsiTheme="minorHAnsi" w:cstheme="minorHAnsi"/>
        </w:rPr>
        <w:t>.</w:t>
      </w:r>
    </w:p>
    <w:p w:rsidR="00CE76A2" w:rsidRDefault="00CE76A2" w:rsidP="000C01DC">
      <w:pPr>
        <w:pStyle w:val="Paragrafoelenco"/>
        <w:numPr>
          <w:ilvl w:val="0"/>
          <w:numId w:val="39"/>
        </w:numPr>
        <w:spacing w:line="360" w:lineRule="auto"/>
        <w:jc w:val="both"/>
        <w:rPr>
          <w:rFonts w:asciiTheme="minorHAnsi" w:eastAsiaTheme="minorHAnsi" w:hAnsiTheme="minorHAnsi" w:cstheme="minorHAnsi"/>
        </w:rPr>
      </w:pPr>
      <w:r w:rsidRPr="000C01DC">
        <w:rPr>
          <w:rFonts w:asciiTheme="minorHAnsi" w:eastAsiaTheme="minorHAnsi" w:hAnsiTheme="minorHAnsi" w:cstheme="minorHAnsi"/>
        </w:rPr>
        <w:lastRenderedPageBreak/>
        <w:t>per ciascun portafoglio modello</w:t>
      </w:r>
      <w:r w:rsidR="00AE0156">
        <w:rPr>
          <w:rFonts w:asciiTheme="minorHAnsi" w:eastAsiaTheme="minorHAnsi" w:hAnsiTheme="minorHAnsi" w:cstheme="minorHAnsi"/>
        </w:rPr>
        <w:t xml:space="preserve"> sono stati definiti dei</w:t>
      </w:r>
      <w:r w:rsidRPr="000C01DC">
        <w:rPr>
          <w:rFonts w:asciiTheme="minorHAnsi" w:eastAsiaTheme="minorHAnsi" w:hAnsiTheme="minorHAnsi" w:cstheme="minorHAnsi"/>
        </w:rPr>
        <w:t xml:space="preserve"> limiti </w:t>
      </w:r>
      <w:r w:rsidR="00AE0156">
        <w:rPr>
          <w:rFonts w:asciiTheme="minorHAnsi" w:eastAsiaTheme="minorHAnsi" w:hAnsiTheme="minorHAnsi" w:cstheme="minorHAnsi"/>
        </w:rPr>
        <w:t xml:space="preserve">alle correzioni </w:t>
      </w:r>
      <w:r w:rsidRPr="000C01DC">
        <w:rPr>
          <w:rFonts w:asciiTheme="minorHAnsi" w:eastAsiaTheme="minorHAnsi" w:hAnsiTheme="minorHAnsi" w:cstheme="minorHAnsi"/>
        </w:rPr>
        <w:t>tattic</w:t>
      </w:r>
      <w:r w:rsidR="00AE0156">
        <w:rPr>
          <w:rFonts w:asciiTheme="minorHAnsi" w:eastAsiaTheme="minorHAnsi" w:hAnsiTheme="minorHAnsi" w:cstheme="minorHAnsi"/>
        </w:rPr>
        <w:t>he</w:t>
      </w:r>
      <w:r w:rsidRPr="000C01DC">
        <w:rPr>
          <w:rFonts w:asciiTheme="minorHAnsi" w:eastAsiaTheme="minorHAnsi" w:hAnsiTheme="minorHAnsi" w:cstheme="minorHAnsi"/>
        </w:rPr>
        <w:t xml:space="preserve"> in termini di</w:t>
      </w:r>
      <w:r w:rsidR="00800406">
        <w:rPr>
          <w:rFonts w:asciiTheme="minorHAnsi" w:eastAsiaTheme="minorHAnsi" w:hAnsiTheme="minorHAnsi" w:cstheme="minorHAnsi"/>
        </w:rPr>
        <w:t xml:space="preserve"> </w:t>
      </w:r>
      <w:r w:rsidRPr="000C01DC">
        <w:rPr>
          <w:rFonts w:asciiTheme="minorHAnsi" w:eastAsiaTheme="minorHAnsi" w:hAnsiTheme="minorHAnsi" w:cstheme="minorHAnsi"/>
        </w:rPr>
        <w:t>Relative Va</w:t>
      </w:r>
      <w:r w:rsidR="00E64598">
        <w:rPr>
          <w:rFonts w:asciiTheme="minorHAnsi" w:eastAsiaTheme="minorHAnsi" w:hAnsiTheme="minorHAnsi" w:cstheme="minorHAnsi"/>
        </w:rPr>
        <w:t>R</w:t>
      </w:r>
      <w:r w:rsidRPr="000C01DC">
        <w:rPr>
          <w:rFonts w:asciiTheme="minorHAnsi" w:eastAsiaTheme="minorHAnsi" w:hAnsiTheme="minorHAnsi" w:cstheme="minorHAnsi"/>
        </w:rPr>
        <w:t xml:space="preserve"> annuale con livello di confidenza pari al 95%. </w:t>
      </w:r>
      <w:r w:rsidR="00AE0156">
        <w:rPr>
          <w:rFonts w:asciiTheme="minorHAnsi" w:eastAsiaTheme="minorHAnsi" w:hAnsiTheme="minorHAnsi" w:cstheme="minorHAnsi"/>
        </w:rPr>
        <w:t>Poiché il Relative VaR di un portafoglio tattico può essere visto come il VaR del portafoglio differenziale Tattico – Strategico, tale parametro è perfetto al fine di limitare la dimensione delle correzioni tattiche. Infatti un vincolo di Relative VaR del 2% implica che, in situazioni estreme, il rendimento del portafoglio tattico non dovrebbe allontanarsi più del 2% da quello del portafoglio strategico. L’utilizzo di un livello di confidenza del 95% presuppone l’ipotesi di ignorare l’entità del differenziale di rendimento Tattica-Strategica nel 5% dei casi di maggiore scostamento. Inoltre, in una logica prudenziale,</w:t>
      </w:r>
      <w:r w:rsidR="00800406">
        <w:rPr>
          <w:rFonts w:asciiTheme="minorHAnsi" w:eastAsiaTheme="minorHAnsi" w:hAnsiTheme="minorHAnsi" w:cstheme="minorHAnsi"/>
        </w:rPr>
        <w:t xml:space="preserve"> </w:t>
      </w:r>
      <w:r w:rsidR="00AE0156">
        <w:rPr>
          <w:rFonts w:asciiTheme="minorHAnsi" w:eastAsiaTheme="minorHAnsi" w:hAnsiTheme="minorHAnsi" w:cstheme="minorHAnsi"/>
        </w:rPr>
        <w:t xml:space="preserve">si </w:t>
      </w:r>
      <w:r w:rsidRPr="000C01DC">
        <w:rPr>
          <w:rFonts w:asciiTheme="minorHAnsi" w:eastAsiaTheme="minorHAnsi" w:hAnsiTheme="minorHAnsi" w:cstheme="minorHAnsi"/>
        </w:rPr>
        <w:t>è optato per</w:t>
      </w:r>
      <w:r w:rsidR="00800406">
        <w:rPr>
          <w:rFonts w:asciiTheme="minorHAnsi" w:eastAsiaTheme="minorHAnsi" w:hAnsiTheme="minorHAnsi" w:cstheme="minorHAnsi"/>
        </w:rPr>
        <w:t xml:space="preserve"> </w:t>
      </w:r>
      <w:r w:rsidR="00AE0156">
        <w:rPr>
          <w:rFonts w:asciiTheme="minorHAnsi" w:eastAsiaTheme="minorHAnsi" w:hAnsiTheme="minorHAnsi" w:cstheme="minorHAnsi"/>
        </w:rPr>
        <w:t xml:space="preserve">un criterio </w:t>
      </w:r>
      <w:r w:rsidRPr="000C01DC">
        <w:rPr>
          <w:rFonts w:asciiTheme="minorHAnsi" w:eastAsiaTheme="minorHAnsi" w:hAnsiTheme="minorHAnsi" w:cstheme="minorHAnsi"/>
        </w:rPr>
        <w:t>tattic</w:t>
      </w:r>
      <w:r w:rsidR="00AE0156">
        <w:rPr>
          <w:rFonts w:asciiTheme="minorHAnsi" w:eastAsiaTheme="minorHAnsi" w:hAnsiTheme="minorHAnsi" w:cstheme="minorHAnsi"/>
        </w:rPr>
        <w:t>o</w:t>
      </w:r>
      <w:r w:rsidRPr="000C01DC">
        <w:rPr>
          <w:rFonts w:asciiTheme="minorHAnsi" w:eastAsiaTheme="minorHAnsi" w:hAnsiTheme="minorHAnsi" w:cstheme="minorHAnsi"/>
        </w:rPr>
        <w:t xml:space="preserve"> di tipo asimmetrico: </w:t>
      </w:r>
      <w:r w:rsidR="00AE0156">
        <w:rPr>
          <w:rFonts w:asciiTheme="minorHAnsi" w:eastAsiaTheme="minorHAnsi" w:hAnsiTheme="minorHAnsi" w:cstheme="minorHAnsi"/>
        </w:rPr>
        <w:t>la tattica</w:t>
      </w:r>
      <w:r w:rsidRPr="000C01DC">
        <w:rPr>
          <w:rFonts w:asciiTheme="minorHAnsi" w:eastAsiaTheme="minorHAnsi" w:hAnsiTheme="minorHAnsi" w:cstheme="minorHAnsi"/>
        </w:rPr>
        <w:t xml:space="preserve"> può essere utilizzat</w:t>
      </w:r>
      <w:r w:rsidR="00AE0156">
        <w:rPr>
          <w:rFonts w:asciiTheme="minorHAnsi" w:eastAsiaTheme="minorHAnsi" w:hAnsiTheme="minorHAnsi" w:cstheme="minorHAnsi"/>
        </w:rPr>
        <w:t>a</w:t>
      </w:r>
      <w:r w:rsidR="00800406">
        <w:rPr>
          <w:rFonts w:asciiTheme="minorHAnsi" w:eastAsiaTheme="minorHAnsi" w:hAnsiTheme="minorHAnsi" w:cstheme="minorHAnsi"/>
        </w:rPr>
        <w:t xml:space="preserve"> </w:t>
      </w:r>
      <w:r w:rsidRPr="000C01DC">
        <w:rPr>
          <w:rFonts w:asciiTheme="minorHAnsi" w:eastAsiaTheme="minorHAnsi" w:hAnsiTheme="minorHAnsi" w:cstheme="minorHAnsi"/>
        </w:rPr>
        <w:t xml:space="preserve">soprattutto al fine di effettuare </w:t>
      </w:r>
      <w:r w:rsidR="00AE0156">
        <w:rPr>
          <w:rFonts w:asciiTheme="minorHAnsi" w:eastAsiaTheme="minorHAnsi" w:hAnsiTheme="minorHAnsi" w:cstheme="minorHAnsi"/>
        </w:rPr>
        <w:t>correzioni</w:t>
      </w:r>
      <w:r w:rsidRPr="000C01DC">
        <w:rPr>
          <w:rFonts w:asciiTheme="minorHAnsi" w:eastAsiaTheme="minorHAnsi" w:hAnsiTheme="minorHAnsi" w:cstheme="minorHAnsi"/>
        </w:rPr>
        <w:t xml:space="preserve"> prudenziali, ovvero in grado di</w:t>
      </w:r>
      <w:r w:rsidR="00800406">
        <w:rPr>
          <w:rFonts w:asciiTheme="minorHAnsi" w:eastAsiaTheme="minorHAnsi" w:hAnsiTheme="minorHAnsi" w:cstheme="minorHAnsi"/>
        </w:rPr>
        <w:t xml:space="preserve"> </w:t>
      </w:r>
      <w:r w:rsidRPr="000C01DC">
        <w:rPr>
          <w:rFonts w:asciiTheme="minorHAnsi" w:eastAsiaTheme="minorHAnsi" w:hAnsiTheme="minorHAnsi" w:cstheme="minorHAnsi"/>
        </w:rPr>
        <w:t xml:space="preserve">ridurre il rischio del portafoglio. </w:t>
      </w:r>
      <w:r w:rsidR="00AE0156">
        <w:rPr>
          <w:rFonts w:asciiTheme="minorHAnsi" w:eastAsiaTheme="minorHAnsi" w:hAnsiTheme="minorHAnsi" w:cstheme="minorHAnsi"/>
        </w:rPr>
        <w:t>Tale logica asimmetrica si concretizza nell</w:t>
      </w:r>
      <w:r w:rsidR="00D03D59">
        <w:rPr>
          <w:rFonts w:asciiTheme="minorHAnsi" w:eastAsiaTheme="minorHAnsi" w:hAnsiTheme="minorHAnsi" w:cstheme="minorHAnsi"/>
        </w:rPr>
        <w:t>’</w:t>
      </w:r>
      <w:r w:rsidR="00AE0156">
        <w:rPr>
          <w:rFonts w:asciiTheme="minorHAnsi" w:eastAsiaTheme="minorHAnsi" w:hAnsiTheme="minorHAnsi" w:cstheme="minorHAnsi"/>
        </w:rPr>
        <w:t>imputazione, per ogni portafoglio modello, di due distinti limiti di Re</w:t>
      </w:r>
      <w:r w:rsidR="00E64598">
        <w:rPr>
          <w:rFonts w:asciiTheme="minorHAnsi" w:eastAsiaTheme="minorHAnsi" w:hAnsiTheme="minorHAnsi" w:cstheme="minorHAnsi"/>
        </w:rPr>
        <w:t xml:space="preserve">lative </w:t>
      </w:r>
      <w:r w:rsidR="00AE0156">
        <w:rPr>
          <w:rFonts w:asciiTheme="minorHAnsi" w:eastAsiaTheme="minorHAnsi" w:hAnsiTheme="minorHAnsi" w:cstheme="minorHAnsi"/>
        </w:rPr>
        <w:t>VaR: uno (più ampio) che scatta in ipotesi di correzione tattica difensiva (riduzione del rischio del portafoglio); l’altro (più ridotto) che scatta in ipotesi di correzione tattica aggressiva (aumento del rischio del portafoglio). Parallelamente all</w:t>
      </w:r>
      <w:r w:rsidR="003E1971">
        <w:rPr>
          <w:rFonts w:asciiTheme="minorHAnsi" w:eastAsiaTheme="minorHAnsi" w:hAnsiTheme="minorHAnsi" w:cstheme="minorHAnsi"/>
        </w:rPr>
        <w:t>’</w:t>
      </w:r>
      <w:r w:rsidR="00AE0156">
        <w:rPr>
          <w:rFonts w:asciiTheme="minorHAnsi" w:eastAsiaTheme="minorHAnsi" w:hAnsiTheme="minorHAnsi" w:cstheme="minorHAnsi"/>
        </w:rPr>
        <w:t>introduzione di limiti di Relative VaR, vengono inseriti dei limiti di VaR del portafoglio finalizzati ad assicurare che anche le soluzioni tattiche abbiano un livello di rischio non superiore al livello di rischio massimo tollerato da ogni classe di clientela</w:t>
      </w:r>
      <w:r w:rsidR="00D03D59">
        <w:rPr>
          <w:rFonts w:asciiTheme="minorHAnsi" w:eastAsiaTheme="minorHAnsi" w:hAnsiTheme="minorHAnsi" w:cstheme="minorHAnsi"/>
        </w:rPr>
        <w:t xml:space="preserve"> (come definito nei paragrafi precedenti dedicati alla definizione dei portafogli strategici </w:t>
      </w:r>
      <w:r w:rsidR="00306056">
        <w:rPr>
          <w:rFonts w:asciiTheme="minorHAnsi" w:eastAsiaTheme="minorHAnsi" w:hAnsiTheme="minorHAnsi" w:cstheme="minorHAnsi"/>
        </w:rPr>
        <w:t xml:space="preserve">per </w:t>
      </w:r>
      <w:r w:rsidR="00D03D59">
        <w:rPr>
          <w:rFonts w:asciiTheme="minorHAnsi" w:eastAsiaTheme="minorHAnsi" w:hAnsiTheme="minorHAnsi" w:cstheme="minorHAnsi"/>
        </w:rPr>
        <w:t>tutti i segmenti di clientela)</w:t>
      </w:r>
      <w:r w:rsidR="00AE0156">
        <w:rPr>
          <w:rFonts w:asciiTheme="minorHAnsi" w:eastAsiaTheme="minorHAnsi" w:hAnsiTheme="minorHAnsi" w:cstheme="minorHAnsi"/>
        </w:rPr>
        <w:t xml:space="preserve">. I limiti di </w:t>
      </w:r>
      <w:r w:rsidR="00306056">
        <w:rPr>
          <w:rFonts w:asciiTheme="minorHAnsi" w:eastAsiaTheme="minorHAnsi" w:hAnsiTheme="minorHAnsi" w:cstheme="minorHAnsi"/>
        </w:rPr>
        <w:t xml:space="preserve">Var e </w:t>
      </w:r>
      <w:r w:rsidR="00D03D59">
        <w:rPr>
          <w:rFonts w:asciiTheme="minorHAnsi" w:eastAsiaTheme="minorHAnsi" w:hAnsiTheme="minorHAnsi" w:cstheme="minorHAnsi"/>
        </w:rPr>
        <w:t>RelativeVa</w:t>
      </w:r>
      <w:r w:rsidR="00E947AD">
        <w:rPr>
          <w:rFonts w:asciiTheme="minorHAnsi" w:eastAsiaTheme="minorHAnsi" w:hAnsiTheme="minorHAnsi" w:cstheme="minorHAnsi"/>
        </w:rPr>
        <w:t xml:space="preserve">R </w:t>
      </w:r>
      <w:r w:rsidR="00AE0156">
        <w:rPr>
          <w:rFonts w:asciiTheme="minorHAnsi" w:eastAsiaTheme="minorHAnsi" w:hAnsiTheme="minorHAnsi" w:cstheme="minorHAnsi"/>
        </w:rPr>
        <w:t xml:space="preserve">applicati sono </w:t>
      </w:r>
      <w:r w:rsidR="00D03D59">
        <w:rPr>
          <w:rFonts w:asciiTheme="minorHAnsi" w:eastAsiaTheme="minorHAnsi" w:hAnsiTheme="minorHAnsi" w:cstheme="minorHAnsi"/>
        </w:rPr>
        <w:t>descritti in</w:t>
      </w:r>
      <w:r w:rsidR="00E947AD">
        <w:rPr>
          <w:rFonts w:asciiTheme="minorHAnsi" w:eastAsiaTheme="minorHAnsi" w:hAnsiTheme="minorHAnsi" w:cstheme="minorHAnsi"/>
        </w:rPr>
        <w:t xml:space="preserve"> </w:t>
      </w:r>
      <w:r w:rsidR="00AE0156">
        <w:rPr>
          <w:rFonts w:asciiTheme="minorHAnsi" w:eastAsiaTheme="minorHAnsi" w:hAnsiTheme="minorHAnsi" w:cstheme="minorHAnsi"/>
        </w:rPr>
        <w:t>Tabella 9:</w:t>
      </w:r>
    </w:p>
    <w:p w:rsidR="00AE0156" w:rsidRDefault="00AE0156" w:rsidP="00AE0156">
      <w:pPr>
        <w:pStyle w:val="Paragrafoelenco"/>
        <w:spacing w:line="360" w:lineRule="auto"/>
        <w:jc w:val="both"/>
        <w:rPr>
          <w:rFonts w:asciiTheme="minorHAnsi" w:eastAsiaTheme="minorHAnsi" w:hAnsiTheme="minorHAnsi" w:cstheme="minorHAnsi"/>
        </w:rPr>
      </w:pPr>
    </w:p>
    <w:p w:rsidR="00CE76A2" w:rsidRDefault="00CE76A2" w:rsidP="000C01DC">
      <w:pPr>
        <w:pStyle w:val="Paragrafoelenco"/>
        <w:spacing w:line="360" w:lineRule="auto"/>
        <w:jc w:val="both"/>
        <w:rPr>
          <w:rFonts w:asciiTheme="minorHAnsi" w:eastAsiaTheme="minorHAnsi" w:hAnsiTheme="minorHAnsi" w:cstheme="minorHAnsi"/>
        </w:rPr>
      </w:pPr>
      <w:r w:rsidRPr="000376E5">
        <w:rPr>
          <w:rFonts w:eastAsiaTheme="minorHAnsi"/>
          <w:noProof/>
        </w:rPr>
        <w:drawing>
          <wp:inline distT="0" distB="0" distL="0" distR="0" wp14:anchorId="3DCD0AEE" wp14:editId="7E291331">
            <wp:extent cx="3952875" cy="1724025"/>
            <wp:effectExtent l="19050" t="0" r="9525" b="0"/>
            <wp:docPr id="96" name="Immagin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4"/>
                    <a:srcRect/>
                    <a:stretch>
                      <a:fillRect/>
                    </a:stretch>
                  </pic:blipFill>
                  <pic:spPr bwMode="auto">
                    <a:xfrm>
                      <a:off x="0" y="0"/>
                      <a:ext cx="3952875" cy="1724025"/>
                    </a:xfrm>
                    <a:prstGeom prst="rect">
                      <a:avLst/>
                    </a:prstGeom>
                    <a:noFill/>
                    <a:ln w="9525">
                      <a:noFill/>
                      <a:miter lim="800000"/>
                      <a:headEnd/>
                      <a:tailEnd/>
                    </a:ln>
                  </pic:spPr>
                </pic:pic>
              </a:graphicData>
            </a:graphic>
          </wp:inline>
        </w:drawing>
      </w:r>
    </w:p>
    <w:p w:rsidR="003E1971" w:rsidRDefault="00306056" w:rsidP="000C01DC">
      <w:pPr>
        <w:pStyle w:val="Paragrafoelenco"/>
        <w:spacing w:line="360" w:lineRule="auto"/>
        <w:jc w:val="both"/>
        <w:rPr>
          <w:rFonts w:asciiTheme="minorHAnsi" w:hAnsiTheme="minorHAnsi" w:cstheme="minorHAnsi"/>
          <w:b/>
        </w:rPr>
      </w:pPr>
      <w:bookmarkStart w:id="63" w:name="OLE_LINK48"/>
      <w:r w:rsidRPr="003D2BBB">
        <w:rPr>
          <w:rFonts w:asciiTheme="minorHAnsi" w:hAnsiTheme="minorHAnsi" w:cstheme="minorHAnsi"/>
          <w:b/>
        </w:rPr>
        <w:t xml:space="preserve">Tabella </w:t>
      </w:r>
      <w:r>
        <w:rPr>
          <w:rFonts w:asciiTheme="minorHAnsi" w:hAnsiTheme="minorHAnsi" w:cstheme="minorHAnsi"/>
          <w:b/>
        </w:rPr>
        <w:t>9</w:t>
      </w:r>
      <w:bookmarkEnd w:id="63"/>
    </w:p>
    <w:p w:rsidR="00306056" w:rsidRDefault="00306056" w:rsidP="000C01DC">
      <w:pPr>
        <w:pStyle w:val="Paragrafoelenco"/>
        <w:spacing w:line="360" w:lineRule="auto"/>
        <w:jc w:val="both"/>
        <w:rPr>
          <w:rFonts w:asciiTheme="minorHAnsi" w:eastAsiaTheme="minorHAnsi" w:hAnsiTheme="minorHAnsi" w:cstheme="minorHAnsi"/>
        </w:rPr>
      </w:pPr>
    </w:p>
    <w:p w:rsidR="002E715B" w:rsidRDefault="00AE0156" w:rsidP="00EA7657">
      <w:pPr>
        <w:pStyle w:val="Paragrafoelenco"/>
        <w:spacing w:line="360" w:lineRule="auto"/>
        <w:jc w:val="both"/>
        <w:rPr>
          <w:rFonts w:asciiTheme="minorHAnsi" w:eastAsiaTheme="minorHAnsi" w:hAnsiTheme="minorHAnsi" w:cstheme="minorHAnsi"/>
        </w:rPr>
      </w:pPr>
      <w:r>
        <w:rPr>
          <w:rFonts w:asciiTheme="minorHAnsi" w:eastAsiaTheme="minorHAnsi" w:hAnsiTheme="minorHAnsi" w:cstheme="minorHAnsi"/>
        </w:rPr>
        <w:t>I limiti di Re</w:t>
      </w:r>
      <w:r w:rsidR="00E64598">
        <w:rPr>
          <w:rFonts w:asciiTheme="minorHAnsi" w:eastAsiaTheme="minorHAnsi" w:hAnsiTheme="minorHAnsi" w:cstheme="minorHAnsi"/>
        </w:rPr>
        <w:t xml:space="preserve">lative </w:t>
      </w:r>
      <w:r>
        <w:rPr>
          <w:rFonts w:asciiTheme="minorHAnsi" w:eastAsiaTheme="minorHAnsi" w:hAnsiTheme="minorHAnsi" w:cstheme="minorHAnsi"/>
        </w:rPr>
        <w:t xml:space="preserve">VaR associati ad ogni portafoglio modello sono stati definiti secondo un approccio euristico. </w:t>
      </w:r>
      <w:r w:rsidRPr="00C53B69">
        <w:rPr>
          <w:rFonts w:asciiTheme="minorHAnsi" w:eastAsiaTheme="minorHAnsi" w:hAnsiTheme="minorHAnsi" w:cstheme="minorHAnsi"/>
        </w:rPr>
        <w:t>In particolare,</w:t>
      </w:r>
      <w:r w:rsidR="00C53B69">
        <w:rPr>
          <w:rFonts w:asciiTheme="minorHAnsi" w:eastAsiaTheme="minorHAnsi" w:hAnsiTheme="minorHAnsi" w:cstheme="minorHAnsi"/>
        </w:rPr>
        <w:t xml:space="preserve"> si è definito il limite minimo e massimo che la porzione azionaria può assumere per ogni portafoglio modello</w:t>
      </w:r>
      <w:r w:rsidR="002E715B">
        <w:rPr>
          <w:rFonts w:asciiTheme="minorHAnsi" w:eastAsiaTheme="minorHAnsi" w:hAnsiTheme="minorHAnsi" w:cstheme="minorHAnsi"/>
        </w:rPr>
        <w:t xml:space="preserve"> come definito in Tabella 10</w:t>
      </w:r>
      <w:r w:rsidR="00BB4E25">
        <w:rPr>
          <w:rFonts w:asciiTheme="minorHAnsi" w:eastAsiaTheme="minorHAnsi" w:hAnsiTheme="minorHAnsi" w:cstheme="minorHAnsi"/>
        </w:rPr>
        <w:t>.</w:t>
      </w:r>
    </w:p>
    <w:p w:rsidR="002E715B" w:rsidRDefault="002E715B" w:rsidP="00EA7657">
      <w:pPr>
        <w:pStyle w:val="Paragrafoelenco"/>
        <w:spacing w:line="360" w:lineRule="auto"/>
        <w:jc w:val="both"/>
        <w:rPr>
          <w:rFonts w:asciiTheme="minorHAnsi" w:eastAsiaTheme="minorHAnsi" w:hAnsiTheme="minorHAnsi" w:cstheme="minorHAnsi"/>
        </w:rPr>
      </w:pPr>
    </w:p>
    <w:p w:rsidR="002E715B" w:rsidRDefault="009165AD" w:rsidP="00EA7657">
      <w:pPr>
        <w:pStyle w:val="Paragrafoelenco"/>
        <w:spacing w:line="360" w:lineRule="auto"/>
        <w:jc w:val="both"/>
        <w:rPr>
          <w:rFonts w:asciiTheme="minorHAnsi" w:eastAsiaTheme="minorHAnsi" w:hAnsiTheme="minorHAnsi" w:cstheme="minorHAnsi"/>
        </w:rPr>
      </w:pPr>
      <w:r w:rsidRPr="00BB4E25">
        <w:rPr>
          <w:rFonts w:asciiTheme="minorHAnsi" w:eastAsiaTheme="minorHAnsi" w:hAnsiTheme="minorHAnsi" w:cstheme="minorHAnsi"/>
          <w:noProof/>
        </w:rPr>
        <w:drawing>
          <wp:inline distT="0" distB="0" distL="0" distR="0" wp14:anchorId="08D22AA0" wp14:editId="01B9FE4A">
            <wp:extent cx="3657600" cy="1733550"/>
            <wp:effectExtent l="19050" t="0" r="0" b="0"/>
            <wp:docPr id="1" name="Immagine 1"/>
            <wp:cNvGraphicFramePr/>
            <a:graphic xmlns:a="http://schemas.openxmlformats.org/drawingml/2006/main">
              <a:graphicData uri="http://schemas.openxmlformats.org/drawingml/2006/picture">
                <pic:pic xmlns:pic="http://schemas.openxmlformats.org/drawingml/2006/picture">
                  <pic:nvPicPr>
                    <pic:cNvPr id="5436419" name="Picture 3"/>
                    <pic:cNvPicPr>
                      <a:picLocks noChangeAspect="1" noChangeArrowheads="1"/>
                    </pic:cNvPicPr>
                  </pic:nvPicPr>
                  <pic:blipFill>
                    <a:blip r:embed="rId35"/>
                    <a:srcRect r="40280"/>
                    <a:stretch>
                      <a:fillRect/>
                    </a:stretch>
                  </pic:blipFill>
                  <pic:spPr bwMode="auto">
                    <a:xfrm>
                      <a:off x="0" y="0"/>
                      <a:ext cx="3657600" cy="1733550"/>
                    </a:xfrm>
                    <a:prstGeom prst="rect">
                      <a:avLst/>
                    </a:prstGeom>
                    <a:noFill/>
                    <a:ln w="9525">
                      <a:noFill/>
                      <a:miter lim="800000"/>
                      <a:headEnd/>
                      <a:tailEnd/>
                    </a:ln>
                    <a:effectLst/>
                  </pic:spPr>
                </pic:pic>
              </a:graphicData>
            </a:graphic>
          </wp:inline>
        </w:drawing>
      </w:r>
    </w:p>
    <w:p w:rsidR="009165AD" w:rsidRDefault="00252E08" w:rsidP="00EA7657">
      <w:pPr>
        <w:pStyle w:val="Paragrafoelenco"/>
        <w:spacing w:line="360" w:lineRule="auto"/>
        <w:jc w:val="both"/>
        <w:rPr>
          <w:rFonts w:asciiTheme="minorHAnsi" w:eastAsiaTheme="minorHAnsi" w:hAnsiTheme="minorHAnsi" w:cstheme="minorHAnsi"/>
        </w:rPr>
      </w:pPr>
      <w:r w:rsidRPr="003D2BBB">
        <w:rPr>
          <w:rFonts w:asciiTheme="minorHAnsi" w:hAnsiTheme="minorHAnsi" w:cstheme="minorHAnsi"/>
          <w:b/>
        </w:rPr>
        <w:t xml:space="preserve">Tabella </w:t>
      </w:r>
      <w:r>
        <w:rPr>
          <w:rFonts w:asciiTheme="minorHAnsi" w:hAnsiTheme="minorHAnsi" w:cstheme="minorHAnsi"/>
          <w:b/>
        </w:rPr>
        <w:t>10</w:t>
      </w:r>
    </w:p>
    <w:p w:rsidR="00306056" w:rsidRDefault="00306056" w:rsidP="00EA7657">
      <w:pPr>
        <w:pStyle w:val="Paragrafoelenco"/>
        <w:spacing w:line="360" w:lineRule="auto"/>
        <w:jc w:val="both"/>
        <w:rPr>
          <w:rFonts w:asciiTheme="minorHAnsi" w:eastAsiaTheme="minorHAnsi" w:hAnsiTheme="minorHAnsi" w:cstheme="minorHAnsi"/>
        </w:rPr>
      </w:pPr>
    </w:p>
    <w:p w:rsidR="00AE0156" w:rsidRPr="00EA7657" w:rsidRDefault="00C53B69" w:rsidP="00EA7657">
      <w:pPr>
        <w:pStyle w:val="Paragrafoelenco"/>
        <w:spacing w:line="360" w:lineRule="auto"/>
        <w:jc w:val="both"/>
        <w:rPr>
          <w:rFonts w:asciiTheme="minorHAnsi" w:eastAsiaTheme="minorHAnsi" w:hAnsiTheme="minorHAnsi" w:cstheme="minorHAnsi"/>
        </w:rPr>
      </w:pPr>
      <w:r>
        <w:rPr>
          <w:rFonts w:asciiTheme="minorHAnsi" w:eastAsiaTheme="minorHAnsi" w:hAnsiTheme="minorHAnsi" w:cstheme="minorHAnsi"/>
        </w:rPr>
        <w:t>Coerentemente con la logica asimmetrica</w:t>
      </w:r>
      <w:r w:rsidR="003E1971">
        <w:rPr>
          <w:rFonts w:asciiTheme="minorHAnsi" w:eastAsiaTheme="minorHAnsi" w:hAnsiTheme="minorHAnsi" w:cstheme="minorHAnsi"/>
        </w:rPr>
        <w:t xml:space="preserve"> i</w:t>
      </w:r>
      <w:r>
        <w:rPr>
          <w:rFonts w:asciiTheme="minorHAnsi" w:eastAsiaTheme="minorHAnsi" w:hAnsiTheme="minorHAnsi" w:cstheme="minorHAnsi"/>
        </w:rPr>
        <w:t xml:space="preserve"> limiti di azionario sono stati definiti in modo tale che la variazione al rialzo della componente azionaria fosse minore della variazione</w:t>
      </w:r>
      <w:r w:rsidR="003E1971">
        <w:rPr>
          <w:rFonts w:asciiTheme="minorHAnsi" w:eastAsiaTheme="minorHAnsi" w:hAnsiTheme="minorHAnsi" w:cstheme="minorHAnsi"/>
        </w:rPr>
        <w:t xml:space="preserve"> al</w:t>
      </w:r>
      <w:r>
        <w:rPr>
          <w:rFonts w:asciiTheme="minorHAnsi" w:eastAsiaTheme="minorHAnsi" w:hAnsiTheme="minorHAnsi" w:cstheme="minorHAnsi"/>
        </w:rPr>
        <w:t xml:space="preserve"> ribasso. Noti i portafogli tattici estremi, si è calcolato il valore di Relative VaR che, in seguito ad arrotondament</w:t>
      </w:r>
      <w:r w:rsidR="003E1971">
        <w:rPr>
          <w:rFonts w:asciiTheme="minorHAnsi" w:eastAsiaTheme="minorHAnsi" w:hAnsiTheme="minorHAnsi" w:cstheme="minorHAnsi"/>
        </w:rPr>
        <w:t>o</w:t>
      </w:r>
      <w:r w:rsidR="00BB4E25">
        <w:rPr>
          <w:rFonts w:asciiTheme="minorHAnsi" w:eastAsiaTheme="minorHAnsi" w:hAnsiTheme="minorHAnsi" w:cstheme="minorHAnsi"/>
        </w:rPr>
        <w:t xml:space="preserve"> al terzo decimale</w:t>
      </w:r>
      <w:r>
        <w:rPr>
          <w:rFonts w:asciiTheme="minorHAnsi" w:eastAsiaTheme="minorHAnsi" w:hAnsiTheme="minorHAnsi" w:cstheme="minorHAnsi"/>
        </w:rPr>
        <w:t>, fung</w:t>
      </w:r>
      <w:r w:rsidR="003E1971">
        <w:rPr>
          <w:rFonts w:asciiTheme="minorHAnsi" w:eastAsiaTheme="minorHAnsi" w:hAnsiTheme="minorHAnsi" w:cstheme="minorHAnsi"/>
        </w:rPr>
        <w:t>e</w:t>
      </w:r>
      <w:r>
        <w:rPr>
          <w:rFonts w:asciiTheme="minorHAnsi" w:eastAsiaTheme="minorHAnsi" w:hAnsiTheme="minorHAnsi" w:cstheme="minorHAnsi"/>
        </w:rPr>
        <w:t xml:space="preserve"> da limit</w:t>
      </w:r>
      <w:r w:rsidR="003E1971">
        <w:rPr>
          <w:rFonts w:asciiTheme="minorHAnsi" w:eastAsiaTheme="minorHAnsi" w:hAnsiTheme="minorHAnsi" w:cstheme="minorHAnsi"/>
        </w:rPr>
        <w:t>e</w:t>
      </w:r>
      <w:r>
        <w:rPr>
          <w:rFonts w:asciiTheme="minorHAnsi" w:eastAsiaTheme="minorHAnsi" w:hAnsiTheme="minorHAnsi" w:cstheme="minorHAnsi"/>
        </w:rPr>
        <w:t xml:space="preserve"> nella costruzione dei portafogli tattici.</w:t>
      </w:r>
    </w:p>
    <w:p w:rsidR="00E63DA2" w:rsidRDefault="000C01DC" w:rsidP="00E63DA2">
      <w:pPr>
        <w:pStyle w:val="Paragrafoelenco"/>
        <w:numPr>
          <w:ilvl w:val="0"/>
          <w:numId w:val="39"/>
        </w:numPr>
        <w:spacing w:line="360" w:lineRule="auto"/>
        <w:jc w:val="both"/>
        <w:rPr>
          <w:rFonts w:asciiTheme="minorHAnsi" w:eastAsiaTheme="minorHAnsi" w:hAnsiTheme="minorHAnsi" w:cstheme="minorHAnsi"/>
        </w:rPr>
      </w:pPr>
      <w:r w:rsidRPr="000C01DC">
        <w:rPr>
          <w:rFonts w:asciiTheme="minorHAnsi" w:eastAsiaTheme="minorHAnsi" w:hAnsiTheme="minorHAnsi" w:cstheme="minorHAnsi"/>
        </w:rPr>
        <w:t>S</w:t>
      </w:r>
      <w:r w:rsidR="00CE76A2" w:rsidRPr="000C01DC">
        <w:rPr>
          <w:rFonts w:asciiTheme="minorHAnsi" w:eastAsiaTheme="minorHAnsi" w:hAnsiTheme="minorHAnsi" w:cstheme="minorHAnsi"/>
        </w:rPr>
        <w:t xml:space="preserve">i implementa un modello di ottimizzazione relativa che </w:t>
      </w:r>
      <w:r w:rsidR="00C53B69">
        <w:rPr>
          <w:rFonts w:asciiTheme="minorHAnsi" w:eastAsiaTheme="minorHAnsi" w:hAnsiTheme="minorHAnsi" w:cstheme="minorHAnsi"/>
        </w:rPr>
        <w:t>punta</w:t>
      </w:r>
      <w:r w:rsidR="00CE76A2" w:rsidRPr="000C01DC">
        <w:rPr>
          <w:rFonts w:asciiTheme="minorHAnsi" w:eastAsiaTheme="minorHAnsi" w:hAnsiTheme="minorHAnsi" w:cstheme="minorHAnsi"/>
        </w:rPr>
        <w:t xml:space="preserve"> a massimizzare</w:t>
      </w:r>
      <w:r w:rsidR="00E947AD">
        <w:rPr>
          <w:rFonts w:asciiTheme="minorHAnsi" w:eastAsiaTheme="minorHAnsi" w:hAnsiTheme="minorHAnsi" w:cstheme="minorHAnsi"/>
        </w:rPr>
        <w:t xml:space="preserve"> </w:t>
      </w:r>
      <w:r w:rsidR="00CE76A2" w:rsidRPr="000C01DC">
        <w:rPr>
          <w:rFonts w:asciiTheme="minorHAnsi" w:eastAsiaTheme="minorHAnsi" w:hAnsiTheme="minorHAnsi" w:cstheme="minorHAnsi"/>
        </w:rPr>
        <w:t>l’efficacia delle scommesse tattiche</w:t>
      </w:r>
      <w:r w:rsidR="00C53B69">
        <w:rPr>
          <w:rFonts w:asciiTheme="minorHAnsi" w:eastAsiaTheme="minorHAnsi" w:hAnsiTheme="minorHAnsi" w:cstheme="minorHAnsi"/>
        </w:rPr>
        <w:t xml:space="preserve"> (punta quindi a massimizzare il rendimento atteso del portafoglio tattico)</w:t>
      </w:r>
      <w:r w:rsidR="00CE76A2" w:rsidRPr="000C01DC">
        <w:rPr>
          <w:rFonts w:asciiTheme="minorHAnsi" w:eastAsiaTheme="minorHAnsi" w:hAnsiTheme="minorHAnsi" w:cstheme="minorHAnsi"/>
        </w:rPr>
        <w:t>, tenendo conto dei limiti relativi imposti (limite</w:t>
      </w:r>
      <w:r w:rsidR="00E947AD">
        <w:rPr>
          <w:rFonts w:asciiTheme="minorHAnsi" w:eastAsiaTheme="minorHAnsi" w:hAnsiTheme="minorHAnsi" w:cstheme="minorHAnsi"/>
        </w:rPr>
        <w:t xml:space="preserve"> </w:t>
      </w:r>
      <w:r w:rsidR="00CE76A2" w:rsidRPr="000C01DC">
        <w:rPr>
          <w:rFonts w:asciiTheme="minorHAnsi" w:eastAsiaTheme="minorHAnsi" w:hAnsiTheme="minorHAnsi" w:cstheme="minorHAnsi"/>
        </w:rPr>
        <w:t xml:space="preserve">di </w:t>
      </w:r>
      <w:r w:rsidR="00E64598">
        <w:rPr>
          <w:rFonts w:asciiTheme="minorHAnsi" w:eastAsiaTheme="minorHAnsi" w:hAnsiTheme="minorHAnsi" w:cstheme="minorHAnsi"/>
        </w:rPr>
        <w:t>Relative VaR</w:t>
      </w:r>
      <w:r w:rsidR="00CE76A2" w:rsidRPr="000C01DC">
        <w:rPr>
          <w:rFonts w:asciiTheme="minorHAnsi" w:eastAsiaTheme="minorHAnsi" w:hAnsiTheme="minorHAnsi" w:cstheme="minorHAnsi"/>
        </w:rPr>
        <w:t xml:space="preserve"> e impossibilità di aumentare il rischio complessivo del portafoglio</w:t>
      </w:r>
      <w:r w:rsidR="00C53B69">
        <w:rPr>
          <w:rFonts w:asciiTheme="minorHAnsi" w:eastAsiaTheme="minorHAnsi" w:hAnsiTheme="minorHAnsi" w:cstheme="minorHAnsi"/>
        </w:rPr>
        <w:t xml:space="preserve"> oltre la soglia di VaR annuale definita ex-ante</w:t>
      </w:r>
      <w:r w:rsidR="00CE76A2" w:rsidRPr="000C01DC">
        <w:rPr>
          <w:rFonts w:asciiTheme="minorHAnsi" w:eastAsiaTheme="minorHAnsi" w:hAnsiTheme="minorHAnsi" w:cstheme="minorHAnsi"/>
        </w:rPr>
        <w:t>).</w:t>
      </w:r>
      <w:r w:rsidR="00C53B69">
        <w:rPr>
          <w:rFonts w:asciiTheme="minorHAnsi" w:eastAsiaTheme="minorHAnsi" w:hAnsiTheme="minorHAnsi" w:cstheme="minorHAnsi"/>
        </w:rPr>
        <w:t xml:space="preserve"> Inoltre, il modello di ottimizzazione tattica è stato implementato in modo tale </w:t>
      </w:r>
      <w:r w:rsidR="00EB2D41">
        <w:rPr>
          <w:rFonts w:asciiTheme="minorHAnsi" w:eastAsiaTheme="minorHAnsi" w:hAnsiTheme="minorHAnsi" w:cstheme="minorHAnsi"/>
        </w:rPr>
        <w:t xml:space="preserve">da permettere al Comitato Investimenti di scegliere se utilizzare o meno </w:t>
      </w:r>
      <w:r w:rsidR="00C53B69">
        <w:rPr>
          <w:rFonts w:asciiTheme="minorHAnsi" w:eastAsiaTheme="minorHAnsi" w:hAnsiTheme="minorHAnsi" w:cstheme="minorHAnsi"/>
        </w:rPr>
        <w:t>l’intero budget di rischio relativo (l’intero livello</w:t>
      </w:r>
      <w:r w:rsidR="00E947AD">
        <w:rPr>
          <w:rFonts w:asciiTheme="minorHAnsi" w:eastAsiaTheme="minorHAnsi" w:hAnsiTheme="minorHAnsi" w:cstheme="minorHAnsi"/>
        </w:rPr>
        <w:t xml:space="preserve"> </w:t>
      </w:r>
      <w:r w:rsidR="00C53B69">
        <w:rPr>
          <w:rFonts w:asciiTheme="minorHAnsi" w:eastAsiaTheme="minorHAnsi" w:hAnsiTheme="minorHAnsi" w:cstheme="minorHAnsi"/>
        </w:rPr>
        <w:t>di Relative VaR)</w:t>
      </w:r>
      <w:r w:rsidR="00EB2D41">
        <w:rPr>
          <w:rFonts w:asciiTheme="minorHAnsi" w:eastAsiaTheme="minorHAnsi" w:hAnsiTheme="minorHAnsi" w:cstheme="minorHAnsi"/>
        </w:rPr>
        <w:t>. In particolare, il Comitato Investimenti, esprimendo</w:t>
      </w:r>
      <w:r w:rsidR="00C53B69">
        <w:rPr>
          <w:rFonts w:asciiTheme="minorHAnsi" w:eastAsiaTheme="minorHAnsi" w:hAnsiTheme="minorHAnsi" w:cstheme="minorHAnsi"/>
        </w:rPr>
        <w:t xml:space="preserve"> view tattiche accompagnate da </w:t>
      </w:r>
      <w:r w:rsidR="00EB2D41">
        <w:rPr>
          <w:rFonts w:asciiTheme="minorHAnsi" w:eastAsiaTheme="minorHAnsi" w:hAnsiTheme="minorHAnsi" w:cstheme="minorHAnsi"/>
        </w:rPr>
        <w:t>alta confidenza influenzerà il modello di ottimizzazione in modo da spingerlo ad utilizzare tutto il budget di rischio</w:t>
      </w:r>
      <w:r w:rsidR="00C53B69">
        <w:rPr>
          <w:rFonts w:asciiTheme="minorHAnsi" w:eastAsiaTheme="minorHAnsi" w:hAnsiTheme="minorHAnsi" w:cstheme="minorHAnsi"/>
        </w:rPr>
        <w:t xml:space="preserve">. </w:t>
      </w:r>
      <w:r w:rsidR="00EB2D41">
        <w:rPr>
          <w:rFonts w:asciiTheme="minorHAnsi" w:eastAsiaTheme="minorHAnsi" w:hAnsiTheme="minorHAnsi" w:cstheme="minorHAnsi"/>
        </w:rPr>
        <w:t>Di contro, n</w:t>
      </w:r>
      <w:r w:rsidR="00C53B69">
        <w:rPr>
          <w:rFonts w:asciiTheme="minorHAnsi" w:eastAsiaTheme="minorHAnsi" w:hAnsiTheme="minorHAnsi" w:cstheme="minorHAnsi"/>
        </w:rPr>
        <w:t xml:space="preserve">ell’ipotesi in cui </w:t>
      </w:r>
      <w:r w:rsidR="00EB2D41">
        <w:rPr>
          <w:rFonts w:asciiTheme="minorHAnsi" w:eastAsiaTheme="minorHAnsi" w:hAnsiTheme="minorHAnsi" w:cstheme="minorHAnsi"/>
        </w:rPr>
        <w:t>le view siano considerate meno affidabili</w:t>
      </w:r>
      <w:r w:rsidR="00C53B69">
        <w:rPr>
          <w:rFonts w:asciiTheme="minorHAnsi" w:eastAsiaTheme="minorHAnsi" w:hAnsiTheme="minorHAnsi" w:cstheme="minorHAnsi"/>
        </w:rPr>
        <w:t xml:space="preserve">, il modello </w:t>
      </w:r>
      <w:r w:rsidR="00EB2D41">
        <w:rPr>
          <w:rFonts w:asciiTheme="minorHAnsi" w:eastAsiaTheme="minorHAnsi" w:hAnsiTheme="minorHAnsi" w:cstheme="minorHAnsi"/>
        </w:rPr>
        <w:t>restituisce</w:t>
      </w:r>
      <w:r w:rsidR="00C53B69">
        <w:rPr>
          <w:rFonts w:asciiTheme="minorHAnsi" w:eastAsiaTheme="minorHAnsi" w:hAnsiTheme="minorHAnsi" w:cstheme="minorHAnsi"/>
        </w:rPr>
        <w:t xml:space="preserve"> portafogli tattici che sfruttano solo una parte dell’intero budget di rischio relativo.</w:t>
      </w:r>
    </w:p>
    <w:p w:rsidR="00E63DA2" w:rsidRDefault="00E63DA2" w:rsidP="00E63DA2">
      <w:pPr>
        <w:spacing w:line="360" w:lineRule="auto"/>
        <w:jc w:val="both"/>
        <w:rPr>
          <w:rFonts w:asciiTheme="minorHAnsi" w:hAnsiTheme="minorHAnsi" w:cstheme="minorHAnsi"/>
          <w:sz w:val="24"/>
          <w:szCs w:val="24"/>
        </w:rPr>
      </w:pPr>
    </w:p>
    <w:p w:rsidR="003E1971" w:rsidRDefault="003E1971" w:rsidP="00E63DA2">
      <w:pPr>
        <w:spacing w:line="360" w:lineRule="auto"/>
        <w:jc w:val="both"/>
        <w:rPr>
          <w:rFonts w:asciiTheme="minorHAnsi" w:hAnsiTheme="minorHAnsi" w:cstheme="minorHAnsi"/>
          <w:sz w:val="24"/>
          <w:szCs w:val="24"/>
        </w:rPr>
      </w:pPr>
    </w:p>
    <w:p w:rsidR="006B7620" w:rsidRDefault="006B7620" w:rsidP="00E63DA2">
      <w:pPr>
        <w:spacing w:line="360" w:lineRule="auto"/>
        <w:jc w:val="both"/>
        <w:rPr>
          <w:rFonts w:asciiTheme="minorHAnsi" w:hAnsiTheme="minorHAnsi" w:cstheme="minorHAnsi"/>
          <w:sz w:val="24"/>
          <w:szCs w:val="24"/>
        </w:rPr>
      </w:pPr>
    </w:p>
    <w:p w:rsidR="006B7620" w:rsidRDefault="006B7620" w:rsidP="00E63DA2">
      <w:pPr>
        <w:spacing w:line="360" w:lineRule="auto"/>
        <w:jc w:val="both"/>
        <w:rPr>
          <w:rFonts w:asciiTheme="minorHAnsi" w:hAnsiTheme="minorHAnsi" w:cstheme="minorHAnsi"/>
          <w:sz w:val="24"/>
          <w:szCs w:val="24"/>
        </w:rPr>
      </w:pPr>
    </w:p>
    <w:p w:rsidR="006B7620" w:rsidRPr="000376E5" w:rsidRDefault="006B7620" w:rsidP="00E63DA2">
      <w:pPr>
        <w:spacing w:line="360" w:lineRule="auto"/>
        <w:jc w:val="both"/>
        <w:rPr>
          <w:rFonts w:asciiTheme="minorHAnsi" w:hAnsiTheme="minorHAnsi" w:cstheme="minorHAnsi"/>
          <w:sz w:val="24"/>
          <w:szCs w:val="24"/>
        </w:rPr>
      </w:pPr>
    </w:p>
    <w:p w:rsidR="00E63DA2" w:rsidRPr="00E63DA2" w:rsidRDefault="00EA7657" w:rsidP="00E63DA2">
      <w:pPr>
        <w:pStyle w:val="Titolo1"/>
        <w:spacing w:line="360" w:lineRule="auto"/>
        <w:jc w:val="both"/>
        <w:rPr>
          <w:rFonts w:asciiTheme="minorHAnsi" w:hAnsiTheme="minorHAnsi" w:cstheme="minorHAnsi"/>
        </w:rPr>
      </w:pPr>
      <w:bookmarkStart w:id="64" w:name="_Toc425154140"/>
      <w:r>
        <w:rPr>
          <w:rFonts w:asciiTheme="minorHAnsi" w:hAnsiTheme="minorHAnsi" w:cstheme="minorHAnsi"/>
        </w:rPr>
        <w:lastRenderedPageBreak/>
        <w:t xml:space="preserve">LA </w:t>
      </w:r>
      <w:r w:rsidR="00E63DA2" w:rsidRPr="000376E5">
        <w:rPr>
          <w:rFonts w:asciiTheme="minorHAnsi" w:hAnsiTheme="minorHAnsi" w:cstheme="minorHAnsi"/>
        </w:rPr>
        <w:t xml:space="preserve">DEFINIZIONE DEI PORTAFOGLI </w:t>
      </w:r>
      <w:r w:rsidR="00E63DA2">
        <w:rPr>
          <w:rFonts w:asciiTheme="minorHAnsi" w:hAnsiTheme="minorHAnsi" w:cstheme="minorHAnsi"/>
        </w:rPr>
        <w:t xml:space="preserve">MODELLO PER LA FINALITA </w:t>
      </w:r>
      <w:r w:rsidR="002E715B">
        <w:rPr>
          <w:rFonts w:asciiTheme="minorHAnsi" w:hAnsiTheme="minorHAnsi" w:cstheme="minorHAnsi"/>
        </w:rPr>
        <w:t>“</w:t>
      </w:r>
      <w:r w:rsidR="00E63DA2">
        <w:rPr>
          <w:rFonts w:asciiTheme="minorHAnsi" w:hAnsiTheme="minorHAnsi" w:cstheme="minorHAnsi"/>
        </w:rPr>
        <w:t xml:space="preserve">DIFESA DEL </w:t>
      </w:r>
      <w:r w:rsidR="00E63DA2" w:rsidRPr="00E63DA2">
        <w:rPr>
          <w:rFonts w:asciiTheme="minorHAnsi" w:hAnsiTheme="minorHAnsi" w:cstheme="minorHAnsi"/>
        </w:rPr>
        <w:t>RISPARMIO E PROTEZIONE</w:t>
      </w:r>
      <w:r w:rsidR="002E715B">
        <w:rPr>
          <w:rFonts w:asciiTheme="minorHAnsi" w:hAnsiTheme="minorHAnsi" w:cstheme="minorHAnsi"/>
        </w:rPr>
        <w:t>”</w:t>
      </w:r>
      <w:bookmarkEnd w:id="64"/>
    </w:p>
    <w:p w:rsidR="00E63DA2" w:rsidRPr="00E63DA2" w:rsidRDefault="00E63DA2" w:rsidP="00E63DA2">
      <w:pPr>
        <w:pStyle w:val="Titolo1"/>
        <w:numPr>
          <w:ilvl w:val="0"/>
          <w:numId w:val="0"/>
        </w:numPr>
        <w:spacing w:line="360" w:lineRule="auto"/>
        <w:ind w:left="432" w:hanging="432"/>
        <w:jc w:val="both"/>
        <w:rPr>
          <w:rFonts w:asciiTheme="minorHAnsi" w:eastAsiaTheme="minorHAnsi" w:hAnsiTheme="minorHAnsi" w:cstheme="minorHAnsi"/>
          <w:b w:val="0"/>
          <w:sz w:val="24"/>
          <w:szCs w:val="24"/>
        </w:rPr>
      </w:pPr>
    </w:p>
    <w:p w:rsidR="00E63DA2" w:rsidRPr="009A45D7" w:rsidRDefault="00E63DA2" w:rsidP="00D513DB">
      <w:pPr>
        <w:spacing w:line="360" w:lineRule="auto"/>
        <w:jc w:val="both"/>
        <w:rPr>
          <w:rFonts w:asciiTheme="minorHAnsi" w:eastAsiaTheme="minorHAnsi" w:hAnsiTheme="minorHAnsi" w:cstheme="minorHAnsi"/>
          <w:sz w:val="24"/>
          <w:szCs w:val="24"/>
        </w:rPr>
      </w:pPr>
      <w:r w:rsidRPr="009A45D7">
        <w:rPr>
          <w:rFonts w:asciiTheme="minorHAnsi" w:eastAsiaTheme="minorHAnsi" w:hAnsiTheme="minorHAnsi" w:cstheme="minorHAnsi"/>
          <w:sz w:val="24"/>
          <w:szCs w:val="24"/>
        </w:rPr>
        <w:t>Per questa specifica finalità si è inteso proporre al cliente una soluzione di prodotti che miri</w:t>
      </w:r>
      <w:r w:rsidR="00D513DB">
        <w:rPr>
          <w:rFonts w:asciiTheme="minorHAnsi" w:eastAsiaTheme="minorHAnsi" w:hAnsiTheme="minorHAnsi" w:cstheme="minorHAnsi"/>
          <w:sz w:val="24"/>
          <w:szCs w:val="24"/>
        </w:rPr>
        <w:t>,</w:t>
      </w:r>
      <w:r w:rsidRPr="009A45D7">
        <w:rPr>
          <w:rFonts w:asciiTheme="minorHAnsi" w:eastAsiaTheme="minorHAnsi" w:hAnsiTheme="minorHAnsi" w:cstheme="minorHAnsi"/>
          <w:sz w:val="24"/>
          <w:szCs w:val="24"/>
        </w:rPr>
        <w:t xml:space="preserve"> nel medio lungo termine</w:t>
      </w:r>
      <w:r w:rsidR="00D513DB">
        <w:rPr>
          <w:rFonts w:asciiTheme="minorHAnsi" w:eastAsiaTheme="minorHAnsi" w:hAnsiTheme="minorHAnsi" w:cstheme="minorHAnsi"/>
          <w:sz w:val="24"/>
          <w:szCs w:val="24"/>
        </w:rPr>
        <w:t>,</w:t>
      </w:r>
      <w:r w:rsidRPr="009A45D7">
        <w:rPr>
          <w:rFonts w:asciiTheme="minorHAnsi" w:eastAsiaTheme="minorHAnsi" w:hAnsiTheme="minorHAnsi" w:cstheme="minorHAnsi"/>
          <w:sz w:val="24"/>
          <w:szCs w:val="24"/>
        </w:rPr>
        <w:t xml:space="preserve"> al contenimento del rischio con una redditività moderata abbinata ai benefici </w:t>
      </w:r>
      <w:r w:rsidR="003E1971">
        <w:rPr>
          <w:rFonts w:asciiTheme="minorHAnsi" w:eastAsiaTheme="minorHAnsi" w:hAnsiTheme="minorHAnsi" w:cstheme="minorHAnsi"/>
          <w:sz w:val="24"/>
          <w:szCs w:val="24"/>
        </w:rPr>
        <w:t xml:space="preserve">tipici </w:t>
      </w:r>
      <w:r w:rsidRPr="009A45D7">
        <w:rPr>
          <w:rFonts w:asciiTheme="minorHAnsi" w:eastAsiaTheme="minorHAnsi" w:hAnsiTheme="minorHAnsi" w:cstheme="minorHAnsi"/>
          <w:sz w:val="24"/>
          <w:szCs w:val="24"/>
        </w:rPr>
        <w:t>d</w:t>
      </w:r>
      <w:r w:rsidR="003E1971">
        <w:rPr>
          <w:rFonts w:asciiTheme="minorHAnsi" w:eastAsiaTheme="minorHAnsi" w:hAnsiTheme="minorHAnsi" w:cstheme="minorHAnsi"/>
          <w:sz w:val="24"/>
          <w:szCs w:val="24"/>
        </w:rPr>
        <w:t>e</w:t>
      </w:r>
      <w:r w:rsidRPr="009A45D7">
        <w:rPr>
          <w:rFonts w:asciiTheme="minorHAnsi" w:eastAsiaTheme="minorHAnsi" w:hAnsiTheme="minorHAnsi" w:cstheme="minorHAnsi"/>
          <w:sz w:val="24"/>
          <w:szCs w:val="24"/>
        </w:rPr>
        <w:t>i prodotti di natura assicurativa.</w:t>
      </w:r>
    </w:p>
    <w:p w:rsidR="00E63DA2" w:rsidRPr="009A45D7" w:rsidRDefault="00E63DA2" w:rsidP="00D513DB">
      <w:pPr>
        <w:spacing w:line="360" w:lineRule="auto"/>
        <w:jc w:val="both"/>
        <w:rPr>
          <w:rFonts w:asciiTheme="minorHAnsi" w:eastAsiaTheme="minorHAnsi" w:hAnsiTheme="minorHAnsi" w:cstheme="minorHAnsi"/>
          <w:sz w:val="24"/>
          <w:szCs w:val="24"/>
        </w:rPr>
      </w:pPr>
      <w:r w:rsidRPr="009A45D7">
        <w:rPr>
          <w:rFonts w:asciiTheme="minorHAnsi" w:eastAsiaTheme="minorHAnsi" w:hAnsiTheme="minorHAnsi" w:cstheme="minorHAnsi"/>
          <w:sz w:val="24"/>
          <w:szCs w:val="24"/>
        </w:rPr>
        <w:t xml:space="preserve">I prodotti che meglio si prestano a rispondere a questa finalità sono </w:t>
      </w:r>
      <w:r w:rsidR="003E1971">
        <w:rPr>
          <w:rFonts w:asciiTheme="minorHAnsi" w:eastAsiaTheme="minorHAnsi" w:hAnsiTheme="minorHAnsi" w:cstheme="minorHAnsi"/>
          <w:sz w:val="24"/>
          <w:szCs w:val="24"/>
        </w:rPr>
        <w:t xml:space="preserve">i </w:t>
      </w:r>
      <w:r w:rsidRPr="009A45D7">
        <w:rPr>
          <w:rFonts w:asciiTheme="minorHAnsi" w:eastAsiaTheme="minorHAnsi" w:hAnsiTheme="minorHAnsi" w:cstheme="minorHAnsi"/>
          <w:sz w:val="24"/>
          <w:szCs w:val="24"/>
        </w:rPr>
        <w:t xml:space="preserve">prodotti di natura assicurativa e </w:t>
      </w:r>
      <w:r w:rsidR="003E1971">
        <w:rPr>
          <w:rFonts w:asciiTheme="minorHAnsi" w:eastAsiaTheme="minorHAnsi" w:hAnsiTheme="minorHAnsi" w:cstheme="minorHAnsi"/>
          <w:sz w:val="24"/>
          <w:szCs w:val="24"/>
        </w:rPr>
        <w:t xml:space="preserve">i </w:t>
      </w:r>
      <w:r w:rsidRPr="009A45D7">
        <w:rPr>
          <w:rFonts w:asciiTheme="minorHAnsi" w:eastAsiaTheme="minorHAnsi" w:hAnsiTheme="minorHAnsi" w:cstheme="minorHAnsi"/>
          <w:sz w:val="24"/>
          <w:szCs w:val="24"/>
        </w:rPr>
        <w:t xml:space="preserve">prodotti flessibili a volatilità controllata. In particolare è stata considerata favorevolmente l'idea di predisporre soluzioni che prevedano l'abbinamento di un prodotto prevalentemente obbligazionario (minimo 70%) che garantisca al cliente i benefici di natura assicurativa </w:t>
      </w:r>
      <w:r w:rsidR="00D513DB">
        <w:rPr>
          <w:rFonts w:asciiTheme="minorHAnsi" w:eastAsiaTheme="minorHAnsi" w:hAnsiTheme="minorHAnsi" w:cstheme="minorHAnsi"/>
          <w:sz w:val="24"/>
          <w:szCs w:val="24"/>
        </w:rPr>
        <w:t>con</w:t>
      </w:r>
      <w:r w:rsidRPr="009A45D7">
        <w:rPr>
          <w:rFonts w:asciiTheme="minorHAnsi" w:eastAsiaTheme="minorHAnsi" w:hAnsiTheme="minorHAnsi" w:cstheme="minorHAnsi"/>
          <w:sz w:val="24"/>
          <w:szCs w:val="24"/>
        </w:rPr>
        <w:t xml:space="preserve"> un prodotto flessibile a volatilità controllata che garantisca una dinamicità tattica alla soluzione proposta.</w:t>
      </w:r>
    </w:p>
    <w:p w:rsidR="00E63DA2" w:rsidRDefault="00E63DA2" w:rsidP="00D513DB">
      <w:pPr>
        <w:spacing w:line="360" w:lineRule="auto"/>
        <w:jc w:val="both"/>
        <w:rPr>
          <w:rFonts w:asciiTheme="minorHAnsi" w:eastAsiaTheme="minorHAnsi" w:hAnsiTheme="minorHAnsi" w:cstheme="minorHAnsi"/>
          <w:sz w:val="24"/>
          <w:szCs w:val="24"/>
        </w:rPr>
      </w:pPr>
      <w:r w:rsidRPr="009A45D7">
        <w:rPr>
          <w:rFonts w:asciiTheme="minorHAnsi" w:eastAsiaTheme="minorHAnsi" w:hAnsiTheme="minorHAnsi" w:cstheme="minorHAnsi"/>
          <w:sz w:val="24"/>
          <w:szCs w:val="24"/>
        </w:rPr>
        <w:t>Sono state pertanto definite funzionali all'elaborazione delle soluzioni modello le asset class</w:t>
      </w:r>
      <w:r w:rsidR="00E947AD">
        <w:rPr>
          <w:rFonts w:asciiTheme="minorHAnsi" w:eastAsiaTheme="minorHAnsi" w:hAnsiTheme="minorHAnsi" w:cstheme="minorHAnsi"/>
          <w:sz w:val="24"/>
          <w:szCs w:val="24"/>
        </w:rPr>
        <w:t xml:space="preserve"> </w:t>
      </w:r>
      <w:r w:rsidR="004A6FAA">
        <w:rPr>
          <w:rFonts w:asciiTheme="minorHAnsi" w:eastAsiaTheme="minorHAnsi" w:hAnsiTheme="minorHAnsi" w:cstheme="minorHAnsi"/>
          <w:sz w:val="24"/>
          <w:szCs w:val="24"/>
        </w:rPr>
        <w:t xml:space="preserve">elencate in </w:t>
      </w:r>
      <w:r w:rsidR="00D513DB">
        <w:rPr>
          <w:rFonts w:asciiTheme="minorHAnsi" w:eastAsiaTheme="minorHAnsi" w:hAnsiTheme="minorHAnsi" w:cstheme="minorHAnsi"/>
          <w:sz w:val="24"/>
          <w:szCs w:val="24"/>
        </w:rPr>
        <w:t>Tabella 1</w:t>
      </w:r>
      <w:r w:rsidR="002E715B">
        <w:rPr>
          <w:rFonts w:asciiTheme="minorHAnsi" w:eastAsiaTheme="minorHAnsi" w:hAnsiTheme="minorHAnsi" w:cstheme="minorHAnsi"/>
          <w:sz w:val="24"/>
          <w:szCs w:val="24"/>
        </w:rPr>
        <w:t>1</w:t>
      </w:r>
      <w:r w:rsidRPr="009A45D7">
        <w:rPr>
          <w:rFonts w:asciiTheme="minorHAnsi" w:eastAsiaTheme="minorHAnsi" w:hAnsiTheme="minorHAnsi" w:cstheme="minorHAnsi"/>
          <w:sz w:val="24"/>
          <w:szCs w:val="24"/>
        </w:rPr>
        <w:t>:</w:t>
      </w:r>
    </w:p>
    <w:p w:rsidR="00D513DB" w:rsidRDefault="00D513DB" w:rsidP="00D513DB">
      <w:pPr>
        <w:spacing w:line="360" w:lineRule="auto"/>
        <w:jc w:val="both"/>
        <w:rPr>
          <w:rFonts w:asciiTheme="minorHAnsi" w:eastAsiaTheme="minorHAnsi" w:hAnsiTheme="minorHAnsi" w:cstheme="minorHAnsi"/>
          <w:sz w:val="24"/>
          <w:szCs w:val="24"/>
        </w:rPr>
      </w:pPr>
    </w:p>
    <w:p w:rsidR="00E63DA2" w:rsidRPr="009A45D7" w:rsidRDefault="00AF0FFB" w:rsidP="00AF0FFB">
      <w:pPr>
        <w:spacing w:line="360" w:lineRule="auto"/>
        <w:jc w:val="center"/>
        <w:rPr>
          <w:rFonts w:asciiTheme="minorHAnsi" w:eastAsiaTheme="minorHAnsi" w:hAnsiTheme="minorHAnsi" w:cstheme="minorHAnsi"/>
          <w:sz w:val="24"/>
          <w:szCs w:val="24"/>
          <w:lang w:val="en-US"/>
        </w:rPr>
      </w:pPr>
      <w:r w:rsidRPr="00AF0FFB">
        <w:rPr>
          <w:rFonts w:eastAsiaTheme="minorHAnsi"/>
          <w:noProof/>
          <w:lang w:eastAsia="it-IT"/>
        </w:rPr>
        <w:drawing>
          <wp:inline distT="0" distB="0" distL="0" distR="0" wp14:anchorId="575D1F45" wp14:editId="2A85715D">
            <wp:extent cx="5791200" cy="49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88954" cy="498972"/>
                    </a:xfrm>
                    <a:prstGeom prst="rect">
                      <a:avLst/>
                    </a:prstGeom>
                    <a:noFill/>
                    <a:ln>
                      <a:noFill/>
                    </a:ln>
                  </pic:spPr>
                </pic:pic>
              </a:graphicData>
            </a:graphic>
          </wp:inline>
        </w:drawing>
      </w:r>
    </w:p>
    <w:p w:rsidR="00E63DA2" w:rsidRDefault="00EB2D41" w:rsidP="00D513DB">
      <w:pPr>
        <w:spacing w:line="360" w:lineRule="auto"/>
        <w:jc w:val="both"/>
        <w:rPr>
          <w:rFonts w:asciiTheme="minorHAnsi" w:hAnsiTheme="minorHAnsi" w:cstheme="minorHAnsi"/>
          <w:b/>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11</w:t>
      </w:r>
    </w:p>
    <w:p w:rsidR="00EB2D41" w:rsidRDefault="00EB2D41" w:rsidP="00D513DB">
      <w:pPr>
        <w:spacing w:line="360" w:lineRule="auto"/>
        <w:jc w:val="both"/>
        <w:rPr>
          <w:rFonts w:asciiTheme="minorHAnsi" w:hAnsiTheme="minorHAnsi" w:cstheme="minorHAnsi"/>
          <w:b/>
          <w:sz w:val="24"/>
          <w:szCs w:val="24"/>
        </w:rPr>
      </w:pPr>
    </w:p>
    <w:p w:rsidR="00EB2D41" w:rsidRPr="003D2BBB" w:rsidRDefault="00EB2D41" w:rsidP="00EB2D41">
      <w:pPr>
        <w:spacing w:line="360" w:lineRule="auto"/>
        <w:jc w:val="both"/>
        <w:rPr>
          <w:rFonts w:asciiTheme="minorHAnsi" w:hAnsiTheme="minorHAnsi" w:cstheme="minorHAnsi"/>
          <w:sz w:val="24"/>
          <w:szCs w:val="24"/>
        </w:rPr>
      </w:pPr>
      <w:r w:rsidRPr="003D2BBB">
        <w:rPr>
          <w:rFonts w:asciiTheme="minorHAnsi" w:hAnsiTheme="minorHAnsi" w:cstheme="minorHAnsi"/>
          <w:sz w:val="24"/>
          <w:szCs w:val="24"/>
        </w:rPr>
        <w:t>Nella Tabella</w:t>
      </w:r>
      <w:r>
        <w:rPr>
          <w:rFonts w:asciiTheme="minorHAnsi" w:hAnsiTheme="minorHAnsi" w:cstheme="minorHAnsi"/>
          <w:sz w:val="24"/>
          <w:szCs w:val="24"/>
        </w:rPr>
        <w:t>1</w:t>
      </w:r>
      <w:r w:rsidRPr="003D2BBB">
        <w:rPr>
          <w:rFonts w:asciiTheme="minorHAnsi" w:hAnsiTheme="minorHAnsi" w:cstheme="minorHAnsi"/>
          <w:sz w:val="24"/>
          <w:szCs w:val="24"/>
        </w:rPr>
        <w:t>2 sono riportati i benchmark associati a ciascuna asset class</w:t>
      </w:r>
      <w:r>
        <w:rPr>
          <w:rFonts w:asciiTheme="minorHAnsi" w:hAnsiTheme="minorHAnsi" w:cstheme="minorHAnsi"/>
          <w:sz w:val="24"/>
          <w:szCs w:val="24"/>
        </w:rPr>
        <w:t>.</w:t>
      </w:r>
    </w:p>
    <w:p w:rsidR="00EB2D41" w:rsidRDefault="00EB2D41" w:rsidP="00EB2D41">
      <w:pPr>
        <w:spacing w:line="360" w:lineRule="auto"/>
        <w:jc w:val="both"/>
        <w:rPr>
          <w:rFonts w:asciiTheme="minorHAnsi" w:hAnsiTheme="minorHAnsi" w:cstheme="minorHAnsi"/>
          <w:sz w:val="24"/>
          <w:szCs w:val="24"/>
        </w:rPr>
      </w:pPr>
    </w:p>
    <w:tbl>
      <w:tblPr>
        <w:tblW w:w="9371" w:type="dxa"/>
        <w:tblInd w:w="55" w:type="dxa"/>
        <w:tblCellMar>
          <w:left w:w="70" w:type="dxa"/>
          <w:right w:w="70" w:type="dxa"/>
        </w:tblCellMar>
        <w:tblLook w:val="04A0" w:firstRow="1" w:lastRow="0" w:firstColumn="1" w:lastColumn="0" w:noHBand="0" w:noVBand="1"/>
      </w:tblPr>
      <w:tblGrid>
        <w:gridCol w:w="2019"/>
        <w:gridCol w:w="2693"/>
        <w:gridCol w:w="1701"/>
        <w:gridCol w:w="980"/>
        <w:gridCol w:w="1978"/>
      </w:tblGrid>
      <w:tr w:rsidR="00EB2D41" w:rsidRPr="000328F5" w:rsidTr="0006520F">
        <w:trPr>
          <w:trHeight w:val="1200"/>
        </w:trPr>
        <w:tc>
          <w:tcPr>
            <w:tcW w:w="20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ASSET CLASS</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BENCHMARK</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TICKER BLOOMBERG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DIVISA DI SCARICO</w:t>
            </w:r>
          </w:p>
        </w:tc>
        <w:tc>
          <w:tcPr>
            <w:tcW w:w="1978" w:type="dxa"/>
            <w:tcBorders>
              <w:top w:val="single" w:sz="4" w:space="0" w:color="auto"/>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CAMBIO UTILIZZATO (TICKER BLOOMBERG)</w:t>
            </w:r>
          </w:p>
        </w:tc>
      </w:tr>
      <w:tr w:rsidR="00EB2D41" w:rsidRPr="006B7620" w:rsidTr="0006520F">
        <w:trPr>
          <w:trHeight w:val="6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bookmarkStart w:id="65" w:name="_Hlk425003266"/>
            <w:r w:rsidRPr="000328F5">
              <w:rPr>
                <w:rFonts w:ascii="Calibri" w:hAnsi="Calibri" w:cs="Calibri"/>
                <w:color w:val="000000"/>
                <w:sz w:val="22"/>
                <w:szCs w:val="22"/>
                <w:lang w:eastAsia="it-IT"/>
              </w:rPr>
              <w:t>Flessibile Bassa Volatilità</w:t>
            </w:r>
          </w:p>
        </w:tc>
        <w:tc>
          <w:tcPr>
            <w:tcW w:w="2693"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60% ML € Broad + 30% ML Gl. Broad + 10% MSCI World</w:t>
            </w:r>
            <w:r w:rsidR="00B51B6A">
              <w:rPr>
                <w:rFonts w:ascii="Calibri" w:hAnsi="Calibri" w:cs="Calibri"/>
                <w:color w:val="000000"/>
                <w:sz w:val="22"/>
                <w:szCs w:val="22"/>
                <w:lang w:val="en-US" w:eastAsia="it-IT"/>
              </w:rPr>
              <w:t xml:space="preserve"> AC</w:t>
            </w:r>
          </w:p>
        </w:tc>
        <w:tc>
          <w:tcPr>
            <w:tcW w:w="1701" w:type="dxa"/>
            <w:tcBorders>
              <w:top w:val="nil"/>
              <w:left w:val="nil"/>
              <w:bottom w:val="single" w:sz="4" w:space="0" w:color="auto"/>
              <w:right w:val="single" w:sz="4" w:space="0" w:color="auto"/>
            </w:tcBorders>
            <w:shd w:val="clear" w:color="auto" w:fill="auto"/>
            <w:noWrap/>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980"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1978"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r>
      <w:tr w:rsidR="00EB2D41" w:rsidRPr="000328F5" w:rsidTr="0006520F">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bookmarkStart w:id="66" w:name="_Hlk425003976"/>
            <w:bookmarkEnd w:id="65"/>
            <w:r w:rsidRPr="000328F5">
              <w:rPr>
                <w:rFonts w:ascii="Calibri" w:hAnsi="Calibri" w:cs="Calibri"/>
                <w:color w:val="000000"/>
                <w:sz w:val="22"/>
                <w:szCs w:val="22"/>
                <w:lang w:val="en-US"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 Broad</w:t>
            </w:r>
          </w:p>
        </w:tc>
        <w:tc>
          <w:tcPr>
            <w:tcW w:w="1701" w:type="dxa"/>
            <w:tcBorders>
              <w:top w:val="nil"/>
              <w:left w:val="nil"/>
              <w:bottom w:val="single" w:sz="4" w:space="0" w:color="auto"/>
              <w:right w:val="single" w:sz="4" w:space="0" w:color="auto"/>
            </w:tcBorders>
            <w:shd w:val="clear" w:color="auto" w:fill="auto"/>
            <w:noWrap/>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EMU0 Index</w:t>
            </w:r>
          </w:p>
        </w:tc>
        <w:tc>
          <w:tcPr>
            <w:tcW w:w="980"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bookmarkEnd w:id="66"/>
      <w:tr w:rsidR="00EB2D41" w:rsidRPr="000328F5" w:rsidTr="009C1051">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 Broad</w:t>
            </w:r>
          </w:p>
        </w:tc>
        <w:tc>
          <w:tcPr>
            <w:tcW w:w="1701" w:type="dxa"/>
            <w:tcBorders>
              <w:top w:val="nil"/>
              <w:left w:val="nil"/>
              <w:bottom w:val="single" w:sz="4" w:space="0" w:color="auto"/>
              <w:right w:val="single" w:sz="4" w:space="0" w:color="auto"/>
            </w:tcBorders>
            <w:shd w:val="clear" w:color="auto" w:fill="auto"/>
            <w:noWrap/>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80"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C84430" w:rsidRPr="000328F5" w:rsidTr="00C84430">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C84430" w:rsidRPr="000328F5" w:rsidRDefault="00C84430" w:rsidP="00EB2D41">
            <w:pPr>
              <w:autoSpaceDE/>
              <w:autoSpaceDN/>
              <w:adjustRightInd/>
              <w:rPr>
                <w:rFonts w:ascii="Calibri" w:hAnsi="Calibri" w:cs="Calibri"/>
                <w:color w:val="000000"/>
                <w:sz w:val="22"/>
                <w:szCs w:val="22"/>
                <w:lang w:eastAsia="it-IT"/>
              </w:rPr>
            </w:pPr>
            <w:bookmarkStart w:id="67" w:name="_Hlk425003945"/>
            <w:r w:rsidRPr="000328F5">
              <w:rPr>
                <w:rFonts w:ascii="Calibri" w:hAnsi="Calibri" w:cs="Calibri"/>
                <w:color w:val="000000"/>
                <w:sz w:val="22"/>
                <w:szCs w:val="22"/>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C84430" w:rsidRPr="000328F5" w:rsidRDefault="00C84430"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xml:space="preserve">MSCI World </w:t>
            </w:r>
            <w:r>
              <w:rPr>
                <w:rFonts w:ascii="Calibri" w:hAnsi="Calibri" w:cs="Calibri"/>
                <w:color w:val="000000"/>
                <w:sz w:val="22"/>
                <w:szCs w:val="22"/>
                <w:lang w:eastAsia="it-IT"/>
              </w:rPr>
              <w:t>AC</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C84430" w:rsidRPr="00C5468C" w:rsidRDefault="00AD3790" w:rsidP="00AD3790">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80"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bookmarkEnd w:id="67"/>
      <w:tr w:rsidR="00EB2D41" w:rsidRPr="006B7620" w:rsidTr="0006520F">
        <w:trPr>
          <w:trHeight w:val="6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Flessibile Media Volatilità</w:t>
            </w:r>
          </w:p>
        </w:tc>
        <w:tc>
          <w:tcPr>
            <w:tcW w:w="2693"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37% ML € Broad + 31% ML Gl. Broad + 32% MSCI World</w:t>
            </w:r>
            <w:r w:rsidR="00B51B6A">
              <w:rPr>
                <w:rFonts w:ascii="Calibri" w:hAnsi="Calibri" w:cs="Calibri"/>
                <w:color w:val="000000"/>
                <w:sz w:val="22"/>
                <w:szCs w:val="22"/>
                <w:lang w:val="en-US" w:eastAsia="it-IT"/>
              </w:rPr>
              <w:t xml:space="preserve"> AC</w:t>
            </w:r>
          </w:p>
        </w:tc>
        <w:tc>
          <w:tcPr>
            <w:tcW w:w="1701" w:type="dxa"/>
            <w:tcBorders>
              <w:top w:val="nil"/>
              <w:left w:val="nil"/>
              <w:bottom w:val="single" w:sz="4" w:space="0" w:color="auto"/>
              <w:right w:val="single" w:sz="4" w:space="0" w:color="auto"/>
            </w:tcBorders>
            <w:shd w:val="clear" w:color="auto" w:fill="auto"/>
            <w:noWrap/>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980"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1978"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r>
      <w:tr w:rsidR="00EB2D41" w:rsidRPr="000328F5" w:rsidTr="0006520F">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 Broad</w:t>
            </w:r>
          </w:p>
        </w:tc>
        <w:tc>
          <w:tcPr>
            <w:tcW w:w="1701" w:type="dxa"/>
            <w:tcBorders>
              <w:top w:val="nil"/>
              <w:left w:val="nil"/>
              <w:bottom w:val="single" w:sz="4" w:space="0" w:color="auto"/>
              <w:right w:val="single" w:sz="4" w:space="0" w:color="auto"/>
            </w:tcBorders>
            <w:shd w:val="clear" w:color="auto" w:fill="auto"/>
            <w:noWrap/>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EMU0 Index</w:t>
            </w:r>
          </w:p>
        </w:tc>
        <w:tc>
          <w:tcPr>
            <w:tcW w:w="980"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EB2D41" w:rsidRPr="000328F5" w:rsidTr="009C1051">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 Broad</w:t>
            </w:r>
          </w:p>
        </w:tc>
        <w:tc>
          <w:tcPr>
            <w:tcW w:w="1701" w:type="dxa"/>
            <w:tcBorders>
              <w:top w:val="nil"/>
              <w:left w:val="nil"/>
              <w:bottom w:val="single" w:sz="4" w:space="0" w:color="auto"/>
              <w:right w:val="single" w:sz="4" w:space="0" w:color="auto"/>
            </w:tcBorders>
            <w:shd w:val="clear" w:color="auto" w:fill="auto"/>
            <w:noWrap/>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80"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EB2D41" w:rsidRPr="000328F5" w:rsidRDefault="00EB2D4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C84430" w:rsidRPr="000328F5" w:rsidTr="00C84430">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C84430" w:rsidRPr="000328F5" w:rsidRDefault="00C84430"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C84430" w:rsidRPr="000328F5" w:rsidRDefault="00C84430"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xml:space="preserve">MSCI World </w:t>
            </w:r>
            <w:r>
              <w:rPr>
                <w:rFonts w:ascii="Calibri" w:hAnsi="Calibri" w:cs="Calibri"/>
                <w:color w:val="000000"/>
                <w:sz w:val="22"/>
                <w:szCs w:val="22"/>
                <w:lang w:eastAsia="it-IT"/>
              </w:rPr>
              <w:t>AC</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C84430" w:rsidRPr="00C5468C" w:rsidRDefault="00AD3790" w:rsidP="006E7FA3">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80"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tr w:rsidR="0006520F" w:rsidRPr="006B7620" w:rsidTr="009C1051">
        <w:trPr>
          <w:trHeight w:val="6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06520F" w:rsidRPr="000328F5" w:rsidRDefault="0006520F" w:rsidP="00EB2D41">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lastRenderedPageBreak/>
              <w:t>Bilanciato Assicurativo Prudente</w:t>
            </w:r>
          </w:p>
        </w:tc>
        <w:tc>
          <w:tcPr>
            <w:tcW w:w="2693"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9C105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1</w:t>
            </w:r>
            <w:r>
              <w:rPr>
                <w:rFonts w:ascii="Calibri" w:hAnsi="Calibri" w:cs="Calibri"/>
                <w:color w:val="000000"/>
                <w:sz w:val="22"/>
                <w:szCs w:val="22"/>
                <w:lang w:val="en-US" w:eastAsia="it-IT"/>
              </w:rPr>
              <w:t>8</w:t>
            </w:r>
            <w:r w:rsidRPr="000328F5">
              <w:rPr>
                <w:rFonts w:ascii="Calibri" w:hAnsi="Calibri" w:cs="Calibri"/>
                <w:color w:val="000000"/>
                <w:sz w:val="22"/>
                <w:szCs w:val="22"/>
                <w:lang w:val="en-US" w:eastAsia="it-IT"/>
              </w:rPr>
              <w:t>% MSCI World</w:t>
            </w:r>
            <w:r w:rsidR="009C1051">
              <w:rPr>
                <w:rFonts w:ascii="Calibri" w:hAnsi="Calibri" w:cs="Calibri"/>
                <w:color w:val="000000"/>
                <w:sz w:val="22"/>
                <w:szCs w:val="22"/>
                <w:lang w:val="en-US" w:eastAsia="it-IT"/>
              </w:rPr>
              <w:t xml:space="preserve"> AC </w:t>
            </w:r>
            <w:r w:rsidR="009C1051" w:rsidRPr="000328F5">
              <w:rPr>
                <w:rFonts w:ascii="Calibri" w:hAnsi="Calibri" w:cs="Calibri"/>
                <w:color w:val="000000"/>
                <w:sz w:val="22"/>
                <w:szCs w:val="22"/>
                <w:lang w:val="en-US" w:eastAsia="it-IT"/>
              </w:rPr>
              <w:t xml:space="preserve">+ </w:t>
            </w:r>
            <w:r w:rsidR="009C1051">
              <w:rPr>
                <w:rFonts w:ascii="Calibri" w:hAnsi="Calibri" w:cs="Calibri"/>
                <w:color w:val="000000"/>
                <w:sz w:val="22"/>
                <w:szCs w:val="22"/>
                <w:lang w:val="en-US" w:eastAsia="it-IT"/>
              </w:rPr>
              <w:t>12</w:t>
            </w:r>
            <w:r w:rsidR="009C1051" w:rsidRPr="000328F5">
              <w:rPr>
                <w:rFonts w:ascii="Calibri" w:hAnsi="Calibri" w:cs="Calibri"/>
                <w:color w:val="000000"/>
                <w:sz w:val="22"/>
                <w:szCs w:val="22"/>
                <w:lang w:val="en-US" w:eastAsia="it-IT"/>
              </w:rPr>
              <w:t>% ML Gl. Broad</w:t>
            </w:r>
            <w:r w:rsidR="009C1051">
              <w:rPr>
                <w:rFonts w:ascii="Calibri" w:hAnsi="Calibri" w:cs="Calibri"/>
                <w:color w:val="000000"/>
                <w:sz w:val="22"/>
                <w:szCs w:val="22"/>
                <w:lang w:val="en-US" w:eastAsia="it-IT"/>
              </w:rPr>
              <w:t xml:space="preserve"> +35</w:t>
            </w:r>
            <w:r w:rsidRPr="000328F5">
              <w:rPr>
                <w:rFonts w:ascii="Calibri" w:hAnsi="Calibri" w:cs="Calibri"/>
                <w:color w:val="000000"/>
                <w:sz w:val="22"/>
                <w:szCs w:val="22"/>
                <w:lang w:val="en-US" w:eastAsia="it-IT"/>
              </w:rPr>
              <w:t xml:space="preserve">% ML € Broad </w:t>
            </w:r>
            <w:bookmarkStart w:id="68" w:name="OLE_LINK39"/>
            <w:r w:rsidRPr="000328F5">
              <w:rPr>
                <w:rFonts w:ascii="Calibri" w:hAnsi="Calibri" w:cs="Calibri"/>
                <w:color w:val="000000"/>
                <w:sz w:val="22"/>
                <w:szCs w:val="22"/>
                <w:lang w:val="en-US" w:eastAsia="it-IT"/>
              </w:rPr>
              <w:t>+ 3</w:t>
            </w:r>
            <w:r w:rsidR="009C1051">
              <w:rPr>
                <w:rFonts w:ascii="Calibri" w:hAnsi="Calibri" w:cs="Calibri"/>
                <w:color w:val="000000"/>
                <w:sz w:val="22"/>
                <w:szCs w:val="22"/>
                <w:lang w:val="en-US" w:eastAsia="it-IT"/>
              </w:rPr>
              <w:t>5</w:t>
            </w:r>
            <w:r w:rsidRPr="000328F5">
              <w:rPr>
                <w:rFonts w:ascii="Calibri" w:hAnsi="Calibri" w:cs="Calibri"/>
                <w:color w:val="000000"/>
                <w:sz w:val="22"/>
                <w:szCs w:val="22"/>
                <w:lang w:val="en-US" w:eastAsia="it-IT"/>
              </w:rPr>
              <w:t xml:space="preserve">% </w:t>
            </w:r>
            <w:bookmarkStart w:id="69" w:name="OLE_LINK44"/>
            <w:bookmarkStart w:id="70" w:name="OLE_LINK45"/>
            <w:r w:rsidRPr="000328F5">
              <w:rPr>
                <w:rFonts w:ascii="Calibri" w:hAnsi="Calibri" w:cs="Calibri"/>
                <w:color w:val="000000"/>
                <w:sz w:val="22"/>
                <w:szCs w:val="22"/>
                <w:lang w:val="en-US" w:eastAsia="it-IT"/>
              </w:rPr>
              <w:t xml:space="preserve">ML </w:t>
            </w:r>
            <w:r w:rsidR="009C1051">
              <w:rPr>
                <w:rFonts w:ascii="Calibri" w:hAnsi="Calibri" w:cs="Calibri"/>
                <w:color w:val="000000"/>
                <w:sz w:val="22"/>
                <w:szCs w:val="22"/>
                <w:lang w:val="en-US" w:eastAsia="it-IT"/>
              </w:rPr>
              <w:t>Italy</w:t>
            </w:r>
            <w:bookmarkEnd w:id="68"/>
            <w:r w:rsidR="009C1051">
              <w:rPr>
                <w:rFonts w:ascii="Calibri" w:hAnsi="Calibri" w:cs="Calibri"/>
                <w:color w:val="000000"/>
                <w:sz w:val="22"/>
                <w:szCs w:val="22"/>
                <w:lang w:val="en-US" w:eastAsia="it-IT"/>
              </w:rPr>
              <w:t>AM</w:t>
            </w:r>
            <w:bookmarkEnd w:id="69"/>
            <w:bookmarkEnd w:id="70"/>
          </w:p>
        </w:tc>
        <w:tc>
          <w:tcPr>
            <w:tcW w:w="1701" w:type="dxa"/>
            <w:tcBorders>
              <w:top w:val="nil"/>
              <w:left w:val="nil"/>
              <w:bottom w:val="single" w:sz="4" w:space="0" w:color="auto"/>
              <w:right w:val="single" w:sz="4" w:space="0" w:color="auto"/>
            </w:tcBorders>
            <w:shd w:val="clear" w:color="auto" w:fill="auto"/>
            <w:noWrap/>
            <w:vAlign w:val="center"/>
            <w:hideMark/>
          </w:tcPr>
          <w:p w:rsidR="0006520F" w:rsidRPr="000328F5" w:rsidRDefault="0006520F"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980"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c>
          <w:tcPr>
            <w:tcW w:w="1978" w:type="dxa"/>
            <w:tcBorders>
              <w:top w:val="nil"/>
              <w:left w:val="nil"/>
              <w:bottom w:val="single" w:sz="4" w:space="0" w:color="auto"/>
              <w:right w:val="single" w:sz="4" w:space="0" w:color="auto"/>
            </w:tcBorders>
            <w:shd w:val="clear" w:color="auto" w:fill="auto"/>
            <w:vAlign w:val="center"/>
            <w:hideMark/>
          </w:tcPr>
          <w:p w:rsidR="0006520F" w:rsidRPr="000328F5" w:rsidRDefault="0006520F" w:rsidP="00EB2D41">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 </w:t>
            </w:r>
          </w:p>
        </w:tc>
      </w:tr>
      <w:tr w:rsidR="00C84430" w:rsidRPr="000328F5" w:rsidTr="00C84430">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C84430" w:rsidRPr="000328F5" w:rsidRDefault="00C84430" w:rsidP="00EB2D41">
            <w:pPr>
              <w:autoSpaceDE/>
              <w:autoSpaceDN/>
              <w:adjustRightInd/>
              <w:rPr>
                <w:rFonts w:ascii="Calibri" w:hAnsi="Calibri" w:cs="Calibri"/>
                <w:color w:val="000000"/>
                <w:sz w:val="22"/>
                <w:szCs w:val="22"/>
                <w:lang w:val="en-US" w:eastAsia="it-IT"/>
              </w:rPr>
            </w:pPr>
            <w:bookmarkStart w:id="71" w:name="_Hlk425003998"/>
            <w:r w:rsidRPr="000328F5">
              <w:rPr>
                <w:rFonts w:ascii="Calibri" w:hAnsi="Calibri" w:cs="Calibri"/>
                <w:color w:val="000000"/>
                <w:sz w:val="22"/>
                <w:szCs w:val="22"/>
                <w:lang w:val="en-US"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C84430" w:rsidRPr="000328F5" w:rsidRDefault="00C84430"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xml:space="preserve">MSCI World </w:t>
            </w:r>
            <w:r>
              <w:rPr>
                <w:rFonts w:ascii="Calibri" w:hAnsi="Calibri" w:cs="Calibri"/>
                <w:color w:val="000000"/>
                <w:sz w:val="22"/>
                <w:szCs w:val="22"/>
                <w:lang w:eastAsia="it-IT"/>
              </w:rPr>
              <w:t>AC</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C84430" w:rsidRPr="00C5468C" w:rsidRDefault="00AD3790" w:rsidP="006E7FA3">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80"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bookmarkEnd w:id="71"/>
      <w:tr w:rsidR="009C1051" w:rsidRPr="000328F5" w:rsidTr="0006520F">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9C1051" w:rsidRPr="000328F5" w:rsidRDefault="009C105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9C1051" w:rsidRPr="000328F5" w:rsidRDefault="009C105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 Broad</w:t>
            </w:r>
          </w:p>
        </w:tc>
        <w:tc>
          <w:tcPr>
            <w:tcW w:w="1701" w:type="dxa"/>
            <w:tcBorders>
              <w:top w:val="nil"/>
              <w:left w:val="nil"/>
              <w:bottom w:val="single" w:sz="4" w:space="0" w:color="auto"/>
              <w:right w:val="single" w:sz="4" w:space="0" w:color="auto"/>
            </w:tcBorders>
            <w:shd w:val="clear" w:color="auto" w:fill="auto"/>
            <w:noWrap/>
            <w:vAlign w:val="center"/>
            <w:hideMark/>
          </w:tcPr>
          <w:p w:rsidR="009C1051" w:rsidRPr="000328F5" w:rsidRDefault="009C105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80" w:type="dxa"/>
            <w:tcBorders>
              <w:top w:val="nil"/>
              <w:left w:val="nil"/>
              <w:bottom w:val="single" w:sz="4" w:space="0" w:color="auto"/>
              <w:right w:val="single" w:sz="4" w:space="0" w:color="auto"/>
            </w:tcBorders>
            <w:shd w:val="clear" w:color="auto" w:fill="auto"/>
            <w:vAlign w:val="center"/>
            <w:hideMark/>
          </w:tcPr>
          <w:p w:rsidR="009C1051" w:rsidRPr="000328F5" w:rsidRDefault="009C105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9C1051" w:rsidRPr="000328F5" w:rsidRDefault="009C105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9C1051" w:rsidRPr="000328F5" w:rsidTr="006E22B6">
        <w:trPr>
          <w:trHeight w:val="300"/>
        </w:trPr>
        <w:tc>
          <w:tcPr>
            <w:tcW w:w="2019" w:type="dxa"/>
            <w:tcBorders>
              <w:top w:val="nil"/>
              <w:left w:val="single" w:sz="4" w:space="0" w:color="auto"/>
              <w:bottom w:val="single" w:sz="4" w:space="0" w:color="auto"/>
              <w:right w:val="single" w:sz="4" w:space="0" w:color="auto"/>
            </w:tcBorders>
            <w:shd w:val="clear" w:color="auto" w:fill="auto"/>
            <w:vAlign w:val="center"/>
            <w:hideMark/>
          </w:tcPr>
          <w:p w:rsidR="009C1051" w:rsidRPr="000328F5" w:rsidRDefault="009C105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rsidR="009C1051" w:rsidRPr="000328F5" w:rsidRDefault="009C1051"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 Broad</w:t>
            </w:r>
          </w:p>
        </w:tc>
        <w:tc>
          <w:tcPr>
            <w:tcW w:w="1701" w:type="dxa"/>
            <w:tcBorders>
              <w:top w:val="nil"/>
              <w:left w:val="nil"/>
              <w:bottom w:val="single" w:sz="4" w:space="0" w:color="auto"/>
              <w:right w:val="single" w:sz="4" w:space="0" w:color="auto"/>
            </w:tcBorders>
            <w:shd w:val="clear" w:color="auto" w:fill="auto"/>
            <w:noWrap/>
            <w:vAlign w:val="center"/>
            <w:hideMark/>
          </w:tcPr>
          <w:p w:rsidR="009C1051" w:rsidRPr="000328F5" w:rsidRDefault="009C1051"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EMU0 Index</w:t>
            </w:r>
          </w:p>
        </w:tc>
        <w:tc>
          <w:tcPr>
            <w:tcW w:w="980" w:type="dxa"/>
            <w:tcBorders>
              <w:top w:val="nil"/>
              <w:left w:val="nil"/>
              <w:bottom w:val="single" w:sz="4" w:space="0" w:color="auto"/>
              <w:right w:val="single" w:sz="4" w:space="0" w:color="auto"/>
            </w:tcBorders>
            <w:shd w:val="clear" w:color="auto" w:fill="auto"/>
            <w:vAlign w:val="center"/>
            <w:hideMark/>
          </w:tcPr>
          <w:p w:rsidR="009C1051" w:rsidRPr="000328F5" w:rsidRDefault="009C1051"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hideMark/>
          </w:tcPr>
          <w:p w:rsidR="009C1051" w:rsidRPr="000328F5" w:rsidRDefault="009C1051"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9C1051" w:rsidRPr="000328F5" w:rsidTr="006E22B6">
        <w:trPr>
          <w:trHeight w:val="300"/>
        </w:trPr>
        <w:tc>
          <w:tcPr>
            <w:tcW w:w="2019" w:type="dxa"/>
            <w:tcBorders>
              <w:top w:val="nil"/>
              <w:left w:val="single" w:sz="4" w:space="0" w:color="auto"/>
              <w:bottom w:val="single" w:sz="4" w:space="0" w:color="auto"/>
              <w:right w:val="single" w:sz="4" w:space="0" w:color="auto"/>
            </w:tcBorders>
            <w:shd w:val="clear" w:color="auto" w:fill="auto"/>
            <w:vAlign w:val="center"/>
          </w:tcPr>
          <w:p w:rsidR="009C1051" w:rsidRPr="000328F5" w:rsidRDefault="009C1051" w:rsidP="00EB2D41">
            <w:pPr>
              <w:autoSpaceDE/>
              <w:autoSpaceDN/>
              <w:adjustRightInd/>
              <w:rPr>
                <w:rFonts w:ascii="Calibri" w:hAnsi="Calibri" w:cs="Calibri"/>
                <w:color w:val="000000"/>
                <w:sz w:val="22"/>
                <w:szCs w:val="22"/>
                <w:lang w:eastAsia="it-IT"/>
              </w:rPr>
            </w:pPr>
          </w:p>
        </w:tc>
        <w:tc>
          <w:tcPr>
            <w:tcW w:w="2693" w:type="dxa"/>
            <w:tcBorders>
              <w:top w:val="nil"/>
              <w:left w:val="nil"/>
              <w:bottom w:val="single" w:sz="4" w:space="0" w:color="auto"/>
              <w:right w:val="single" w:sz="4" w:space="0" w:color="auto"/>
            </w:tcBorders>
            <w:shd w:val="clear" w:color="auto" w:fill="auto"/>
            <w:vAlign w:val="center"/>
          </w:tcPr>
          <w:p w:rsidR="009C1051" w:rsidRPr="000328F5" w:rsidRDefault="009C1051" w:rsidP="00EB2D41">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val="en-US" w:eastAsia="it-IT"/>
              </w:rPr>
              <w:t xml:space="preserve">ML </w:t>
            </w:r>
            <w:r>
              <w:rPr>
                <w:rFonts w:ascii="Calibri" w:hAnsi="Calibri" w:cs="Calibri"/>
                <w:color w:val="000000"/>
                <w:sz w:val="22"/>
                <w:szCs w:val="22"/>
                <w:lang w:val="en-US" w:eastAsia="it-IT"/>
              </w:rPr>
              <w:t>ItalyAM</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tcPr>
          <w:p w:rsidR="009C1051" w:rsidRPr="00C84430" w:rsidRDefault="00322EA3" w:rsidP="002E47C5">
            <w:pPr>
              <w:autoSpaceDE/>
              <w:autoSpaceDN/>
              <w:adjustRightInd/>
              <w:rPr>
                <w:rFonts w:ascii="Calibri" w:hAnsi="Calibri" w:cs="Calibri"/>
                <w:sz w:val="22"/>
                <w:szCs w:val="22"/>
                <w:highlight w:val="yellow"/>
                <w:lang w:eastAsia="it-IT"/>
              </w:rPr>
            </w:pPr>
            <w:r w:rsidRPr="00C84430">
              <w:rPr>
                <w:rFonts w:ascii="Calibri" w:hAnsi="Calibri" w:cs="Calibri"/>
                <w:sz w:val="22"/>
                <w:szCs w:val="22"/>
                <w:lang w:eastAsia="it-IT"/>
              </w:rPr>
              <w:t>G0I0</w:t>
            </w:r>
            <w:r w:rsidR="00AD3790">
              <w:rPr>
                <w:rFonts w:ascii="Calibri" w:hAnsi="Calibri" w:cs="Calibri"/>
                <w:sz w:val="22"/>
                <w:szCs w:val="22"/>
                <w:lang w:eastAsia="it-IT"/>
              </w:rPr>
              <w:t xml:space="preserve"> Index</w:t>
            </w:r>
          </w:p>
        </w:tc>
        <w:tc>
          <w:tcPr>
            <w:tcW w:w="980" w:type="dxa"/>
            <w:tcBorders>
              <w:top w:val="nil"/>
              <w:left w:val="nil"/>
              <w:bottom w:val="single" w:sz="4" w:space="0" w:color="auto"/>
              <w:right w:val="single" w:sz="4" w:space="0" w:color="auto"/>
            </w:tcBorders>
            <w:shd w:val="clear" w:color="auto" w:fill="auto"/>
            <w:vAlign w:val="center"/>
          </w:tcPr>
          <w:p w:rsidR="009C1051" w:rsidRPr="000328F5" w:rsidRDefault="009C1051" w:rsidP="00EB2D41">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t>EUR</w:t>
            </w:r>
          </w:p>
        </w:tc>
        <w:tc>
          <w:tcPr>
            <w:tcW w:w="1978" w:type="dxa"/>
            <w:tcBorders>
              <w:top w:val="nil"/>
              <w:left w:val="nil"/>
              <w:bottom w:val="single" w:sz="4" w:space="0" w:color="auto"/>
              <w:right w:val="single" w:sz="4" w:space="0" w:color="auto"/>
            </w:tcBorders>
            <w:shd w:val="clear" w:color="auto" w:fill="auto"/>
            <w:vAlign w:val="center"/>
          </w:tcPr>
          <w:p w:rsidR="009C1051" w:rsidRPr="000328F5" w:rsidRDefault="009C1051" w:rsidP="00EB2D41">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t>-</w:t>
            </w:r>
          </w:p>
        </w:tc>
      </w:tr>
    </w:tbl>
    <w:p w:rsidR="00EB2D41" w:rsidRPr="00064507" w:rsidRDefault="00EB2D41" w:rsidP="00EB2D41">
      <w:pPr>
        <w:spacing w:line="360" w:lineRule="auto"/>
        <w:jc w:val="both"/>
        <w:rPr>
          <w:rFonts w:asciiTheme="minorHAnsi" w:hAnsiTheme="minorHAnsi" w:cstheme="minorHAnsi"/>
          <w:b/>
          <w:sz w:val="24"/>
          <w:szCs w:val="24"/>
        </w:rPr>
      </w:pPr>
      <w:r w:rsidRPr="00064507">
        <w:rPr>
          <w:rFonts w:asciiTheme="minorHAnsi" w:hAnsiTheme="minorHAnsi" w:cstheme="minorHAnsi"/>
          <w:b/>
          <w:sz w:val="24"/>
          <w:szCs w:val="24"/>
        </w:rPr>
        <w:t xml:space="preserve">Tabella </w:t>
      </w:r>
      <w:r>
        <w:rPr>
          <w:rFonts w:asciiTheme="minorHAnsi" w:hAnsiTheme="minorHAnsi" w:cstheme="minorHAnsi"/>
          <w:b/>
          <w:sz w:val="24"/>
          <w:szCs w:val="24"/>
        </w:rPr>
        <w:t>1</w:t>
      </w:r>
      <w:r w:rsidRPr="00064507">
        <w:rPr>
          <w:rFonts w:asciiTheme="minorHAnsi" w:hAnsiTheme="minorHAnsi" w:cstheme="minorHAnsi"/>
          <w:b/>
          <w:sz w:val="24"/>
          <w:szCs w:val="24"/>
        </w:rPr>
        <w:t>2</w:t>
      </w:r>
    </w:p>
    <w:p w:rsidR="00EB2D41" w:rsidRPr="009A45D7" w:rsidRDefault="00EB2D41" w:rsidP="00D513DB">
      <w:pPr>
        <w:spacing w:line="360" w:lineRule="auto"/>
        <w:jc w:val="both"/>
        <w:rPr>
          <w:rFonts w:asciiTheme="minorHAnsi" w:eastAsiaTheme="minorHAnsi" w:hAnsiTheme="minorHAnsi" w:cstheme="minorHAnsi"/>
          <w:sz w:val="24"/>
          <w:szCs w:val="24"/>
          <w:lang w:val="en-US"/>
        </w:rPr>
      </w:pPr>
    </w:p>
    <w:p w:rsidR="00E63DA2" w:rsidRPr="009A45D7" w:rsidRDefault="00E63DA2" w:rsidP="00AF0FFB">
      <w:pPr>
        <w:spacing w:line="360" w:lineRule="auto"/>
        <w:jc w:val="both"/>
        <w:rPr>
          <w:rFonts w:asciiTheme="minorHAnsi" w:eastAsiaTheme="minorHAnsi" w:hAnsiTheme="minorHAnsi" w:cstheme="minorHAnsi"/>
          <w:sz w:val="24"/>
          <w:szCs w:val="24"/>
        </w:rPr>
      </w:pPr>
      <w:r w:rsidRPr="009A45D7">
        <w:rPr>
          <w:rFonts w:asciiTheme="minorHAnsi" w:eastAsiaTheme="minorHAnsi" w:hAnsiTheme="minorHAnsi" w:cstheme="minorHAnsi"/>
          <w:sz w:val="24"/>
          <w:szCs w:val="24"/>
        </w:rPr>
        <w:t>Al fine di definire le soluzioni</w:t>
      </w:r>
      <w:r w:rsidR="00AF0FFB">
        <w:rPr>
          <w:rFonts w:asciiTheme="minorHAnsi" w:eastAsiaTheme="minorHAnsi" w:hAnsiTheme="minorHAnsi" w:cstheme="minorHAnsi"/>
          <w:sz w:val="24"/>
          <w:szCs w:val="24"/>
        </w:rPr>
        <w:t>,</w:t>
      </w:r>
      <w:r w:rsidRPr="009A45D7">
        <w:rPr>
          <w:rFonts w:asciiTheme="minorHAnsi" w:eastAsiaTheme="minorHAnsi" w:hAnsiTheme="minorHAnsi" w:cstheme="minorHAnsi"/>
          <w:sz w:val="24"/>
          <w:szCs w:val="24"/>
        </w:rPr>
        <w:t xml:space="preserve"> per ciascuna combinazione di orizzonte temporale</w:t>
      </w:r>
      <w:r w:rsidR="00E947AD">
        <w:rPr>
          <w:rFonts w:asciiTheme="minorHAnsi" w:eastAsiaTheme="minorHAnsi" w:hAnsiTheme="minorHAnsi" w:cstheme="minorHAnsi"/>
          <w:sz w:val="24"/>
          <w:szCs w:val="24"/>
        </w:rPr>
        <w:t xml:space="preserve"> </w:t>
      </w:r>
      <w:r w:rsidRPr="009A45D7">
        <w:rPr>
          <w:rFonts w:asciiTheme="minorHAnsi" w:eastAsiaTheme="minorHAnsi" w:hAnsiTheme="minorHAnsi" w:cstheme="minorHAnsi"/>
          <w:sz w:val="24"/>
          <w:szCs w:val="24"/>
        </w:rPr>
        <w:t>e profilo di rischio</w:t>
      </w:r>
      <w:r w:rsidR="00AF0FFB">
        <w:rPr>
          <w:rFonts w:asciiTheme="minorHAnsi" w:eastAsiaTheme="minorHAnsi" w:hAnsiTheme="minorHAnsi" w:cstheme="minorHAnsi"/>
          <w:sz w:val="24"/>
          <w:szCs w:val="24"/>
        </w:rPr>
        <w:t>,</w:t>
      </w:r>
      <w:r w:rsidRPr="009A45D7">
        <w:rPr>
          <w:rFonts w:asciiTheme="minorHAnsi" w:eastAsiaTheme="minorHAnsi" w:hAnsiTheme="minorHAnsi" w:cstheme="minorHAnsi"/>
          <w:sz w:val="24"/>
          <w:szCs w:val="24"/>
        </w:rPr>
        <w:t xml:space="preserve"> si è </w:t>
      </w:r>
      <w:r w:rsidR="00AF0FFB">
        <w:rPr>
          <w:rFonts w:asciiTheme="minorHAnsi" w:eastAsiaTheme="minorHAnsi" w:hAnsiTheme="minorHAnsi" w:cstheme="minorHAnsi"/>
          <w:sz w:val="24"/>
          <w:szCs w:val="24"/>
        </w:rPr>
        <w:t>operato sulla base dei seguenti criteri</w:t>
      </w:r>
      <w:r w:rsidRPr="009A45D7">
        <w:rPr>
          <w:rFonts w:asciiTheme="minorHAnsi" w:eastAsiaTheme="minorHAnsi" w:hAnsiTheme="minorHAnsi" w:cstheme="minorHAnsi"/>
          <w:sz w:val="24"/>
          <w:szCs w:val="24"/>
        </w:rPr>
        <w:t>:</w:t>
      </w:r>
    </w:p>
    <w:p w:rsidR="00E63DA2" w:rsidRPr="009A45D7" w:rsidRDefault="00AF0FFB" w:rsidP="00224306">
      <w:pPr>
        <w:pStyle w:val="Paragrafoelenco"/>
        <w:numPr>
          <w:ilvl w:val="0"/>
          <w:numId w:val="44"/>
        </w:numPr>
        <w:spacing w:line="360" w:lineRule="auto"/>
        <w:jc w:val="both"/>
        <w:rPr>
          <w:rFonts w:asciiTheme="minorHAnsi" w:eastAsiaTheme="minorHAnsi" w:hAnsiTheme="minorHAnsi" w:cstheme="minorHAnsi"/>
        </w:rPr>
      </w:pPr>
      <w:r>
        <w:rPr>
          <w:rFonts w:asciiTheme="minorHAnsi" w:eastAsiaTheme="minorHAnsi" w:hAnsiTheme="minorHAnsi" w:cstheme="minorHAnsi"/>
        </w:rPr>
        <w:t>si è ipotizzato un orizzonte temporale di</w:t>
      </w:r>
      <w:r w:rsidR="00E63DA2" w:rsidRPr="009A45D7">
        <w:rPr>
          <w:rFonts w:asciiTheme="minorHAnsi" w:eastAsiaTheme="minorHAnsi" w:hAnsiTheme="minorHAnsi" w:cstheme="minorHAnsi"/>
        </w:rPr>
        <w:t xml:space="preserve"> 5 anni per l'orizzonte temporale medio e </w:t>
      </w:r>
      <w:r>
        <w:rPr>
          <w:rFonts w:asciiTheme="minorHAnsi" w:eastAsiaTheme="minorHAnsi" w:hAnsiTheme="minorHAnsi" w:cstheme="minorHAnsi"/>
        </w:rPr>
        <w:t xml:space="preserve">di </w:t>
      </w:r>
      <w:r w:rsidR="00E63DA2" w:rsidRPr="009A45D7">
        <w:rPr>
          <w:rFonts w:asciiTheme="minorHAnsi" w:eastAsiaTheme="minorHAnsi" w:hAnsiTheme="minorHAnsi" w:cstheme="minorHAnsi"/>
        </w:rPr>
        <w:t>8,5 anni per l'orizzonte temporale lungo</w:t>
      </w:r>
      <w:r w:rsidR="004A6FAA">
        <w:rPr>
          <w:rFonts w:asciiTheme="minorHAnsi" w:eastAsiaTheme="minorHAnsi" w:hAnsiTheme="minorHAnsi" w:cstheme="minorHAnsi"/>
        </w:rPr>
        <w:t xml:space="preserve"> (si è escluso l’orizzonte temporale breve per l’incoeren</w:t>
      </w:r>
      <w:r w:rsidR="002E715B">
        <w:rPr>
          <w:rFonts w:asciiTheme="minorHAnsi" w:eastAsiaTheme="minorHAnsi" w:hAnsiTheme="minorHAnsi" w:cstheme="minorHAnsi"/>
        </w:rPr>
        <w:t>z</w:t>
      </w:r>
      <w:r w:rsidR="004A6FAA">
        <w:rPr>
          <w:rFonts w:asciiTheme="minorHAnsi" w:eastAsiaTheme="minorHAnsi" w:hAnsiTheme="minorHAnsi" w:cstheme="minorHAnsi"/>
        </w:rPr>
        <w:t>a dei prodotti assicurativi con lo stesso)</w:t>
      </w:r>
      <w:r>
        <w:rPr>
          <w:rFonts w:asciiTheme="minorHAnsi" w:eastAsiaTheme="minorHAnsi" w:hAnsiTheme="minorHAnsi" w:cstheme="minorHAnsi"/>
        </w:rPr>
        <w:t>;</w:t>
      </w:r>
    </w:p>
    <w:p w:rsidR="00AF0FFB" w:rsidRDefault="00AF0FFB" w:rsidP="00224306">
      <w:pPr>
        <w:pStyle w:val="Paragrafoelenco"/>
        <w:numPr>
          <w:ilvl w:val="0"/>
          <w:numId w:val="44"/>
        </w:numPr>
        <w:spacing w:line="360" w:lineRule="auto"/>
        <w:jc w:val="both"/>
        <w:rPr>
          <w:rFonts w:asciiTheme="minorHAnsi" w:eastAsiaTheme="minorHAnsi" w:hAnsiTheme="minorHAnsi" w:cstheme="minorHAnsi"/>
        </w:rPr>
      </w:pPr>
      <w:r>
        <w:rPr>
          <w:rFonts w:asciiTheme="minorHAnsi" w:eastAsiaTheme="minorHAnsi" w:hAnsiTheme="minorHAnsi" w:cstheme="minorHAnsi"/>
        </w:rPr>
        <w:t xml:space="preserve">ogni portafoglio costruito per servire la specifica combinazione orizzonte temporale – profilo di rischio è composto da non più di due delle asset class menzionate nella Tabella </w:t>
      </w:r>
      <w:r w:rsidR="004A6FAA">
        <w:rPr>
          <w:rFonts w:asciiTheme="minorHAnsi" w:eastAsiaTheme="minorHAnsi" w:hAnsiTheme="minorHAnsi" w:cstheme="minorHAnsi"/>
        </w:rPr>
        <w:t>1</w:t>
      </w:r>
      <w:r w:rsidR="002E715B">
        <w:rPr>
          <w:rFonts w:asciiTheme="minorHAnsi" w:eastAsiaTheme="minorHAnsi" w:hAnsiTheme="minorHAnsi" w:cstheme="minorHAnsi"/>
        </w:rPr>
        <w:t>1</w:t>
      </w:r>
      <w:r>
        <w:rPr>
          <w:rFonts w:asciiTheme="minorHAnsi" w:eastAsiaTheme="minorHAnsi" w:hAnsiTheme="minorHAnsi" w:cstheme="minorHAnsi"/>
        </w:rPr>
        <w:t>;</w:t>
      </w:r>
    </w:p>
    <w:p w:rsidR="00AF0FFB" w:rsidRDefault="00AF0FFB" w:rsidP="00224306">
      <w:pPr>
        <w:pStyle w:val="Paragrafoelenco"/>
        <w:numPr>
          <w:ilvl w:val="0"/>
          <w:numId w:val="44"/>
        </w:numPr>
        <w:spacing w:line="360" w:lineRule="auto"/>
        <w:jc w:val="both"/>
        <w:rPr>
          <w:rFonts w:asciiTheme="minorHAnsi" w:eastAsiaTheme="minorHAnsi" w:hAnsiTheme="minorHAnsi" w:cstheme="minorHAnsi"/>
        </w:rPr>
      </w:pPr>
      <w:r>
        <w:rPr>
          <w:rFonts w:asciiTheme="minorHAnsi" w:eastAsiaTheme="minorHAnsi" w:hAnsiTheme="minorHAnsi" w:cstheme="minorHAnsi"/>
        </w:rPr>
        <w:t>ogni portafoglio è obbligatoriamente composto da una asset class (Obbligazionario Assicurativo o Bilanciato Assicurativo Prudente) che per natura dà ampie garanzie circa il recupero del capitale a scadenza;</w:t>
      </w:r>
      <w:r w:rsidR="005A5E4B">
        <w:rPr>
          <w:rFonts w:asciiTheme="minorHAnsi" w:eastAsiaTheme="minorHAnsi" w:hAnsiTheme="minorHAnsi" w:cstheme="minorHAnsi"/>
        </w:rPr>
        <w:t xml:space="preserve"> coerentemente con la natura delle due asset class, l’Obbligazionario Assicurativo (il Bilanciato Assicurativo </w:t>
      </w:r>
      <w:r w:rsidR="0089652E">
        <w:rPr>
          <w:rFonts w:asciiTheme="minorHAnsi" w:eastAsiaTheme="minorHAnsi" w:hAnsiTheme="minorHAnsi" w:cstheme="minorHAnsi"/>
        </w:rPr>
        <w:t>P</w:t>
      </w:r>
      <w:r w:rsidR="005A5E4B">
        <w:rPr>
          <w:rFonts w:asciiTheme="minorHAnsi" w:eastAsiaTheme="minorHAnsi" w:hAnsiTheme="minorHAnsi" w:cstheme="minorHAnsi"/>
        </w:rPr>
        <w:t>rudente) viene mediamente preferito per l’orizzonte temporale più breve (lungo) e per profili di rischio dei clienti più elevati (</w:t>
      </w:r>
      <w:r w:rsidR="003E1971">
        <w:rPr>
          <w:rFonts w:asciiTheme="minorHAnsi" w:eastAsiaTheme="minorHAnsi" w:hAnsiTheme="minorHAnsi" w:cstheme="minorHAnsi"/>
        </w:rPr>
        <w:t>b</w:t>
      </w:r>
      <w:r w:rsidR="005A5E4B">
        <w:rPr>
          <w:rFonts w:asciiTheme="minorHAnsi" w:eastAsiaTheme="minorHAnsi" w:hAnsiTheme="minorHAnsi" w:cstheme="minorHAnsi"/>
        </w:rPr>
        <w:t>assi)</w:t>
      </w:r>
      <w:r w:rsidR="00E64598">
        <w:rPr>
          <w:rFonts w:asciiTheme="minorHAnsi" w:eastAsiaTheme="minorHAnsi" w:hAnsiTheme="minorHAnsi" w:cstheme="minorHAnsi"/>
        </w:rPr>
        <w:t>;</w:t>
      </w:r>
    </w:p>
    <w:p w:rsidR="00AF0FFB" w:rsidRDefault="00AF0FFB" w:rsidP="00224306">
      <w:pPr>
        <w:pStyle w:val="Paragrafoelenco"/>
        <w:numPr>
          <w:ilvl w:val="0"/>
          <w:numId w:val="44"/>
        </w:numPr>
        <w:spacing w:line="360" w:lineRule="auto"/>
        <w:jc w:val="both"/>
        <w:rPr>
          <w:rFonts w:asciiTheme="minorHAnsi" w:eastAsiaTheme="minorHAnsi" w:hAnsiTheme="minorHAnsi" w:cstheme="minorHAnsi"/>
        </w:rPr>
      </w:pPr>
      <w:r>
        <w:rPr>
          <w:rFonts w:asciiTheme="minorHAnsi" w:eastAsiaTheme="minorHAnsi" w:hAnsiTheme="minorHAnsi" w:cstheme="minorHAnsi"/>
        </w:rPr>
        <w:t>ogni portafoglio è obbligatoriamente composto da una asset class (Flessibile Bassa Volatilità o Flessibile Media Volatilità) che, assumendo un peso in portafoglio non preponderante, può dare un contributo di crescita parziale, senza esporre ad un rischio significativo di mancato recupero del capitale a scadenza;</w:t>
      </w:r>
      <w:r w:rsidR="005A5E4B">
        <w:rPr>
          <w:rFonts w:asciiTheme="minorHAnsi" w:eastAsiaTheme="minorHAnsi" w:hAnsiTheme="minorHAnsi" w:cstheme="minorHAnsi"/>
        </w:rPr>
        <w:t xml:space="preserve"> coerentemente con la natura delle due asset class</w:t>
      </w:r>
      <w:r w:rsidR="00601BCD">
        <w:rPr>
          <w:rFonts w:asciiTheme="minorHAnsi" w:eastAsiaTheme="minorHAnsi" w:hAnsiTheme="minorHAnsi" w:cstheme="minorHAnsi"/>
        </w:rPr>
        <w:t>.</w:t>
      </w:r>
      <w:r w:rsidR="00E947AD">
        <w:rPr>
          <w:rFonts w:asciiTheme="minorHAnsi" w:eastAsiaTheme="minorHAnsi" w:hAnsiTheme="minorHAnsi" w:cstheme="minorHAnsi"/>
        </w:rPr>
        <w:t xml:space="preserve"> </w:t>
      </w:r>
      <w:r w:rsidR="00601BCD">
        <w:rPr>
          <w:rFonts w:asciiTheme="minorHAnsi" w:eastAsiaTheme="minorHAnsi" w:hAnsiTheme="minorHAnsi" w:cstheme="minorHAnsi"/>
        </w:rPr>
        <w:t>I</w:t>
      </w:r>
      <w:r w:rsidR="005A5E4B">
        <w:rPr>
          <w:rFonts w:asciiTheme="minorHAnsi" w:eastAsiaTheme="minorHAnsi" w:hAnsiTheme="minorHAnsi" w:cstheme="minorHAnsi"/>
        </w:rPr>
        <w:t>l Flessibile Bassa Volatilità (il Flessibile Media Volatilità) viene mediamente preferito per l’orizzonte temporale più breve (lungo) e per profili di rischio dei clienti più elevati (</w:t>
      </w:r>
      <w:r w:rsidR="003E1971">
        <w:rPr>
          <w:rFonts w:asciiTheme="minorHAnsi" w:eastAsiaTheme="minorHAnsi" w:hAnsiTheme="minorHAnsi" w:cstheme="minorHAnsi"/>
        </w:rPr>
        <w:t>b</w:t>
      </w:r>
      <w:r w:rsidR="005A5E4B">
        <w:rPr>
          <w:rFonts w:asciiTheme="minorHAnsi" w:eastAsiaTheme="minorHAnsi" w:hAnsiTheme="minorHAnsi" w:cstheme="minorHAnsi"/>
        </w:rPr>
        <w:t>assi).</w:t>
      </w:r>
    </w:p>
    <w:p w:rsidR="006B7620" w:rsidRDefault="006B7620" w:rsidP="00D513DB">
      <w:pPr>
        <w:spacing w:line="360" w:lineRule="auto"/>
        <w:jc w:val="both"/>
        <w:rPr>
          <w:rFonts w:asciiTheme="minorHAnsi" w:eastAsiaTheme="minorHAnsi" w:hAnsiTheme="minorHAnsi" w:cstheme="minorHAnsi"/>
          <w:sz w:val="24"/>
          <w:szCs w:val="24"/>
        </w:rPr>
      </w:pPr>
    </w:p>
    <w:p w:rsidR="00E63DA2" w:rsidRDefault="00F66795" w:rsidP="00D513DB">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Dati questi presupposti, i portafogli modello vengono identificati sulla base della seguenti logiche (Tabella 1</w:t>
      </w:r>
      <w:r w:rsidR="00EB2D41">
        <w:rPr>
          <w:rFonts w:asciiTheme="minorHAnsi" w:eastAsiaTheme="minorHAnsi" w:hAnsiTheme="minorHAnsi" w:cstheme="minorHAnsi"/>
          <w:sz w:val="24"/>
          <w:szCs w:val="24"/>
        </w:rPr>
        <w:t>3</w:t>
      </w:r>
      <w:r>
        <w:rPr>
          <w:rFonts w:asciiTheme="minorHAnsi" w:eastAsiaTheme="minorHAnsi" w:hAnsiTheme="minorHAnsi" w:cstheme="minorHAnsi"/>
          <w:sz w:val="24"/>
          <w:szCs w:val="24"/>
        </w:rPr>
        <w:t>):</w:t>
      </w:r>
    </w:p>
    <w:p w:rsidR="00F66795" w:rsidRPr="00AE0156" w:rsidRDefault="00F66795" w:rsidP="00F66795">
      <w:pPr>
        <w:spacing w:line="360" w:lineRule="auto"/>
        <w:ind w:left="-142"/>
        <w:jc w:val="both"/>
        <w:rPr>
          <w:rFonts w:asciiTheme="minorHAnsi" w:eastAsiaTheme="minorHAnsi" w:hAnsiTheme="minorHAnsi" w:cstheme="minorHAnsi"/>
        </w:rPr>
      </w:pPr>
    </w:p>
    <w:tbl>
      <w:tblPr>
        <w:tblStyle w:val="Grigliatabella"/>
        <w:tblW w:w="0" w:type="auto"/>
        <w:tblLook w:val="04A0" w:firstRow="1" w:lastRow="0" w:firstColumn="1" w:lastColumn="0" w:noHBand="0" w:noVBand="1"/>
      </w:tblPr>
      <w:tblGrid>
        <w:gridCol w:w="9180"/>
      </w:tblGrid>
      <w:tr w:rsidR="00F66795" w:rsidTr="00F66795">
        <w:tc>
          <w:tcPr>
            <w:tcW w:w="9180" w:type="dxa"/>
          </w:tcPr>
          <w:p w:rsidR="00F66795" w:rsidRPr="00F66795" w:rsidRDefault="00F66795" w:rsidP="00D513DB">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lastRenderedPageBreak/>
              <w:t xml:space="preserve">Profilo 5 anni + Tolleranza al rischio </w:t>
            </w:r>
            <w:r>
              <w:rPr>
                <w:rFonts w:asciiTheme="minorHAnsi" w:eastAsiaTheme="minorHAnsi" w:hAnsiTheme="minorHAnsi" w:cstheme="minorHAnsi"/>
                <w:b/>
                <w:sz w:val="24"/>
                <w:szCs w:val="24"/>
              </w:rPr>
              <w:t>B</w:t>
            </w:r>
            <w:r w:rsidRPr="00F66795">
              <w:rPr>
                <w:rFonts w:asciiTheme="minorHAnsi" w:eastAsiaTheme="minorHAnsi" w:hAnsiTheme="minorHAnsi" w:cstheme="minorHAnsi"/>
                <w:b/>
                <w:sz w:val="24"/>
                <w:szCs w:val="24"/>
              </w:rPr>
              <w:t>assa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+6%.</w:t>
            </w:r>
          </w:p>
        </w:tc>
      </w:tr>
      <w:tr w:rsidR="00F66795" w:rsidTr="00F66795">
        <w:tc>
          <w:tcPr>
            <w:tcW w:w="9180" w:type="dxa"/>
          </w:tcPr>
          <w:p w:rsidR="00F66795" w:rsidRPr="00F66795" w:rsidRDefault="00F66795" w:rsidP="00F66795">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t xml:space="preserve">Profilo 5 anni + Tolleranza al rischio </w:t>
            </w:r>
            <w:r>
              <w:rPr>
                <w:rFonts w:asciiTheme="minorHAnsi" w:eastAsiaTheme="minorHAnsi" w:hAnsiTheme="minorHAnsi" w:cstheme="minorHAnsi"/>
                <w:b/>
                <w:sz w:val="24"/>
                <w:szCs w:val="24"/>
              </w:rPr>
              <w:t>Medio-B</w:t>
            </w:r>
            <w:r w:rsidRPr="00F66795">
              <w:rPr>
                <w:rFonts w:asciiTheme="minorHAnsi" w:eastAsiaTheme="minorHAnsi" w:hAnsiTheme="minorHAnsi" w:cstheme="minorHAnsi"/>
                <w:b/>
                <w:sz w:val="24"/>
                <w:szCs w:val="24"/>
              </w:rPr>
              <w:t>assa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+4,5%.</w:t>
            </w:r>
          </w:p>
        </w:tc>
      </w:tr>
      <w:tr w:rsidR="00F66795" w:rsidTr="00F66795">
        <w:tc>
          <w:tcPr>
            <w:tcW w:w="9180" w:type="dxa"/>
          </w:tcPr>
          <w:p w:rsidR="00F66795" w:rsidRPr="00F66795" w:rsidRDefault="00F66795" w:rsidP="00F66795">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t xml:space="preserve">Profilo 5 anni + Tolleranza al rischio </w:t>
            </w:r>
            <w:r>
              <w:rPr>
                <w:rFonts w:asciiTheme="minorHAnsi" w:eastAsiaTheme="minorHAnsi" w:hAnsiTheme="minorHAnsi" w:cstheme="minorHAnsi"/>
                <w:b/>
                <w:sz w:val="24"/>
                <w:szCs w:val="24"/>
              </w:rPr>
              <w:t>Medio-Alta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+3,5%.</w:t>
            </w:r>
          </w:p>
        </w:tc>
      </w:tr>
      <w:tr w:rsidR="00F66795" w:rsidTr="00F66795">
        <w:tc>
          <w:tcPr>
            <w:tcW w:w="9180" w:type="dxa"/>
          </w:tcPr>
          <w:p w:rsidR="00F66795" w:rsidRPr="00F66795" w:rsidRDefault="00F66795" w:rsidP="00F66795">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t xml:space="preserve">Profilo 5 anni + Tolleranza al rischio </w:t>
            </w:r>
            <w:r>
              <w:rPr>
                <w:rFonts w:asciiTheme="minorHAnsi" w:eastAsiaTheme="minorHAnsi" w:hAnsiTheme="minorHAnsi" w:cstheme="minorHAnsi"/>
                <w:b/>
                <w:sz w:val="24"/>
                <w:szCs w:val="24"/>
              </w:rPr>
              <w:t>Alta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+2,5%.</w:t>
            </w:r>
          </w:p>
        </w:tc>
      </w:tr>
      <w:tr w:rsidR="00F66795" w:rsidTr="00F66795">
        <w:tc>
          <w:tcPr>
            <w:tcW w:w="9180" w:type="dxa"/>
          </w:tcPr>
          <w:p w:rsidR="00F66795" w:rsidRPr="00F66795" w:rsidRDefault="00F66795" w:rsidP="00F66795">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t xml:space="preserve">Profilo </w:t>
            </w:r>
            <w:r>
              <w:rPr>
                <w:rFonts w:asciiTheme="minorHAnsi" w:eastAsiaTheme="minorHAnsi" w:hAnsiTheme="minorHAnsi" w:cstheme="minorHAnsi"/>
                <w:b/>
                <w:sz w:val="24"/>
                <w:szCs w:val="24"/>
              </w:rPr>
              <w:t>8,</w:t>
            </w:r>
            <w:r w:rsidRPr="00F66795">
              <w:rPr>
                <w:rFonts w:asciiTheme="minorHAnsi" w:eastAsiaTheme="minorHAnsi" w:hAnsiTheme="minorHAnsi" w:cstheme="minorHAnsi"/>
                <w:b/>
                <w:sz w:val="24"/>
                <w:szCs w:val="24"/>
              </w:rPr>
              <w:t xml:space="preserve">5 anni + Tolleranza al rischio </w:t>
            </w:r>
            <w:r>
              <w:rPr>
                <w:rFonts w:asciiTheme="minorHAnsi" w:eastAsiaTheme="minorHAnsi" w:hAnsiTheme="minorHAnsi" w:cstheme="minorHAnsi"/>
                <w:b/>
                <w:sz w:val="24"/>
                <w:szCs w:val="24"/>
              </w:rPr>
              <w:t>B</w:t>
            </w:r>
            <w:r w:rsidRPr="00F66795">
              <w:rPr>
                <w:rFonts w:asciiTheme="minorHAnsi" w:eastAsiaTheme="minorHAnsi" w:hAnsiTheme="minorHAnsi" w:cstheme="minorHAnsi"/>
                <w:b/>
                <w:sz w:val="24"/>
                <w:szCs w:val="24"/>
              </w:rPr>
              <w:t>assa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+13%.</w:t>
            </w:r>
          </w:p>
        </w:tc>
      </w:tr>
      <w:tr w:rsidR="00F66795" w:rsidTr="00F66795">
        <w:tc>
          <w:tcPr>
            <w:tcW w:w="9180" w:type="dxa"/>
          </w:tcPr>
          <w:p w:rsidR="00F66795" w:rsidRPr="00F66795" w:rsidRDefault="00F66795" w:rsidP="00F66795">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t xml:space="preserve">Profilo </w:t>
            </w:r>
            <w:r>
              <w:rPr>
                <w:rFonts w:asciiTheme="minorHAnsi" w:eastAsiaTheme="minorHAnsi" w:hAnsiTheme="minorHAnsi" w:cstheme="minorHAnsi"/>
                <w:b/>
                <w:sz w:val="24"/>
                <w:szCs w:val="24"/>
              </w:rPr>
              <w:t>8,</w:t>
            </w:r>
            <w:r w:rsidRPr="00F66795">
              <w:rPr>
                <w:rFonts w:asciiTheme="minorHAnsi" w:eastAsiaTheme="minorHAnsi" w:hAnsiTheme="minorHAnsi" w:cstheme="minorHAnsi"/>
                <w:b/>
                <w:sz w:val="24"/>
                <w:szCs w:val="24"/>
              </w:rPr>
              <w:t xml:space="preserve">5 anni + Tolleranza al rischio </w:t>
            </w:r>
            <w:r>
              <w:rPr>
                <w:rFonts w:asciiTheme="minorHAnsi" w:eastAsiaTheme="minorHAnsi" w:hAnsiTheme="minorHAnsi" w:cstheme="minorHAnsi"/>
                <w:b/>
                <w:sz w:val="24"/>
                <w:szCs w:val="24"/>
              </w:rPr>
              <w:t>Medio-B</w:t>
            </w:r>
            <w:r w:rsidRPr="00F66795">
              <w:rPr>
                <w:rFonts w:asciiTheme="minorHAnsi" w:eastAsiaTheme="minorHAnsi" w:hAnsiTheme="minorHAnsi" w:cstheme="minorHAnsi"/>
                <w:b/>
                <w:sz w:val="24"/>
                <w:szCs w:val="24"/>
              </w:rPr>
              <w:t>assa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+12,5%.</w:t>
            </w:r>
          </w:p>
        </w:tc>
      </w:tr>
      <w:tr w:rsidR="00F66795" w:rsidTr="00F66795">
        <w:tc>
          <w:tcPr>
            <w:tcW w:w="9180" w:type="dxa"/>
          </w:tcPr>
          <w:p w:rsidR="00F66795" w:rsidRPr="00F66795" w:rsidRDefault="00F66795" w:rsidP="00F66795">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t xml:space="preserve">Profilo </w:t>
            </w:r>
            <w:r>
              <w:rPr>
                <w:rFonts w:asciiTheme="minorHAnsi" w:eastAsiaTheme="minorHAnsi" w:hAnsiTheme="minorHAnsi" w:cstheme="minorHAnsi"/>
                <w:b/>
                <w:sz w:val="24"/>
                <w:szCs w:val="24"/>
              </w:rPr>
              <w:t>8,</w:t>
            </w:r>
            <w:r w:rsidRPr="00F66795">
              <w:rPr>
                <w:rFonts w:asciiTheme="minorHAnsi" w:eastAsiaTheme="minorHAnsi" w:hAnsiTheme="minorHAnsi" w:cstheme="minorHAnsi"/>
                <w:b/>
                <w:sz w:val="24"/>
                <w:szCs w:val="24"/>
              </w:rPr>
              <w:t xml:space="preserve">5 anni + Tolleranza al rischio </w:t>
            </w:r>
            <w:r>
              <w:rPr>
                <w:rFonts w:asciiTheme="minorHAnsi" w:eastAsiaTheme="minorHAnsi" w:hAnsiTheme="minorHAnsi" w:cstheme="minorHAnsi"/>
                <w:b/>
                <w:sz w:val="24"/>
                <w:szCs w:val="24"/>
              </w:rPr>
              <w:t>Medio-Alta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+12%.</w:t>
            </w:r>
          </w:p>
        </w:tc>
      </w:tr>
      <w:tr w:rsidR="00F66795" w:rsidTr="00F66795">
        <w:tc>
          <w:tcPr>
            <w:tcW w:w="9180" w:type="dxa"/>
          </w:tcPr>
          <w:p w:rsidR="00F66795" w:rsidRPr="00F66795" w:rsidRDefault="00F66795" w:rsidP="00F66795">
            <w:pPr>
              <w:spacing w:line="360" w:lineRule="auto"/>
              <w:jc w:val="both"/>
              <w:rPr>
                <w:rFonts w:asciiTheme="minorHAnsi" w:eastAsiaTheme="minorHAnsi" w:hAnsiTheme="minorHAnsi" w:cstheme="minorHAnsi"/>
                <w:b/>
                <w:sz w:val="24"/>
                <w:szCs w:val="24"/>
              </w:rPr>
            </w:pPr>
            <w:r w:rsidRPr="00F66795">
              <w:rPr>
                <w:rFonts w:asciiTheme="minorHAnsi" w:eastAsiaTheme="minorHAnsi" w:hAnsiTheme="minorHAnsi" w:cstheme="minorHAnsi"/>
                <w:b/>
                <w:sz w:val="24"/>
                <w:szCs w:val="24"/>
              </w:rPr>
              <w:t xml:space="preserve">Profilo </w:t>
            </w:r>
            <w:r>
              <w:rPr>
                <w:rFonts w:asciiTheme="minorHAnsi" w:eastAsiaTheme="minorHAnsi" w:hAnsiTheme="minorHAnsi" w:cstheme="minorHAnsi"/>
                <w:b/>
                <w:sz w:val="24"/>
                <w:szCs w:val="24"/>
              </w:rPr>
              <w:t>8,</w:t>
            </w:r>
            <w:r w:rsidRPr="00F66795">
              <w:rPr>
                <w:rFonts w:asciiTheme="minorHAnsi" w:eastAsiaTheme="minorHAnsi" w:hAnsiTheme="minorHAnsi" w:cstheme="minorHAnsi"/>
                <w:b/>
                <w:sz w:val="24"/>
                <w:szCs w:val="24"/>
              </w:rPr>
              <w:t xml:space="preserve">5 anni + Tolleranza al rischio </w:t>
            </w:r>
            <w:r>
              <w:rPr>
                <w:rFonts w:asciiTheme="minorHAnsi" w:eastAsiaTheme="minorHAnsi" w:hAnsiTheme="minorHAnsi" w:cstheme="minorHAnsi"/>
                <w:b/>
                <w:sz w:val="24"/>
                <w:szCs w:val="24"/>
              </w:rPr>
              <w:t>Alta</w:t>
            </w:r>
          </w:p>
          <w:p w:rsidR="00F66795" w:rsidRDefault="00F66795" w:rsidP="00F66795">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Il cliente ha un livello di tolleranza al rischio tale da non poter tollerare, sull’intero orizzonte temporale, un rendimento inferiore al +10,5%.</w:t>
            </w:r>
          </w:p>
        </w:tc>
      </w:tr>
    </w:tbl>
    <w:p w:rsidR="00F66795" w:rsidRDefault="00EB2D41" w:rsidP="00D513DB">
      <w:pPr>
        <w:spacing w:line="360" w:lineRule="auto"/>
        <w:jc w:val="both"/>
        <w:rPr>
          <w:rFonts w:asciiTheme="minorHAnsi" w:hAnsiTheme="minorHAnsi" w:cstheme="minorHAnsi"/>
          <w:b/>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13</w:t>
      </w:r>
    </w:p>
    <w:p w:rsidR="00EB2D41" w:rsidRDefault="00EB2D41" w:rsidP="00D513DB">
      <w:pPr>
        <w:spacing w:line="360" w:lineRule="auto"/>
        <w:jc w:val="both"/>
        <w:rPr>
          <w:rFonts w:asciiTheme="minorHAnsi" w:eastAsiaTheme="minorHAnsi" w:hAnsiTheme="minorHAnsi" w:cstheme="minorHAnsi"/>
          <w:sz w:val="24"/>
          <w:szCs w:val="24"/>
        </w:rPr>
      </w:pPr>
    </w:p>
    <w:p w:rsidR="00F66795" w:rsidRDefault="00F66795" w:rsidP="00D513DB">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 xml:space="preserve">Si noti che, in coerenza con l’obiettivo di “difesa </w:t>
      </w:r>
      <w:r w:rsidR="009F1913">
        <w:rPr>
          <w:rFonts w:asciiTheme="minorHAnsi" w:eastAsiaTheme="minorHAnsi" w:hAnsiTheme="minorHAnsi" w:cstheme="minorHAnsi"/>
          <w:sz w:val="24"/>
          <w:szCs w:val="24"/>
        </w:rPr>
        <w:t xml:space="preserve">del risparmio </w:t>
      </w:r>
      <w:r>
        <w:rPr>
          <w:rFonts w:asciiTheme="minorHAnsi" w:eastAsiaTheme="minorHAnsi" w:hAnsiTheme="minorHAnsi" w:cstheme="minorHAnsi"/>
          <w:sz w:val="24"/>
          <w:szCs w:val="24"/>
        </w:rPr>
        <w:t xml:space="preserve">e </w:t>
      </w:r>
      <w:r w:rsidR="00BB0DEB">
        <w:rPr>
          <w:rFonts w:asciiTheme="minorHAnsi" w:eastAsiaTheme="minorHAnsi" w:hAnsiTheme="minorHAnsi" w:cstheme="minorHAnsi"/>
          <w:sz w:val="24"/>
          <w:szCs w:val="24"/>
        </w:rPr>
        <w:t>protezione</w:t>
      </w:r>
      <w:r>
        <w:rPr>
          <w:rFonts w:asciiTheme="minorHAnsi" w:eastAsiaTheme="minorHAnsi" w:hAnsiTheme="minorHAnsi" w:cstheme="minorHAnsi"/>
          <w:sz w:val="24"/>
          <w:szCs w:val="24"/>
        </w:rPr>
        <w:t>” i livelli estremi considerati tollerabili sull’intero orizzonte temporale sono tutti positivi (ciò sottende la tolleranza al basso rendimento, ma non alla perdita).</w:t>
      </w:r>
    </w:p>
    <w:p w:rsidR="00F66795" w:rsidRDefault="00F66795" w:rsidP="00D513DB">
      <w:pPr>
        <w:spacing w:line="360" w:lineRule="auto"/>
        <w:jc w:val="both"/>
        <w:rPr>
          <w:rFonts w:asciiTheme="minorHAnsi" w:eastAsiaTheme="minorHAnsi" w:hAnsiTheme="minorHAnsi" w:cstheme="minorHAnsi"/>
          <w:sz w:val="24"/>
          <w:szCs w:val="24"/>
        </w:rPr>
      </w:pPr>
    </w:p>
    <w:p w:rsidR="00F66795" w:rsidRDefault="00F66795" w:rsidP="00D513DB">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lastRenderedPageBreak/>
        <w:t xml:space="preserve">Gli 8 portafogli modello sono stati selezionati identificando i portafogli che presentano sull’intero orizzonte temporale un VaR (o meglio un rendimento minimo probabilistico) prossimo </w:t>
      </w:r>
      <w:r w:rsidR="009532CE">
        <w:rPr>
          <w:rFonts w:asciiTheme="minorHAnsi" w:eastAsiaTheme="minorHAnsi" w:hAnsiTheme="minorHAnsi" w:cstheme="minorHAnsi"/>
          <w:sz w:val="24"/>
          <w:szCs w:val="24"/>
        </w:rPr>
        <w:t xml:space="preserve">a quello </w:t>
      </w:r>
      <w:r w:rsidR="003E1971">
        <w:rPr>
          <w:rFonts w:asciiTheme="minorHAnsi" w:eastAsiaTheme="minorHAnsi" w:hAnsiTheme="minorHAnsi" w:cstheme="minorHAnsi"/>
          <w:sz w:val="24"/>
          <w:szCs w:val="24"/>
        </w:rPr>
        <w:t>tollerabile riportato</w:t>
      </w:r>
      <w:r w:rsidR="009532CE">
        <w:rPr>
          <w:rFonts w:asciiTheme="minorHAnsi" w:eastAsiaTheme="minorHAnsi" w:hAnsiTheme="minorHAnsi" w:cstheme="minorHAnsi"/>
          <w:sz w:val="24"/>
          <w:szCs w:val="24"/>
        </w:rPr>
        <w:t xml:space="preserve"> nella Tabella 1</w:t>
      </w:r>
      <w:r w:rsidR="00EB2D41">
        <w:rPr>
          <w:rFonts w:asciiTheme="minorHAnsi" w:eastAsiaTheme="minorHAnsi" w:hAnsiTheme="minorHAnsi" w:cstheme="minorHAnsi"/>
          <w:sz w:val="24"/>
          <w:szCs w:val="24"/>
        </w:rPr>
        <w:t>3</w:t>
      </w:r>
      <w:r w:rsidR="009532CE">
        <w:rPr>
          <w:rFonts w:asciiTheme="minorHAnsi" w:eastAsiaTheme="minorHAnsi" w:hAnsiTheme="minorHAnsi" w:cstheme="minorHAnsi"/>
          <w:sz w:val="24"/>
          <w:szCs w:val="24"/>
        </w:rPr>
        <w:t>.</w:t>
      </w:r>
    </w:p>
    <w:p w:rsidR="009532CE" w:rsidRDefault="009532CE" w:rsidP="00D513DB">
      <w:pPr>
        <w:spacing w:line="360" w:lineRule="auto"/>
        <w:jc w:val="both"/>
        <w:rPr>
          <w:rFonts w:asciiTheme="minorHAnsi" w:eastAsiaTheme="minorHAnsi" w:hAnsiTheme="minorHAnsi" w:cstheme="minorHAnsi"/>
          <w:sz w:val="24"/>
          <w:szCs w:val="24"/>
        </w:rPr>
      </w:pPr>
    </w:p>
    <w:p w:rsidR="009532CE" w:rsidRDefault="009532CE" w:rsidP="00D513DB">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Le misure di rendimento minimo probabilistico sono stati</w:t>
      </w:r>
      <w:r w:rsidR="00E947AD">
        <w:rPr>
          <w:rFonts w:asciiTheme="minorHAnsi" w:eastAsiaTheme="minorHAnsi" w:hAnsiTheme="minorHAnsi" w:cstheme="minorHAnsi"/>
          <w:sz w:val="24"/>
          <w:szCs w:val="24"/>
        </w:rPr>
        <w:t xml:space="preserve"> </w:t>
      </w:r>
      <w:r w:rsidR="003E1971">
        <w:rPr>
          <w:rFonts w:asciiTheme="minorHAnsi" w:eastAsiaTheme="minorHAnsi" w:hAnsiTheme="minorHAnsi" w:cstheme="minorHAnsi"/>
          <w:sz w:val="24"/>
          <w:szCs w:val="24"/>
        </w:rPr>
        <w:t>calcolati</w:t>
      </w:r>
      <w:r>
        <w:rPr>
          <w:rFonts w:asciiTheme="minorHAnsi" w:eastAsiaTheme="minorHAnsi" w:hAnsiTheme="minorHAnsi" w:cstheme="minorHAnsi"/>
          <w:sz w:val="24"/>
          <w:szCs w:val="24"/>
        </w:rPr>
        <w:t xml:space="preserve"> sulla base dei seguenti parametri</w:t>
      </w:r>
      <w:r w:rsidR="003E1971">
        <w:rPr>
          <w:rFonts w:asciiTheme="minorHAnsi" w:eastAsiaTheme="minorHAnsi" w:hAnsiTheme="minorHAnsi" w:cstheme="minorHAnsi"/>
          <w:sz w:val="24"/>
          <w:szCs w:val="24"/>
        </w:rPr>
        <w:t xml:space="preserve"> di input</w:t>
      </w:r>
      <w:r>
        <w:rPr>
          <w:rFonts w:asciiTheme="minorHAnsi" w:eastAsiaTheme="minorHAnsi" w:hAnsiTheme="minorHAnsi" w:cstheme="minorHAnsi"/>
          <w:sz w:val="24"/>
          <w:szCs w:val="24"/>
        </w:rPr>
        <w:t xml:space="preserve"> (Tabella 1</w:t>
      </w:r>
      <w:r w:rsidR="00EB2D41">
        <w:rPr>
          <w:rFonts w:asciiTheme="minorHAnsi" w:eastAsiaTheme="minorHAnsi" w:hAnsiTheme="minorHAnsi" w:cstheme="minorHAnsi"/>
          <w:sz w:val="24"/>
          <w:szCs w:val="24"/>
        </w:rPr>
        <w:t>4</w:t>
      </w:r>
      <w:r>
        <w:rPr>
          <w:rFonts w:asciiTheme="minorHAnsi" w:eastAsiaTheme="minorHAnsi" w:hAnsiTheme="minorHAnsi" w:cstheme="minorHAnsi"/>
          <w:sz w:val="24"/>
          <w:szCs w:val="24"/>
        </w:rPr>
        <w:t>):</w:t>
      </w:r>
    </w:p>
    <w:p w:rsidR="009532CE" w:rsidRPr="00AE0156" w:rsidRDefault="009532CE" w:rsidP="000B58D6">
      <w:pPr>
        <w:spacing w:line="360" w:lineRule="auto"/>
        <w:ind w:left="851"/>
        <w:jc w:val="both"/>
        <w:rPr>
          <w:rFonts w:asciiTheme="minorHAnsi" w:eastAsiaTheme="minorHAnsi" w:hAnsiTheme="minorHAnsi" w:cstheme="minorHAnsi"/>
        </w:rPr>
      </w:pPr>
    </w:p>
    <w:tbl>
      <w:tblPr>
        <w:tblW w:w="7700" w:type="dxa"/>
        <w:tblInd w:w="55" w:type="dxa"/>
        <w:tblCellMar>
          <w:left w:w="70" w:type="dxa"/>
          <w:right w:w="70" w:type="dxa"/>
        </w:tblCellMar>
        <w:tblLook w:val="04A0" w:firstRow="1" w:lastRow="0" w:firstColumn="1" w:lastColumn="0" w:noHBand="0" w:noVBand="1"/>
      </w:tblPr>
      <w:tblGrid>
        <w:gridCol w:w="2980"/>
        <w:gridCol w:w="2360"/>
        <w:gridCol w:w="2360"/>
      </w:tblGrid>
      <w:tr w:rsidR="006B28FF" w:rsidRPr="006B28FF" w:rsidTr="006B28FF">
        <w:trPr>
          <w:trHeight w:val="1152"/>
        </w:trPr>
        <w:tc>
          <w:tcPr>
            <w:tcW w:w="2980" w:type="dxa"/>
            <w:tcBorders>
              <w:top w:val="nil"/>
              <w:left w:val="nil"/>
              <w:bottom w:val="nil"/>
              <w:right w:val="nil"/>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p>
        </w:tc>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Rend. Attesi annui utilizzati per la stima del rendimento minimo probabilistico</w:t>
            </w:r>
          </w:p>
        </w:tc>
        <w:tc>
          <w:tcPr>
            <w:tcW w:w="2360" w:type="dxa"/>
            <w:tcBorders>
              <w:top w:val="single" w:sz="4" w:space="0" w:color="auto"/>
              <w:left w:val="nil"/>
              <w:bottom w:val="single" w:sz="4" w:space="0" w:color="auto"/>
              <w:right w:val="single" w:sz="4" w:space="0" w:color="auto"/>
            </w:tcBorders>
            <w:shd w:val="clear" w:color="auto" w:fill="auto"/>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Deviazioni Standard annui utilizzati per la stima del rendimento minimo probabilistico</w:t>
            </w:r>
          </w:p>
        </w:tc>
      </w:tr>
      <w:tr w:rsidR="006B28FF" w:rsidRPr="006B28FF" w:rsidTr="006B28FF">
        <w:trPr>
          <w:trHeight w:val="288"/>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Flessibili Bassa Volatilità</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3,60%</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6,64%</w:t>
            </w:r>
          </w:p>
        </w:tc>
      </w:tr>
      <w:tr w:rsidR="006B28FF" w:rsidRPr="006B28FF" w:rsidTr="006B28FF">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Flessibili Media Volatilità</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4,82%</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8,47%</w:t>
            </w:r>
          </w:p>
        </w:tc>
      </w:tr>
      <w:tr w:rsidR="006B28FF" w:rsidRPr="006B28FF" w:rsidTr="006B28FF">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Bilanciato Assicurativo Prudente</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2,81%</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2,87%</w:t>
            </w:r>
          </w:p>
        </w:tc>
      </w:tr>
      <w:tr w:rsidR="006B28FF" w:rsidRPr="006B28FF" w:rsidTr="006B28FF">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Obbligazionario Assicurativo</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1,70%</w:t>
            </w:r>
          </w:p>
        </w:tc>
        <w:tc>
          <w:tcPr>
            <w:tcW w:w="23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right"/>
              <w:rPr>
                <w:rFonts w:ascii="Calibri" w:hAnsi="Calibri"/>
                <w:color w:val="000000"/>
                <w:sz w:val="22"/>
                <w:szCs w:val="22"/>
                <w:lang w:eastAsia="it-IT"/>
              </w:rPr>
            </w:pPr>
            <w:r w:rsidRPr="006B28FF">
              <w:rPr>
                <w:rFonts w:ascii="Calibri" w:hAnsi="Calibri"/>
                <w:color w:val="000000"/>
                <w:sz w:val="22"/>
                <w:szCs w:val="22"/>
                <w:lang w:eastAsia="it-IT"/>
              </w:rPr>
              <w:t>0,00%</w:t>
            </w:r>
          </w:p>
        </w:tc>
      </w:tr>
    </w:tbl>
    <w:p w:rsidR="009532CE" w:rsidRDefault="009532CE" w:rsidP="000B58D6">
      <w:pPr>
        <w:spacing w:line="360" w:lineRule="auto"/>
        <w:jc w:val="center"/>
        <w:rPr>
          <w:rFonts w:asciiTheme="minorHAnsi" w:eastAsiaTheme="minorHAnsi" w:hAnsiTheme="minorHAnsi" w:cstheme="minorHAnsi"/>
          <w:sz w:val="24"/>
          <w:szCs w:val="24"/>
        </w:rPr>
      </w:pPr>
    </w:p>
    <w:tbl>
      <w:tblPr>
        <w:tblW w:w="9620" w:type="dxa"/>
        <w:tblInd w:w="55" w:type="dxa"/>
        <w:tblCellMar>
          <w:left w:w="70" w:type="dxa"/>
          <w:right w:w="70" w:type="dxa"/>
        </w:tblCellMar>
        <w:tblLook w:val="04A0" w:firstRow="1" w:lastRow="0" w:firstColumn="1" w:lastColumn="0" w:noHBand="0" w:noVBand="1"/>
      </w:tblPr>
      <w:tblGrid>
        <w:gridCol w:w="2980"/>
        <w:gridCol w:w="1660"/>
        <w:gridCol w:w="1660"/>
        <w:gridCol w:w="1660"/>
        <w:gridCol w:w="1660"/>
      </w:tblGrid>
      <w:tr w:rsidR="006B28FF" w:rsidRPr="006B28FF" w:rsidTr="006B28FF">
        <w:trPr>
          <w:trHeight w:val="864"/>
        </w:trPr>
        <w:tc>
          <w:tcPr>
            <w:tcW w:w="2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Correlazioni utilizzate per la stima del rendimento minimo probabilistico</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Flessibili Bassa Volatilità</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Flessibili Media Volatilità</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Bilanciato Assicurativo Prudente</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Obbligazionario Assicurativo</w:t>
            </w:r>
          </w:p>
        </w:tc>
      </w:tr>
      <w:tr w:rsidR="006B28FF" w:rsidRPr="006B28FF" w:rsidTr="006B28FF">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Flessibili Bassa Volatilità</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1</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 </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 </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 </w:t>
            </w:r>
          </w:p>
        </w:tc>
      </w:tr>
      <w:tr w:rsidR="006B28FF" w:rsidRPr="006B28FF" w:rsidTr="006B28FF">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Flessibili Media Volatilità</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0,786</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1</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 </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 </w:t>
            </w:r>
          </w:p>
        </w:tc>
      </w:tr>
      <w:tr w:rsidR="006B28FF" w:rsidRPr="006B28FF" w:rsidTr="006B28FF">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Bilanciato Assicurativo Prudente</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0,585</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0,960</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1</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 </w:t>
            </w:r>
          </w:p>
        </w:tc>
      </w:tr>
      <w:tr w:rsidR="006B28FF" w:rsidRPr="006B28FF" w:rsidTr="006B28FF">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rPr>
                <w:rFonts w:ascii="Calibri" w:hAnsi="Calibri"/>
                <w:color w:val="000000"/>
                <w:sz w:val="22"/>
                <w:szCs w:val="22"/>
                <w:lang w:eastAsia="it-IT"/>
              </w:rPr>
            </w:pPr>
            <w:r w:rsidRPr="006B28FF">
              <w:rPr>
                <w:rFonts w:ascii="Calibri" w:hAnsi="Calibri"/>
                <w:color w:val="000000"/>
                <w:sz w:val="22"/>
                <w:szCs w:val="22"/>
                <w:lang w:eastAsia="it-IT"/>
              </w:rPr>
              <w:t>Obbligazionario Assicurativo</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0,000</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0,000</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0,000</w:t>
            </w:r>
          </w:p>
        </w:tc>
        <w:tc>
          <w:tcPr>
            <w:tcW w:w="1660" w:type="dxa"/>
            <w:tcBorders>
              <w:top w:val="nil"/>
              <w:left w:val="nil"/>
              <w:bottom w:val="single" w:sz="4" w:space="0" w:color="auto"/>
              <w:right w:val="single" w:sz="4" w:space="0" w:color="auto"/>
            </w:tcBorders>
            <w:shd w:val="clear" w:color="auto" w:fill="auto"/>
            <w:noWrap/>
            <w:vAlign w:val="bottom"/>
            <w:hideMark/>
          </w:tcPr>
          <w:p w:rsidR="006B28FF" w:rsidRPr="006B28FF" w:rsidRDefault="006B28FF" w:rsidP="006B28FF">
            <w:pPr>
              <w:autoSpaceDE/>
              <w:autoSpaceDN/>
              <w:adjustRightInd/>
              <w:jc w:val="center"/>
              <w:rPr>
                <w:rFonts w:ascii="Calibri" w:hAnsi="Calibri"/>
                <w:color w:val="000000"/>
                <w:sz w:val="22"/>
                <w:szCs w:val="22"/>
                <w:lang w:eastAsia="it-IT"/>
              </w:rPr>
            </w:pPr>
            <w:r w:rsidRPr="006B28FF">
              <w:rPr>
                <w:rFonts w:ascii="Calibri" w:hAnsi="Calibri"/>
                <w:color w:val="000000"/>
                <w:sz w:val="22"/>
                <w:szCs w:val="22"/>
                <w:lang w:eastAsia="it-IT"/>
              </w:rPr>
              <w:t>1</w:t>
            </w:r>
          </w:p>
        </w:tc>
      </w:tr>
    </w:tbl>
    <w:p w:rsidR="009532CE" w:rsidRDefault="006B28FF" w:rsidP="003072D1">
      <w:pPr>
        <w:spacing w:line="360" w:lineRule="auto"/>
        <w:jc w:val="both"/>
        <w:rPr>
          <w:rFonts w:asciiTheme="minorHAnsi" w:eastAsiaTheme="minorHAnsi" w:hAnsiTheme="minorHAnsi" w:cstheme="minorHAnsi"/>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14</w:t>
      </w:r>
    </w:p>
    <w:p w:rsidR="006B28FF" w:rsidRDefault="006B28FF" w:rsidP="00D513DB">
      <w:pPr>
        <w:spacing w:line="360" w:lineRule="auto"/>
        <w:jc w:val="both"/>
        <w:rPr>
          <w:rFonts w:asciiTheme="minorHAnsi" w:eastAsiaTheme="minorHAnsi" w:hAnsiTheme="minorHAnsi" w:cstheme="minorHAnsi"/>
          <w:sz w:val="24"/>
          <w:szCs w:val="24"/>
        </w:rPr>
      </w:pPr>
    </w:p>
    <w:p w:rsidR="000B2628" w:rsidRDefault="000B2628" w:rsidP="00D513DB">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La Tabella 1</w:t>
      </w:r>
      <w:r w:rsidR="006B28FF">
        <w:rPr>
          <w:rFonts w:asciiTheme="minorHAnsi" w:eastAsiaTheme="minorHAnsi" w:hAnsiTheme="minorHAnsi" w:cstheme="minorHAnsi"/>
          <w:sz w:val="24"/>
          <w:szCs w:val="24"/>
        </w:rPr>
        <w:t>5</w:t>
      </w:r>
      <w:r>
        <w:rPr>
          <w:rFonts w:asciiTheme="minorHAnsi" w:eastAsiaTheme="minorHAnsi" w:hAnsiTheme="minorHAnsi" w:cstheme="minorHAnsi"/>
          <w:sz w:val="24"/>
          <w:szCs w:val="24"/>
        </w:rPr>
        <w:t xml:space="preserve"> sintetizza la composizione (ed il corrispondente livello di VaR annuale al 95%) degli 8 portafogli modello identificati per la finalità “Difesa del Risparmio e Protezione”:</w:t>
      </w:r>
    </w:p>
    <w:p w:rsidR="000B2628" w:rsidRDefault="000B2628" w:rsidP="00D513DB">
      <w:pPr>
        <w:spacing w:line="360" w:lineRule="auto"/>
        <w:jc w:val="both"/>
        <w:rPr>
          <w:rFonts w:asciiTheme="minorHAnsi" w:eastAsiaTheme="minorHAnsi" w:hAnsiTheme="minorHAnsi" w:cstheme="minorHAnsi"/>
          <w:sz w:val="24"/>
          <w:szCs w:val="24"/>
        </w:rPr>
      </w:pPr>
    </w:p>
    <w:p w:rsidR="000B2628" w:rsidRPr="00AE0156" w:rsidRDefault="000B2628" w:rsidP="00E64598">
      <w:pPr>
        <w:spacing w:line="360" w:lineRule="auto"/>
        <w:ind w:left="426"/>
        <w:jc w:val="both"/>
        <w:rPr>
          <w:rFonts w:asciiTheme="minorHAnsi" w:eastAsiaTheme="minorHAnsi" w:hAnsiTheme="minorHAnsi" w:cstheme="minorHAnsi"/>
        </w:rPr>
      </w:pPr>
    </w:p>
    <w:p w:rsidR="00E63DA2" w:rsidRPr="009A45D7" w:rsidRDefault="0089652E" w:rsidP="0089652E">
      <w:pPr>
        <w:spacing w:line="360" w:lineRule="auto"/>
        <w:jc w:val="center"/>
        <w:rPr>
          <w:rFonts w:asciiTheme="minorHAnsi" w:eastAsiaTheme="minorHAnsi" w:hAnsiTheme="minorHAnsi" w:cstheme="minorHAnsi"/>
          <w:sz w:val="24"/>
          <w:szCs w:val="24"/>
        </w:rPr>
      </w:pPr>
      <w:r w:rsidRPr="0089652E">
        <w:rPr>
          <w:rFonts w:eastAsiaTheme="minorHAnsi"/>
          <w:noProof/>
          <w:lang w:eastAsia="it-IT"/>
        </w:rPr>
        <w:drawing>
          <wp:inline distT="0" distB="0" distL="0" distR="0" wp14:anchorId="5C5AB85A" wp14:editId="1F5F3E0C">
            <wp:extent cx="5547712" cy="1752753"/>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8383" cy="1752965"/>
                    </a:xfrm>
                    <a:prstGeom prst="rect">
                      <a:avLst/>
                    </a:prstGeom>
                    <a:noFill/>
                    <a:ln>
                      <a:noFill/>
                    </a:ln>
                  </pic:spPr>
                </pic:pic>
              </a:graphicData>
            </a:graphic>
          </wp:inline>
        </w:drawing>
      </w:r>
    </w:p>
    <w:p w:rsidR="00E63DA2" w:rsidRDefault="006B28FF" w:rsidP="006B28FF">
      <w:pPr>
        <w:spacing w:line="360" w:lineRule="auto"/>
        <w:ind w:left="426"/>
        <w:jc w:val="both"/>
        <w:rPr>
          <w:rFonts w:asciiTheme="minorHAnsi" w:hAnsiTheme="minorHAnsi" w:cstheme="minorHAnsi"/>
          <w:b/>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15</w:t>
      </w:r>
    </w:p>
    <w:p w:rsidR="006B28FF" w:rsidRDefault="006B28FF" w:rsidP="00D513DB">
      <w:pPr>
        <w:spacing w:line="360" w:lineRule="auto"/>
        <w:jc w:val="both"/>
        <w:rPr>
          <w:rFonts w:asciiTheme="minorHAnsi" w:eastAsiaTheme="minorHAnsi" w:hAnsiTheme="minorHAnsi" w:cstheme="minorHAnsi"/>
          <w:sz w:val="24"/>
          <w:szCs w:val="24"/>
        </w:rPr>
      </w:pPr>
    </w:p>
    <w:p w:rsidR="00136E0D" w:rsidRDefault="00136E0D" w:rsidP="00D513DB">
      <w:p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Coerentemente con gli obiettivi prudenziali dei clienti che optano per tale finalità, i VaR annuali al 95% associati a questi portafogli sono inferiori</w:t>
      </w:r>
      <w:r w:rsidR="00E947AD">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 xml:space="preserve">a quelli </w:t>
      </w:r>
      <w:r w:rsidR="0089652E">
        <w:rPr>
          <w:rFonts w:asciiTheme="minorHAnsi" w:eastAsiaTheme="minorHAnsi" w:hAnsiTheme="minorHAnsi" w:cstheme="minorHAnsi"/>
          <w:sz w:val="24"/>
          <w:szCs w:val="24"/>
        </w:rPr>
        <w:t xml:space="preserve">dei portafogli </w:t>
      </w:r>
      <w:r>
        <w:rPr>
          <w:rFonts w:asciiTheme="minorHAnsi" w:eastAsiaTheme="minorHAnsi" w:hAnsiTheme="minorHAnsi" w:cstheme="minorHAnsi"/>
          <w:sz w:val="24"/>
          <w:szCs w:val="24"/>
        </w:rPr>
        <w:t xml:space="preserve">corrispondenti </w:t>
      </w:r>
      <w:r w:rsidR="0089652E">
        <w:rPr>
          <w:rFonts w:asciiTheme="minorHAnsi" w:eastAsiaTheme="minorHAnsi" w:hAnsiTheme="minorHAnsi" w:cstheme="minorHAnsi"/>
          <w:sz w:val="24"/>
          <w:szCs w:val="24"/>
        </w:rPr>
        <w:t xml:space="preserve">costruiti </w:t>
      </w:r>
      <w:r>
        <w:rPr>
          <w:rFonts w:asciiTheme="minorHAnsi" w:eastAsiaTheme="minorHAnsi" w:hAnsiTheme="minorHAnsi" w:cstheme="minorHAnsi"/>
          <w:sz w:val="24"/>
          <w:szCs w:val="24"/>
        </w:rPr>
        <w:t>per la finalità “Crescita del Capitale”.</w:t>
      </w:r>
    </w:p>
    <w:p w:rsidR="008E5C3C" w:rsidRDefault="008E5C3C" w:rsidP="006B28FF">
      <w:pPr>
        <w:autoSpaceDE/>
        <w:autoSpaceDN/>
        <w:adjustRightInd/>
        <w:spacing w:after="200" w:line="276" w:lineRule="auto"/>
        <w:rPr>
          <w:rFonts w:asciiTheme="minorHAnsi" w:hAnsiTheme="minorHAnsi" w:cstheme="minorHAnsi"/>
          <w:b/>
          <w:bCs/>
          <w:sz w:val="28"/>
          <w:szCs w:val="28"/>
        </w:rPr>
      </w:pPr>
    </w:p>
    <w:p w:rsidR="008E5C3C" w:rsidRDefault="008E5C3C" w:rsidP="008E5C3C">
      <w:pPr>
        <w:pStyle w:val="Titolo1"/>
        <w:numPr>
          <w:ilvl w:val="0"/>
          <w:numId w:val="0"/>
        </w:numPr>
        <w:spacing w:line="360" w:lineRule="auto"/>
        <w:ind w:left="432" w:hanging="432"/>
        <w:jc w:val="both"/>
        <w:rPr>
          <w:rFonts w:asciiTheme="minorHAnsi" w:hAnsiTheme="minorHAnsi" w:cstheme="minorHAnsi"/>
        </w:rPr>
      </w:pPr>
      <w:bookmarkStart w:id="72" w:name="_Toc425154141"/>
      <w:r>
        <w:rPr>
          <w:rFonts w:asciiTheme="minorHAnsi" w:hAnsiTheme="minorHAnsi" w:cstheme="minorHAnsi"/>
        </w:rPr>
        <w:t xml:space="preserve">4. LE </w:t>
      </w:r>
      <w:r w:rsidRPr="00E63DA2">
        <w:rPr>
          <w:rFonts w:asciiTheme="minorHAnsi" w:hAnsiTheme="minorHAnsi" w:cstheme="minorHAnsi"/>
        </w:rPr>
        <w:t>REGOLE DI MAPPATURA DEGLI STRUMENTI FINANZIARI</w:t>
      </w:r>
      <w:r>
        <w:rPr>
          <w:rFonts w:asciiTheme="minorHAnsi" w:hAnsiTheme="minorHAnsi" w:cstheme="minorHAnsi"/>
        </w:rPr>
        <w:t xml:space="preserve"> E MODELLO DI SCORING</w:t>
      </w:r>
      <w:bookmarkEnd w:id="72"/>
    </w:p>
    <w:p w:rsidR="008E5C3C" w:rsidRPr="00E63DA2" w:rsidRDefault="008E5C3C" w:rsidP="008E5C3C">
      <w:pPr>
        <w:rPr>
          <w:rFonts w:asciiTheme="minorHAnsi" w:hAnsiTheme="minorHAnsi" w:cstheme="minorHAnsi"/>
          <w:sz w:val="24"/>
          <w:szCs w:val="24"/>
        </w:rPr>
      </w:pPr>
    </w:p>
    <w:p w:rsidR="008E5C3C" w:rsidRPr="00E63DA2" w:rsidRDefault="008E5C3C" w:rsidP="008E5C3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Una volta ricostruita la modellistica utilizzata per la costruzione dei portafogli modello strategici e per la loro manutenzione tattica, risulta opportuno </w:t>
      </w:r>
      <w:r w:rsidRPr="00E63DA2">
        <w:rPr>
          <w:rFonts w:asciiTheme="minorHAnsi" w:hAnsiTheme="minorHAnsi" w:cstheme="minorHAnsi"/>
          <w:sz w:val="24"/>
          <w:szCs w:val="24"/>
        </w:rPr>
        <w:t>presentare la metodologia adottata da CheBanca!, con la collaborazione di Benchmark &amp; Style, finalizzata a:</w:t>
      </w:r>
    </w:p>
    <w:p w:rsidR="008E5C3C" w:rsidRPr="00E63DA2" w:rsidRDefault="008E5C3C" w:rsidP="008E5C3C">
      <w:pPr>
        <w:spacing w:line="360" w:lineRule="auto"/>
        <w:jc w:val="both"/>
        <w:rPr>
          <w:rFonts w:asciiTheme="minorHAnsi" w:hAnsiTheme="minorHAnsi" w:cstheme="minorHAnsi"/>
          <w:sz w:val="24"/>
          <w:szCs w:val="24"/>
        </w:rPr>
      </w:pPr>
    </w:p>
    <w:p w:rsidR="008E5C3C" w:rsidRPr="00E63DA2" w:rsidRDefault="008E5C3C" w:rsidP="008E5C3C">
      <w:pPr>
        <w:numPr>
          <w:ilvl w:val="0"/>
          <w:numId w:val="42"/>
        </w:numPr>
        <w:autoSpaceDE/>
        <w:autoSpaceDN/>
        <w:adjustRightInd/>
        <w:spacing w:line="360" w:lineRule="auto"/>
        <w:jc w:val="both"/>
        <w:rPr>
          <w:rFonts w:asciiTheme="minorHAnsi" w:hAnsiTheme="minorHAnsi" w:cstheme="minorHAnsi"/>
          <w:sz w:val="24"/>
          <w:szCs w:val="24"/>
        </w:rPr>
      </w:pPr>
      <w:r>
        <w:rPr>
          <w:rFonts w:asciiTheme="minorHAnsi" w:hAnsiTheme="minorHAnsi" w:cstheme="minorHAnsi"/>
          <w:sz w:val="24"/>
          <w:szCs w:val="24"/>
        </w:rPr>
        <w:t>m</w:t>
      </w:r>
      <w:r w:rsidRPr="00E63DA2">
        <w:rPr>
          <w:rFonts w:asciiTheme="minorHAnsi" w:hAnsiTheme="minorHAnsi" w:cstheme="minorHAnsi"/>
          <w:sz w:val="24"/>
          <w:szCs w:val="24"/>
        </w:rPr>
        <w:t>appare</w:t>
      </w:r>
      <w:r>
        <w:rPr>
          <w:rFonts w:asciiTheme="minorHAnsi" w:hAnsiTheme="minorHAnsi" w:cstheme="minorHAnsi"/>
          <w:sz w:val="24"/>
          <w:szCs w:val="24"/>
        </w:rPr>
        <w:t>,</w:t>
      </w:r>
      <w:r w:rsidRPr="00E63DA2">
        <w:rPr>
          <w:rFonts w:asciiTheme="minorHAnsi" w:hAnsiTheme="minorHAnsi" w:cstheme="minorHAnsi"/>
          <w:sz w:val="24"/>
          <w:szCs w:val="24"/>
        </w:rPr>
        <w:t xml:space="preserve"> rispetto ai benchmark utilizzati per la costruzione dei portafogli modello</w:t>
      </w:r>
      <w:r>
        <w:rPr>
          <w:rFonts w:asciiTheme="minorHAnsi" w:hAnsiTheme="minorHAnsi" w:cstheme="minorHAnsi"/>
          <w:sz w:val="24"/>
          <w:szCs w:val="24"/>
        </w:rPr>
        <w:t>,</w:t>
      </w:r>
      <w:r w:rsidRPr="00E63DA2">
        <w:rPr>
          <w:rFonts w:asciiTheme="minorHAnsi" w:hAnsiTheme="minorHAnsi" w:cstheme="minorHAnsi"/>
          <w:sz w:val="24"/>
          <w:szCs w:val="24"/>
        </w:rPr>
        <w:t xml:space="preserve"> tutti i </w:t>
      </w:r>
      <w:r>
        <w:rPr>
          <w:rFonts w:asciiTheme="minorHAnsi" w:hAnsiTheme="minorHAnsi" w:cstheme="minorHAnsi"/>
          <w:sz w:val="24"/>
          <w:szCs w:val="24"/>
        </w:rPr>
        <w:t xml:space="preserve">fondi del catalogo </w:t>
      </w:r>
      <w:r w:rsidRPr="00E63DA2">
        <w:rPr>
          <w:rFonts w:asciiTheme="minorHAnsi" w:hAnsiTheme="minorHAnsi" w:cstheme="minorHAnsi"/>
          <w:sz w:val="24"/>
          <w:szCs w:val="24"/>
        </w:rPr>
        <w:t xml:space="preserve">(sottoscrivibili o trasferibili), ossia tutti i prodotti che i clienti detengono nel proprio portafoglio e che potrebbero appartenere a società di gestione non necessariamente distribuite dalla banca e per le quali potrebbero essere carenti le informazioni </w:t>
      </w:r>
      <w:r>
        <w:rPr>
          <w:rFonts w:asciiTheme="minorHAnsi" w:hAnsiTheme="minorHAnsi" w:cstheme="minorHAnsi"/>
          <w:sz w:val="24"/>
          <w:szCs w:val="24"/>
        </w:rPr>
        <w:t xml:space="preserve">a disposizione </w:t>
      </w:r>
      <w:r w:rsidRPr="00E63DA2">
        <w:rPr>
          <w:rFonts w:asciiTheme="minorHAnsi" w:hAnsiTheme="minorHAnsi" w:cstheme="minorHAnsi"/>
          <w:sz w:val="24"/>
          <w:szCs w:val="24"/>
        </w:rPr>
        <w:t xml:space="preserve">sulla </w:t>
      </w:r>
      <w:r>
        <w:rPr>
          <w:rFonts w:asciiTheme="minorHAnsi" w:hAnsiTheme="minorHAnsi" w:cstheme="minorHAnsi"/>
          <w:sz w:val="24"/>
          <w:szCs w:val="24"/>
        </w:rPr>
        <w:t xml:space="preserve">relativa </w:t>
      </w:r>
      <w:r w:rsidRPr="00E63DA2">
        <w:rPr>
          <w:rFonts w:asciiTheme="minorHAnsi" w:hAnsiTheme="minorHAnsi" w:cstheme="minorHAnsi"/>
          <w:sz w:val="24"/>
          <w:szCs w:val="24"/>
        </w:rPr>
        <w:t>composizione d</w:t>
      </w:r>
      <w:r>
        <w:rPr>
          <w:rFonts w:asciiTheme="minorHAnsi" w:hAnsiTheme="minorHAnsi" w:cstheme="minorHAnsi"/>
          <w:sz w:val="24"/>
          <w:szCs w:val="24"/>
        </w:rPr>
        <w:t>i</w:t>
      </w:r>
      <w:r w:rsidRPr="00E63DA2">
        <w:rPr>
          <w:rFonts w:asciiTheme="minorHAnsi" w:hAnsiTheme="minorHAnsi" w:cstheme="minorHAnsi"/>
          <w:sz w:val="24"/>
          <w:szCs w:val="24"/>
        </w:rPr>
        <w:t xml:space="preserve"> portafoglio;</w:t>
      </w:r>
    </w:p>
    <w:p w:rsidR="008E5C3C" w:rsidRPr="00E63DA2" w:rsidRDefault="008E5C3C" w:rsidP="008E5C3C">
      <w:pPr>
        <w:spacing w:line="360" w:lineRule="auto"/>
        <w:ind w:left="720"/>
        <w:jc w:val="both"/>
        <w:rPr>
          <w:rFonts w:asciiTheme="minorHAnsi" w:hAnsiTheme="minorHAnsi" w:cstheme="minorHAnsi"/>
          <w:sz w:val="24"/>
          <w:szCs w:val="24"/>
        </w:rPr>
      </w:pPr>
    </w:p>
    <w:p w:rsidR="008E5C3C" w:rsidRPr="00E63DA2" w:rsidRDefault="008E5C3C" w:rsidP="008E5C3C">
      <w:pPr>
        <w:numPr>
          <w:ilvl w:val="0"/>
          <w:numId w:val="42"/>
        </w:numPr>
        <w:autoSpaceDE/>
        <w:autoSpaceDN/>
        <w:adjustRightInd/>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classificare ed elaborare un ranking dei prodotti presenti nel catalogo di CheBanca!</w:t>
      </w:r>
      <w:r>
        <w:rPr>
          <w:rFonts w:asciiTheme="minorHAnsi" w:hAnsiTheme="minorHAnsi" w:cstheme="minorHAnsi"/>
          <w:sz w:val="24"/>
          <w:szCs w:val="24"/>
        </w:rPr>
        <w:t xml:space="preserve"> </w:t>
      </w:r>
      <w:r w:rsidRPr="00E63DA2">
        <w:rPr>
          <w:rFonts w:asciiTheme="minorHAnsi" w:hAnsiTheme="minorHAnsi" w:cstheme="minorHAnsi"/>
          <w:sz w:val="24"/>
          <w:szCs w:val="24"/>
        </w:rPr>
        <w:t>che saranno consigliati per l’implementazione dei portafogli modello scaturiti di volta in volta dal Comitato Investimenti. A tale fine</w:t>
      </w:r>
      <w:r>
        <w:rPr>
          <w:rFonts w:asciiTheme="minorHAnsi" w:hAnsiTheme="minorHAnsi" w:cstheme="minorHAnsi"/>
          <w:sz w:val="24"/>
          <w:szCs w:val="24"/>
        </w:rPr>
        <w:t>,</w:t>
      </w:r>
      <w:r w:rsidRPr="00E63DA2">
        <w:rPr>
          <w:rFonts w:asciiTheme="minorHAnsi" w:hAnsiTheme="minorHAnsi" w:cstheme="minorHAnsi"/>
          <w:sz w:val="24"/>
          <w:szCs w:val="24"/>
        </w:rPr>
        <w:t xml:space="preserve"> si rende necessario classificare i prodotti all’interno di categorie che siano coerenti con le asset</w:t>
      </w:r>
      <w:r>
        <w:rPr>
          <w:rFonts w:asciiTheme="minorHAnsi" w:hAnsiTheme="minorHAnsi" w:cstheme="minorHAnsi"/>
          <w:sz w:val="24"/>
          <w:szCs w:val="24"/>
        </w:rPr>
        <w:t xml:space="preserve"> </w:t>
      </w:r>
      <w:r w:rsidRPr="00E63DA2">
        <w:rPr>
          <w:rFonts w:asciiTheme="minorHAnsi" w:hAnsiTheme="minorHAnsi" w:cstheme="minorHAnsi"/>
          <w:sz w:val="24"/>
          <w:szCs w:val="24"/>
        </w:rPr>
        <w:t>class presenti nei portafogli modello e procedere all’identificazione di parametri di ranking coerenti con la natura di tali asset</w:t>
      </w:r>
      <w:r>
        <w:rPr>
          <w:rFonts w:asciiTheme="minorHAnsi" w:hAnsiTheme="minorHAnsi" w:cstheme="minorHAnsi"/>
          <w:sz w:val="24"/>
          <w:szCs w:val="24"/>
        </w:rPr>
        <w:t xml:space="preserve"> </w:t>
      </w:r>
      <w:r w:rsidRPr="00E63DA2">
        <w:rPr>
          <w:rFonts w:asciiTheme="minorHAnsi" w:hAnsiTheme="minorHAnsi" w:cstheme="minorHAnsi"/>
          <w:sz w:val="24"/>
          <w:szCs w:val="24"/>
        </w:rPr>
        <w:t>class.</w:t>
      </w:r>
    </w:p>
    <w:p w:rsidR="008E5C3C" w:rsidRPr="00E63DA2" w:rsidRDefault="008E5C3C" w:rsidP="008E5C3C">
      <w:pPr>
        <w:pStyle w:val="Paragrafoelenco"/>
        <w:spacing w:line="360" w:lineRule="auto"/>
        <w:rPr>
          <w:rFonts w:asciiTheme="minorHAnsi" w:hAnsiTheme="minorHAnsi" w:cstheme="minorHAnsi"/>
        </w:rPr>
      </w:pP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 xml:space="preserve">Entrambe queste esigenze non possono essere soddisfatte facendo riferimento alle informazioni rese disponibili dalle società di gestione del risparmio all’interno del prospetto informativo, del </w:t>
      </w:r>
      <w:r>
        <w:rPr>
          <w:rFonts w:asciiTheme="minorHAnsi" w:hAnsiTheme="minorHAnsi" w:cstheme="minorHAnsi"/>
          <w:sz w:val="24"/>
          <w:szCs w:val="24"/>
        </w:rPr>
        <w:t>k</w:t>
      </w:r>
      <w:r w:rsidRPr="00E63DA2">
        <w:rPr>
          <w:rFonts w:asciiTheme="minorHAnsi" w:hAnsiTheme="minorHAnsi" w:cstheme="minorHAnsi"/>
          <w:sz w:val="24"/>
          <w:szCs w:val="24"/>
        </w:rPr>
        <w:t>id o della documentazione periodica. In condizioni normali, le informazioni qualitative contenute in tali documenti trovano conferma nelle analisi di maggiore dettaglio relative alla composizione del portafoglio. Può tuttavia accadere che, come conseguenza d</w:t>
      </w:r>
      <w:r>
        <w:rPr>
          <w:rFonts w:asciiTheme="minorHAnsi" w:hAnsiTheme="minorHAnsi" w:cstheme="minorHAnsi"/>
          <w:sz w:val="24"/>
          <w:szCs w:val="24"/>
        </w:rPr>
        <w:t>i</w:t>
      </w:r>
      <w:r w:rsidRPr="00E63DA2">
        <w:rPr>
          <w:rFonts w:asciiTheme="minorHAnsi" w:hAnsiTheme="minorHAnsi" w:cstheme="minorHAnsi"/>
          <w:sz w:val="24"/>
          <w:szCs w:val="24"/>
        </w:rPr>
        <w:t xml:space="preserve"> politiche di</w:t>
      </w:r>
      <w:r>
        <w:rPr>
          <w:rFonts w:asciiTheme="minorHAnsi" w:hAnsiTheme="minorHAnsi" w:cstheme="minorHAnsi"/>
          <w:sz w:val="24"/>
          <w:szCs w:val="24"/>
        </w:rPr>
        <w:t xml:space="preserve"> gestione particolarmente attive</w:t>
      </w:r>
      <w:r w:rsidRPr="00E63DA2">
        <w:rPr>
          <w:rFonts w:asciiTheme="minorHAnsi" w:hAnsiTheme="minorHAnsi" w:cstheme="minorHAnsi"/>
          <w:sz w:val="24"/>
          <w:szCs w:val="24"/>
        </w:rPr>
        <w:t xml:space="preserve"> e</w:t>
      </w:r>
      <w:r>
        <w:rPr>
          <w:rFonts w:asciiTheme="minorHAnsi" w:hAnsiTheme="minorHAnsi" w:cstheme="minorHAnsi"/>
          <w:sz w:val="24"/>
          <w:szCs w:val="24"/>
        </w:rPr>
        <w:t>/o</w:t>
      </w:r>
      <w:r w:rsidRPr="00E63DA2">
        <w:rPr>
          <w:rFonts w:asciiTheme="minorHAnsi" w:hAnsiTheme="minorHAnsi" w:cstheme="minorHAnsi"/>
          <w:sz w:val="24"/>
          <w:szCs w:val="24"/>
        </w:rPr>
        <w:t xml:space="preserve"> di strategi</w:t>
      </w:r>
      <w:r>
        <w:rPr>
          <w:rFonts w:asciiTheme="minorHAnsi" w:hAnsiTheme="minorHAnsi" w:cstheme="minorHAnsi"/>
          <w:sz w:val="24"/>
          <w:szCs w:val="24"/>
        </w:rPr>
        <w:t>e</w:t>
      </w:r>
      <w:r w:rsidRPr="00E63DA2">
        <w:rPr>
          <w:rFonts w:asciiTheme="minorHAnsi" w:hAnsiTheme="minorHAnsi" w:cstheme="minorHAnsi"/>
          <w:sz w:val="24"/>
          <w:szCs w:val="24"/>
        </w:rPr>
        <w:t xml:space="preserve"> di copertura del rischio di cambio, l’analisi relativa alla composizione del </w:t>
      </w:r>
      <w:r w:rsidRPr="00E63DA2">
        <w:rPr>
          <w:rFonts w:asciiTheme="minorHAnsi" w:hAnsiTheme="minorHAnsi" w:cstheme="minorHAnsi"/>
          <w:sz w:val="24"/>
          <w:szCs w:val="24"/>
        </w:rPr>
        <w:lastRenderedPageBreak/>
        <w:t>portafoglio offra indicazioni significativamente diverse</w:t>
      </w:r>
      <w:r>
        <w:rPr>
          <w:rFonts w:asciiTheme="minorHAnsi" w:hAnsiTheme="minorHAnsi" w:cstheme="minorHAnsi"/>
          <w:sz w:val="24"/>
          <w:szCs w:val="24"/>
        </w:rPr>
        <w:t>,</w:t>
      </w:r>
      <w:r w:rsidRPr="00E63DA2">
        <w:rPr>
          <w:rFonts w:asciiTheme="minorHAnsi" w:hAnsiTheme="minorHAnsi" w:cstheme="minorHAnsi"/>
          <w:sz w:val="24"/>
          <w:szCs w:val="24"/>
        </w:rPr>
        <w:t xml:space="preserve"> che è opportuno evidenziare e saper leggere all’interno di un servizio di consulenza.</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Questo gap informativo pone rilevanti questioni in sede di analisi del portafoglio del cliente e di valutazione dell’adeguatezza e pertanto le finalità principali della mappatura possono essere sintetizzate nei due punti seguenti:</w:t>
      </w:r>
    </w:p>
    <w:p w:rsidR="008E5C3C" w:rsidRPr="00AB655E" w:rsidRDefault="008E5C3C" w:rsidP="008E5C3C">
      <w:pPr>
        <w:pStyle w:val="Paragrafoelenco"/>
        <w:numPr>
          <w:ilvl w:val="0"/>
          <w:numId w:val="41"/>
        </w:numPr>
        <w:spacing w:line="360" w:lineRule="auto"/>
        <w:jc w:val="both"/>
        <w:rPr>
          <w:rFonts w:asciiTheme="minorHAnsi" w:hAnsiTheme="minorHAnsi" w:cstheme="minorHAnsi"/>
        </w:rPr>
      </w:pPr>
      <w:r w:rsidRPr="00AB655E">
        <w:rPr>
          <w:rFonts w:asciiTheme="minorHAnsi" w:hAnsiTheme="minorHAnsi" w:cstheme="minorHAnsi"/>
        </w:rPr>
        <w:t>consentire di comprendere se le caratteristiche del fondo oggetto di analisi sono compatibili e coerenti con l’asset</w:t>
      </w:r>
      <w:r w:rsidR="00E947AD">
        <w:rPr>
          <w:rFonts w:asciiTheme="minorHAnsi" w:hAnsiTheme="minorHAnsi" w:cstheme="minorHAnsi"/>
        </w:rPr>
        <w:t xml:space="preserve"> </w:t>
      </w:r>
      <w:r w:rsidRPr="00AB655E">
        <w:rPr>
          <w:rFonts w:asciiTheme="minorHAnsi" w:hAnsiTheme="minorHAnsi" w:cstheme="minorHAnsi"/>
        </w:rPr>
        <w:t>allocation che con tali strumenti si intende implementare;</w:t>
      </w:r>
    </w:p>
    <w:p w:rsidR="008E5C3C" w:rsidRPr="00E63DA2" w:rsidRDefault="008E5C3C" w:rsidP="008E5C3C">
      <w:pPr>
        <w:pStyle w:val="Paragrafoelenco"/>
        <w:numPr>
          <w:ilvl w:val="0"/>
          <w:numId w:val="41"/>
        </w:numPr>
        <w:spacing w:line="360" w:lineRule="auto"/>
        <w:jc w:val="both"/>
        <w:rPr>
          <w:rFonts w:asciiTheme="minorHAnsi" w:hAnsiTheme="minorHAnsi" w:cstheme="minorHAnsi"/>
        </w:rPr>
      </w:pPr>
      <w:r w:rsidRPr="00E63DA2">
        <w:rPr>
          <w:rFonts w:asciiTheme="minorHAnsi" w:hAnsiTheme="minorHAnsi" w:cstheme="minorHAnsi"/>
        </w:rPr>
        <w:t>valutare il profilo di rendimento/rischio atteso implicito in un fondo detenuto in portafoglio rispetto alle previsione di rendimenti, rischi e correlazioni incorporate ne</w:t>
      </w:r>
      <w:r>
        <w:rPr>
          <w:rFonts w:asciiTheme="minorHAnsi" w:hAnsiTheme="minorHAnsi" w:cstheme="minorHAnsi"/>
        </w:rPr>
        <w:t>i benchmark utilizzati per la costruzione de</w:t>
      </w:r>
      <w:r w:rsidRPr="00E63DA2">
        <w:rPr>
          <w:rFonts w:asciiTheme="minorHAnsi" w:hAnsiTheme="minorHAnsi" w:cstheme="minorHAnsi"/>
        </w:rPr>
        <w:t>i portafogli della frontiera efficiente.</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A tale proposito è opportuno richiamare l’attenzione sulla circostanza che la composizione integrale del fondo non è di norma disponibile per tutta una serie di ragioni che, in questa sede, non si ritiene opportuno approfondire. Ne consegue che quando si parla di analisi dello stile di gestione l’obiettivo è quello di approssimare nel modo migliore possibile la composizione del portafoglio tenuto conto degli obiettivi sopra esplicitati. A titolo di esempio, ove un fondo investisse soltanto in pochi titoli del settore tecnologico quotati sul mercato europeo sarebbe certamente vero che la sua composizione sarebbe riconducibile al 100% all’</w:t>
      </w:r>
      <w:r>
        <w:rPr>
          <w:rFonts w:asciiTheme="minorHAnsi" w:hAnsiTheme="minorHAnsi" w:cstheme="minorHAnsi"/>
          <w:sz w:val="24"/>
          <w:szCs w:val="24"/>
        </w:rPr>
        <w:t>asset class</w:t>
      </w:r>
      <w:r w:rsidRPr="00E63DA2">
        <w:rPr>
          <w:rFonts w:asciiTheme="minorHAnsi" w:hAnsiTheme="minorHAnsi" w:cstheme="minorHAnsi"/>
          <w:sz w:val="24"/>
          <w:szCs w:val="24"/>
        </w:rPr>
        <w:t xml:space="preserve"> Azionario Europa, ma allo stesso tempo sarebbe opportuno chiedersi se responsabilmente si sceglierebbe questo fondo per coprire un benchmark ben più diversificato quale il MSCI Europe o se le previsioni di rendimento/rischio riferite a quel mercato possano essere utilizzate per quel fondo.</w:t>
      </w:r>
    </w:p>
    <w:p w:rsidR="008E5C3C" w:rsidRDefault="008E5C3C" w:rsidP="008E5C3C">
      <w:pPr>
        <w:pStyle w:val="Titolo3"/>
        <w:numPr>
          <w:ilvl w:val="0"/>
          <w:numId w:val="0"/>
        </w:numPr>
        <w:spacing w:line="360" w:lineRule="auto"/>
        <w:ind w:left="720"/>
        <w:jc w:val="both"/>
        <w:rPr>
          <w:rFonts w:ascii="Bembo" w:eastAsia="Times New Roman" w:hAnsi="Bembo" w:cs="Times New Roman"/>
          <w:b w:val="0"/>
          <w:bCs w:val="0"/>
          <w:color w:val="auto"/>
        </w:rPr>
      </w:pPr>
    </w:p>
    <w:p w:rsidR="008E5C3C" w:rsidRPr="00E63DA2" w:rsidRDefault="008E5C3C" w:rsidP="008E5C3C">
      <w:pPr>
        <w:pStyle w:val="Titolo2"/>
        <w:numPr>
          <w:ilvl w:val="1"/>
          <w:numId w:val="29"/>
        </w:numPr>
        <w:spacing w:line="360" w:lineRule="auto"/>
        <w:jc w:val="both"/>
        <w:rPr>
          <w:rFonts w:asciiTheme="minorHAnsi" w:hAnsiTheme="minorHAnsi" w:cstheme="minorHAnsi"/>
        </w:rPr>
      </w:pPr>
      <w:bookmarkStart w:id="73" w:name="_Toc424592179"/>
      <w:bookmarkStart w:id="74" w:name="_Toc424890188"/>
      <w:bookmarkStart w:id="75" w:name="_Toc425154142"/>
      <w:r w:rsidRPr="00E63DA2">
        <w:rPr>
          <w:rFonts w:asciiTheme="minorHAnsi" w:hAnsiTheme="minorHAnsi" w:cstheme="minorHAnsi"/>
        </w:rPr>
        <w:t>LE METODOLOGIE DI MAPPATURA: HOLDINGS VERSUS RETURNS BASE</w:t>
      </w:r>
      <w:r>
        <w:rPr>
          <w:rFonts w:asciiTheme="minorHAnsi" w:hAnsiTheme="minorHAnsi" w:cstheme="minorHAnsi"/>
        </w:rPr>
        <w:t>D</w:t>
      </w:r>
      <w:r w:rsidRPr="00E63DA2">
        <w:rPr>
          <w:rFonts w:asciiTheme="minorHAnsi" w:hAnsiTheme="minorHAnsi" w:cstheme="minorHAnsi"/>
        </w:rPr>
        <w:t xml:space="preserve"> STYLE ANALSIS</w:t>
      </w:r>
      <w:bookmarkEnd w:id="73"/>
      <w:bookmarkEnd w:id="74"/>
      <w:bookmarkEnd w:id="75"/>
    </w:p>
    <w:p w:rsidR="008E5C3C" w:rsidRPr="00E63DA2" w:rsidRDefault="008E5C3C" w:rsidP="008E5C3C">
      <w:pPr>
        <w:jc w:val="both"/>
        <w:rPr>
          <w:rFonts w:asciiTheme="minorHAnsi" w:hAnsiTheme="minorHAnsi" w:cstheme="minorHAnsi"/>
          <w:sz w:val="24"/>
          <w:szCs w:val="24"/>
        </w:rPr>
      </w:pP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Passando ad analizzare le metodologie che possono essere utilizzate per raccogliere informazioni sulla composizione del portafoglio dei prodotti di risparmio gestito è necessario riferirsi a due approcci:</w:t>
      </w:r>
    </w:p>
    <w:p w:rsidR="008E5C3C" w:rsidRPr="00E63DA2" w:rsidRDefault="008E5C3C" w:rsidP="008E5C3C">
      <w:pPr>
        <w:pStyle w:val="Paragrafoelenco"/>
        <w:numPr>
          <w:ilvl w:val="0"/>
          <w:numId w:val="41"/>
        </w:numPr>
        <w:spacing w:line="360" w:lineRule="auto"/>
        <w:jc w:val="both"/>
        <w:rPr>
          <w:rFonts w:asciiTheme="minorHAnsi" w:hAnsiTheme="minorHAnsi" w:cstheme="minorHAnsi"/>
          <w:lang w:val="en-US"/>
        </w:rPr>
      </w:pPr>
      <w:r w:rsidRPr="00E63DA2">
        <w:rPr>
          <w:rFonts w:asciiTheme="minorHAnsi" w:hAnsiTheme="minorHAnsi" w:cstheme="minorHAnsi"/>
          <w:lang w:val="en-US"/>
        </w:rPr>
        <w:t>la holdings based style analysis;</w:t>
      </w:r>
    </w:p>
    <w:p w:rsidR="008E5C3C" w:rsidRPr="00E63DA2" w:rsidRDefault="008E5C3C" w:rsidP="008E5C3C">
      <w:pPr>
        <w:pStyle w:val="Paragrafoelenco"/>
        <w:numPr>
          <w:ilvl w:val="0"/>
          <w:numId w:val="41"/>
        </w:numPr>
        <w:spacing w:line="360" w:lineRule="auto"/>
        <w:jc w:val="both"/>
        <w:rPr>
          <w:rFonts w:asciiTheme="minorHAnsi" w:hAnsiTheme="minorHAnsi" w:cstheme="minorHAnsi"/>
          <w:lang w:val="en-US"/>
        </w:rPr>
      </w:pPr>
      <w:r w:rsidRPr="00E63DA2">
        <w:rPr>
          <w:rFonts w:asciiTheme="minorHAnsi" w:hAnsiTheme="minorHAnsi" w:cstheme="minorHAnsi"/>
          <w:lang w:val="en-US"/>
        </w:rPr>
        <w:t>la returns based style analysis.</w:t>
      </w:r>
    </w:p>
    <w:p w:rsidR="008E5C3C" w:rsidRPr="00E63DA2" w:rsidRDefault="008E5C3C" w:rsidP="008E5C3C">
      <w:pPr>
        <w:spacing w:line="360" w:lineRule="auto"/>
        <w:jc w:val="both"/>
        <w:rPr>
          <w:rFonts w:asciiTheme="minorHAnsi" w:hAnsiTheme="minorHAnsi" w:cstheme="minorHAnsi"/>
          <w:sz w:val="24"/>
          <w:szCs w:val="24"/>
          <w:lang w:val="en-US"/>
        </w:rPr>
      </w:pP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lastRenderedPageBreak/>
        <w:t>Si ritiene opportuno partire dalla prima metodologia in quando la seconda è nata, su proposta del Prof. Sharpe</w:t>
      </w:r>
      <w:r>
        <w:rPr>
          <w:rStyle w:val="Rimandonotaapidipagina"/>
          <w:rFonts w:asciiTheme="minorHAnsi" w:hAnsiTheme="minorHAnsi" w:cstheme="minorHAnsi"/>
          <w:sz w:val="24"/>
          <w:szCs w:val="24"/>
        </w:rPr>
        <w:footnoteReference w:id="11"/>
      </w:r>
      <w:r w:rsidRPr="00E63DA2">
        <w:rPr>
          <w:rFonts w:asciiTheme="minorHAnsi" w:hAnsiTheme="minorHAnsi" w:cstheme="minorHAnsi"/>
          <w:sz w:val="24"/>
          <w:szCs w:val="24"/>
        </w:rPr>
        <w:t xml:space="preserve">, proprio per risolvere alcuni problemi creati dalla logica </w:t>
      </w:r>
      <w:r w:rsidRPr="001177E0">
        <w:rPr>
          <w:rFonts w:asciiTheme="minorHAnsi" w:hAnsiTheme="minorHAnsi" w:cstheme="minorHAnsi"/>
          <w:sz w:val="24"/>
          <w:szCs w:val="24"/>
        </w:rPr>
        <w:t>holdings</w:t>
      </w:r>
      <w:r w:rsidR="00E947AD">
        <w:rPr>
          <w:rFonts w:asciiTheme="minorHAnsi" w:hAnsiTheme="minorHAnsi" w:cstheme="minorHAnsi"/>
          <w:sz w:val="24"/>
          <w:szCs w:val="24"/>
        </w:rPr>
        <w:t xml:space="preserve"> </w:t>
      </w:r>
      <w:r w:rsidRPr="001177E0">
        <w:rPr>
          <w:rFonts w:asciiTheme="minorHAnsi" w:hAnsiTheme="minorHAnsi" w:cstheme="minorHAnsi"/>
          <w:sz w:val="24"/>
          <w:szCs w:val="24"/>
        </w:rPr>
        <w:t>based</w:t>
      </w:r>
      <w:r w:rsidRPr="00E63DA2">
        <w:rPr>
          <w:rFonts w:asciiTheme="minorHAnsi" w:hAnsiTheme="minorHAnsi" w:cstheme="minorHAnsi"/>
          <w:sz w:val="24"/>
          <w:szCs w:val="24"/>
        </w:rPr>
        <w:t xml:space="preserve"> che</w:t>
      </w:r>
      <w:r>
        <w:rPr>
          <w:rFonts w:asciiTheme="minorHAnsi" w:hAnsiTheme="minorHAnsi" w:cstheme="minorHAnsi"/>
          <w:sz w:val="24"/>
          <w:szCs w:val="24"/>
        </w:rPr>
        <w:t>,</w:t>
      </w:r>
      <w:r w:rsidRPr="00E63DA2">
        <w:rPr>
          <w:rFonts w:asciiTheme="minorHAnsi" w:hAnsiTheme="minorHAnsi" w:cstheme="minorHAnsi"/>
          <w:sz w:val="24"/>
          <w:szCs w:val="24"/>
        </w:rPr>
        <w:t xml:space="preserve"> come noto</w:t>
      </w:r>
      <w:r>
        <w:rPr>
          <w:rFonts w:asciiTheme="minorHAnsi" w:hAnsiTheme="minorHAnsi" w:cstheme="minorHAnsi"/>
          <w:sz w:val="24"/>
          <w:szCs w:val="24"/>
        </w:rPr>
        <w:t xml:space="preserve">, </w:t>
      </w:r>
      <w:r w:rsidRPr="00E63DA2">
        <w:rPr>
          <w:rFonts w:asciiTheme="minorHAnsi" w:hAnsiTheme="minorHAnsi" w:cstheme="minorHAnsi"/>
          <w:sz w:val="24"/>
          <w:szCs w:val="24"/>
        </w:rPr>
        <w:t>viene alimentata dalla conoscenza</w:t>
      </w:r>
      <w:r>
        <w:rPr>
          <w:rFonts w:asciiTheme="minorHAnsi" w:hAnsiTheme="minorHAnsi" w:cstheme="minorHAnsi"/>
          <w:sz w:val="24"/>
          <w:szCs w:val="24"/>
        </w:rPr>
        <w:t xml:space="preserve"> puntuale</w:t>
      </w:r>
      <w:r w:rsidRPr="00E63DA2">
        <w:rPr>
          <w:rFonts w:asciiTheme="minorHAnsi" w:hAnsiTheme="minorHAnsi" w:cstheme="minorHAnsi"/>
          <w:sz w:val="24"/>
          <w:szCs w:val="24"/>
        </w:rPr>
        <w:t xml:space="preserve"> dei titoli presenti nel portafoglio del fondo ad una determinata data.</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Il primo elemento che è opportuno valutare riguarda la circostanza che l’analisi holdings</w:t>
      </w:r>
      <w:r>
        <w:rPr>
          <w:rFonts w:asciiTheme="minorHAnsi" w:hAnsiTheme="minorHAnsi" w:cstheme="minorHAnsi"/>
          <w:sz w:val="24"/>
          <w:szCs w:val="24"/>
        </w:rPr>
        <w:t xml:space="preserve"> </w:t>
      </w:r>
      <w:r w:rsidRPr="00E63DA2">
        <w:rPr>
          <w:rFonts w:asciiTheme="minorHAnsi" w:hAnsiTheme="minorHAnsi" w:cstheme="minorHAnsi"/>
          <w:sz w:val="24"/>
          <w:szCs w:val="24"/>
        </w:rPr>
        <w:t>based è per definizione riferita ad un istante</w:t>
      </w:r>
      <w:r>
        <w:rPr>
          <w:rFonts w:asciiTheme="minorHAnsi" w:hAnsiTheme="minorHAnsi" w:cstheme="minorHAnsi"/>
          <w:sz w:val="24"/>
          <w:szCs w:val="24"/>
        </w:rPr>
        <w:t xml:space="preserve"> temporale,</w:t>
      </w:r>
      <w:r w:rsidRPr="00E63DA2">
        <w:rPr>
          <w:rFonts w:asciiTheme="minorHAnsi" w:hAnsiTheme="minorHAnsi" w:cstheme="minorHAnsi"/>
          <w:sz w:val="24"/>
          <w:szCs w:val="24"/>
        </w:rPr>
        <w:t xml:space="preserve"> configurandosi come una rappresentazione puntuale del portafoglio ad una</w:t>
      </w:r>
      <w:r>
        <w:rPr>
          <w:rFonts w:asciiTheme="minorHAnsi" w:hAnsiTheme="minorHAnsi" w:cstheme="minorHAnsi"/>
          <w:sz w:val="24"/>
          <w:szCs w:val="24"/>
        </w:rPr>
        <w:t xml:space="preserve"> determinata</w:t>
      </w:r>
      <w:r w:rsidRPr="00E63DA2">
        <w:rPr>
          <w:rFonts w:asciiTheme="minorHAnsi" w:hAnsiTheme="minorHAnsi" w:cstheme="minorHAnsi"/>
          <w:sz w:val="24"/>
          <w:szCs w:val="24"/>
        </w:rPr>
        <w:t xml:space="preserve"> data. Volendo fare un’analogia</w:t>
      </w:r>
      <w:r>
        <w:rPr>
          <w:rFonts w:asciiTheme="minorHAnsi" w:hAnsiTheme="minorHAnsi" w:cstheme="minorHAnsi"/>
          <w:sz w:val="24"/>
          <w:szCs w:val="24"/>
        </w:rPr>
        <w:t>,</w:t>
      </w:r>
      <w:r w:rsidRPr="00E63DA2">
        <w:rPr>
          <w:rFonts w:asciiTheme="minorHAnsi" w:hAnsiTheme="minorHAnsi" w:cstheme="minorHAnsi"/>
          <w:sz w:val="24"/>
          <w:szCs w:val="24"/>
        </w:rPr>
        <w:t xml:space="preserve"> si tratta di una fotografia del portafoglio in un determinato istante. Dal momento che l’informazione in oggetto non è liberamente disponibile</w:t>
      </w:r>
      <w:r>
        <w:rPr>
          <w:rFonts w:asciiTheme="minorHAnsi" w:hAnsiTheme="minorHAnsi" w:cstheme="minorHAnsi"/>
          <w:sz w:val="24"/>
          <w:szCs w:val="24"/>
        </w:rPr>
        <w:t>,</w:t>
      </w:r>
      <w:r w:rsidRPr="00E63DA2">
        <w:rPr>
          <w:rFonts w:asciiTheme="minorHAnsi" w:hAnsiTheme="minorHAnsi" w:cstheme="minorHAnsi"/>
          <w:sz w:val="24"/>
          <w:szCs w:val="24"/>
        </w:rPr>
        <w:t xml:space="preserve"> l’unica possibilità che rimane </w:t>
      </w:r>
      <w:r>
        <w:rPr>
          <w:rFonts w:asciiTheme="minorHAnsi" w:hAnsiTheme="minorHAnsi" w:cstheme="minorHAnsi"/>
          <w:sz w:val="24"/>
          <w:szCs w:val="24"/>
        </w:rPr>
        <w:t xml:space="preserve">ad un </w:t>
      </w:r>
      <w:r w:rsidRPr="00E63DA2">
        <w:rPr>
          <w:rFonts w:asciiTheme="minorHAnsi" w:hAnsiTheme="minorHAnsi" w:cstheme="minorHAnsi"/>
          <w:sz w:val="24"/>
          <w:szCs w:val="24"/>
        </w:rPr>
        <w:t>analista esterno è quell</w:t>
      </w:r>
      <w:r>
        <w:rPr>
          <w:rFonts w:asciiTheme="minorHAnsi" w:hAnsiTheme="minorHAnsi" w:cstheme="minorHAnsi"/>
          <w:sz w:val="24"/>
          <w:szCs w:val="24"/>
        </w:rPr>
        <w:t>a</w:t>
      </w:r>
      <w:r w:rsidRPr="00E63DA2">
        <w:rPr>
          <w:rFonts w:asciiTheme="minorHAnsi" w:hAnsiTheme="minorHAnsi" w:cstheme="minorHAnsi"/>
          <w:sz w:val="24"/>
          <w:szCs w:val="24"/>
        </w:rPr>
        <w:t xml:space="preserve"> di rifarsi al contenuto del rendiconto semestrale del fondo (dove si trova un’ampia, ma non sempre integrale, rappresentazione del portafoglio) che</w:t>
      </w:r>
      <w:r>
        <w:rPr>
          <w:rFonts w:asciiTheme="minorHAnsi" w:hAnsiTheme="minorHAnsi" w:cstheme="minorHAnsi"/>
          <w:sz w:val="24"/>
          <w:szCs w:val="24"/>
        </w:rPr>
        <w:t>,</w:t>
      </w:r>
      <w:r w:rsidRPr="00E63DA2">
        <w:rPr>
          <w:rFonts w:asciiTheme="minorHAnsi" w:hAnsiTheme="minorHAnsi" w:cstheme="minorHAnsi"/>
          <w:sz w:val="24"/>
          <w:szCs w:val="24"/>
        </w:rPr>
        <w:t xml:space="preserve"> come noto</w:t>
      </w:r>
      <w:r>
        <w:rPr>
          <w:rFonts w:asciiTheme="minorHAnsi" w:hAnsiTheme="minorHAnsi" w:cstheme="minorHAnsi"/>
          <w:sz w:val="24"/>
          <w:szCs w:val="24"/>
        </w:rPr>
        <w:t>,</w:t>
      </w:r>
      <w:r w:rsidRPr="00E63DA2">
        <w:rPr>
          <w:rFonts w:asciiTheme="minorHAnsi" w:hAnsiTheme="minorHAnsi" w:cstheme="minorHAnsi"/>
          <w:sz w:val="24"/>
          <w:szCs w:val="24"/>
        </w:rPr>
        <w:t xml:space="preserve"> viene reso disponibile con un ritardo di circa due mesi</w:t>
      </w:r>
      <w:r>
        <w:rPr>
          <w:rFonts w:asciiTheme="minorHAnsi" w:hAnsiTheme="minorHAnsi" w:cstheme="minorHAnsi"/>
          <w:sz w:val="24"/>
          <w:szCs w:val="24"/>
        </w:rPr>
        <w:t>,</w:t>
      </w:r>
      <w:r w:rsidRPr="00E63DA2">
        <w:rPr>
          <w:rFonts w:asciiTheme="minorHAnsi" w:hAnsiTheme="minorHAnsi" w:cstheme="minorHAnsi"/>
          <w:sz w:val="24"/>
          <w:szCs w:val="24"/>
        </w:rPr>
        <w:t xml:space="preserve"> in media</w:t>
      </w:r>
      <w:r>
        <w:rPr>
          <w:rFonts w:asciiTheme="minorHAnsi" w:hAnsiTheme="minorHAnsi" w:cstheme="minorHAnsi"/>
          <w:sz w:val="24"/>
          <w:szCs w:val="24"/>
        </w:rPr>
        <w:t>,</w:t>
      </w:r>
      <w:r w:rsidRPr="00E63DA2">
        <w:rPr>
          <w:rFonts w:asciiTheme="minorHAnsi" w:hAnsiTheme="minorHAnsi" w:cstheme="minorHAnsi"/>
          <w:sz w:val="24"/>
          <w:szCs w:val="24"/>
        </w:rPr>
        <w:t xml:space="preserve"> rispetto alla data di riferimento. Il rischio implicito in questa rappresentazione del portafoglio è</w:t>
      </w:r>
      <w:r>
        <w:rPr>
          <w:rFonts w:asciiTheme="minorHAnsi" w:hAnsiTheme="minorHAnsi" w:cstheme="minorHAnsi"/>
          <w:sz w:val="24"/>
          <w:szCs w:val="24"/>
        </w:rPr>
        <w:t>,</w:t>
      </w:r>
      <w:r w:rsidRPr="00E63DA2">
        <w:rPr>
          <w:rFonts w:asciiTheme="minorHAnsi" w:hAnsiTheme="minorHAnsi" w:cstheme="minorHAnsi"/>
          <w:sz w:val="24"/>
          <w:szCs w:val="24"/>
        </w:rPr>
        <w:t xml:space="preserve"> ovviamente</w:t>
      </w:r>
      <w:r>
        <w:rPr>
          <w:rFonts w:asciiTheme="minorHAnsi" w:hAnsiTheme="minorHAnsi" w:cstheme="minorHAnsi"/>
          <w:sz w:val="24"/>
          <w:szCs w:val="24"/>
        </w:rPr>
        <w:t>,</w:t>
      </w:r>
      <w:r w:rsidRPr="00E63DA2">
        <w:rPr>
          <w:rFonts w:asciiTheme="minorHAnsi" w:hAnsiTheme="minorHAnsi" w:cstheme="minorHAnsi"/>
          <w:sz w:val="24"/>
          <w:szCs w:val="24"/>
        </w:rPr>
        <w:t xml:space="preserve"> quello di rifarsi ad un’informazione esposta al rischio di </w:t>
      </w:r>
      <w:r w:rsidRPr="00E947AD">
        <w:rPr>
          <w:rFonts w:asciiTheme="minorHAnsi" w:hAnsiTheme="minorHAnsi" w:cstheme="minorHAnsi"/>
          <w:i/>
          <w:sz w:val="24"/>
          <w:szCs w:val="24"/>
        </w:rPr>
        <w:t>window</w:t>
      </w:r>
      <w:r w:rsidR="00E947AD" w:rsidRPr="00E947AD">
        <w:rPr>
          <w:rFonts w:asciiTheme="minorHAnsi" w:hAnsiTheme="minorHAnsi" w:cstheme="minorHAnsi"/>
          <w:i/>
          <w:sz w:val="24"/>
          <w:szCs w:val="24"/>
        </w:rPr>
        <w:t xml:space="preserve"> </w:t>
      </w:r>
      <w:r w:rsidRPr="00E947AD">
        <w:rPr>
          <w:rFonts w:asciiTheme="minorHAnsi" w:hAnsiTheme="minorHAnsi" w:cstheme="minorHAnsi"/>
          <w:i/>
          <w:sz w:val="24"/>
          <w:szCs w:val="24"/>
        </w:rPr>
        <w:t>dressing</w:t>
      </w:r>
      <w:r>
        <w:rPr>
          <w:rFonts w:asciiTheme="minorHAnsi" w:hAnsiTheme="minorHAnsi" w:cstheme="minorHAnsi"/>
          <w:sz w:val="24"/>
          <w:szCs w:val="24"/>
        </w:rPr>
        <w:t>,</w:t>
      </w:r>
      <w:r w:rsidRPr="00E63DA2">
        <w:rPr>
          <w:rFonts w:asciiTheme="minorHAnsi" w:hAnsiTheme="minorHAnsi" w:cstheme="minorHAnsi"/>
          <w:sz w:val="24"/>
          <w:szCs w:val="24"/>
        </w:rPr>
        <w:t xml:space="preserve"> in quanto non viene fornita alcuna evidenza circa la movimentazione del portafoglio in prossimità delle date di rendicontazione.</w:t>
      </w:r>
    </w:p>
    <w:p w:rsidR="008E5C3C" w:rsidRPr="00714910" w:rsidRDefault="008E5C3C" w:rsidP="008E5C3C">
      <w:pPr>
        <w:autoSpaceDE/>
        <w:autoSpaceDN/>
        <w:adjustRightInd/>
        <w:spacing w:line="360" w:lineRule="auto"/>
        <w:jc w:val="both"/>
        <w:rPr>
          <w:rFonts w:ascii="Times New Roman" w:hAnsi="Times New Roman"/>
          <w:sz w:val="24"/>
          <w:szCs w:val="24"/>
          <w:lang w:eastAsia="it-IT"/>
        </w:rPr>
      </w:pPr>
      <w:r w:rsidRPr="00E63DA2">
        <w:rPr>
          <w:rFonts w:asciiTheme="minorHAnsi" w:hAnsiTheme="minorHAnsi" w:cstheme="minorHAnsi"/>
          <w:sz w:val="24"/>
          <w:szCs w:val="24"/>
        </w:rPr>
        <w:t xml:space="preserve">Il rischio di </w:t>
      </w:r>
      <w:r w:rsidRPr="00971FEC">
        <w:rPr>
          <w:rFonts w:asciiTheme="minorHAnsi" w:hAnsiTheme="minorHAnsi" w:cstheme="minorHAnsi"/>
          <w:i/>
          <w:sz w:val="24"/>
          <w:szCs w:val="24"/>
        </w:rPr>
        <w:t>window dressing</w:t>
      </w:r>
      <w:r w:rsidRPr="00E63DA2">
        <w:rPr>
          <w:rFonts w:asciiTheme="minorHAnsi" w:hAnsiTheme="minorHAnsi" w:cstheme="minorHAnsi"/>
          <w:sz w:val="24"/>
          <w:szCs w:val="24"/>
        </w:rPr>
        <w:t xml:space="preserve"> sarebbe contenuto se, invece di rifarsi ad un’informazione semestrale, fosse possibile accedere alle informazioni relative alla composizione del portafoglio con una maggiore frequenza. Questo è il tentativo effettuato da Morningstar</w:t>
      </w:r>
      <w:r>
        <w:rPr>
          <w:rFonts w:asciiTheme="minorHAnsi" w:hAnsiTheme="minorHAnsi" w:cstheme="minorHAnsi"/>
          <w:sz w:val="24"/>
          <w:szCs w:val="24"/>
        </w:rPr>
        <w:t>, leader nella classificazione dei fondi sulla scorta della holdings based style analysis,</w:t>
      </w:r>
      <w:r w:rsidRPr="00E63DA2">
        <w:rPr>
          <w:rFonts w:asciiTheme="minorHAnsi" w:hAnsiTheme="minorHAnsi" w:cstheme="minorHAnsi"/>
          <w:sz w:val="24"/>
          <w:szCs w:val="24"/>
        </w:rPr>
        <w:t xml:space="preserve"> che chiede alle singole società di gestione l’invio riservato dei titoli presenti all’interno del portafoglio</w:t>
      </w:r>
      <w:r>
        <w:rPr>
          <w:rFonts w:asciiTheme="minorHAnsi" w:hAnsiTheme="minorHAnsi" w:cstheme="minorHAnsi"/>
          <w:sz w:val="24"/>
          <w:szCs w:val="24"/>
        </w:rPr>
        <w:t xml:space="preserve"> dei fondi</w:t>
      </w:r>
      <w:r w:rsidRPr="00E63DA2">
        <w:rPr>
          <w:rFonts w:asciiTheme="minorHAnsi" w:hAnsiTheme="minorHAnsi" w:cstheme="minorHAnsi"/>
          <w:sz w:val="24"/>
          <w:szCs w:val="24"/>
        </w:rPr>
        <w:t xml:space="preserve">. </w:t>
      </w:r>
      <w:r w:rsidRPr="00714910">
        <w:rPr>
          <w:rFonts w:ascii="Calibri" w:hAnsi="Calibri"/>
          <w:color w:val="000000"/>
          <w:sz w:val="24"/>
          <w:szCs w:val="24"/>
          <w:lang w:eastAsia="it-IT"/>
        </w:rPr>
        <w:t>Si fa presente che non tutte le società forniscono i dati relativi alla composizione del portafoglio con la medesima frequenza ed, in ogni caso, tale informazione non è soggetta agli stessi controlli esterni</w:t>
      </w:r>
      <w:r>
        <w:rPr>
          <w:rFonts w:ascii="Calibri" w:hAnsi="Calibri"/>
          <w:color w:val="000000"/>
          <w:sz w:val="24"/>
          <w:szCs w:val="24"/>
          <w:lang w:eastAsia="it-IT"/>
        </w:rPr>
        <w:t xml:space="preserve"> </w:t>
      </w:r>
      <w:r w:rsidRPr="00714910">
        <w:rPr>
          <w:rFonts w:ascii="Calibri" w:hAnsi="Calibri"/>
          <w:color w:val="000000"/>
          <w:sz w:val="24"/>
          <w:szCs w:val="24"/>
          <w:lang w:eastAsia="it-IT"/>
        </w:rPr>
        <w:t>(società di revisione, banca depositaria, etc</w:t>
      </w:r>
      <w:r>
        <w:rPr>
          <w:rFonts w:ascii="Calibri" w:hAnsi="Calibri"/>
          <w:color w:val="000000"/>
          <w:sz w:val="24"/>
          <w:szCs w:val="24"/>
          <w:lang w:eastAsia="it-IT"/>
        </w:rPr>
        <w:t>.</w:t>
      </w:r>
      <w:r w:rsidRPr="00714910">
        <w:rPr>
          <w:rFonts w:ascii="Calibri" w:hAnsi="Calibri"/>
          <w:color w:val="000000"/>
          <w:sz w:val="24"/>
          <w:szCs w:val="24"/>
          <w:lang w:eastAsia="it-IT"/>
        </w:rPr>
        <w:t>)</w:t>
      </w:r>
      <w:r>
        <w:rPr>
          <w:rFonts w:ascii="Calibri" w:hAnsi="Calibri"/>
          <w:color w:val="000000"/>
          <w:sz w:val="24"/>
          <w:szCs w:val="24"/>
          <w:lang w:eastAsia="it-IT"/>
        </w:rPr>
        <w:t xml:space="preserve"> </w:t>
      </w:r>
      <w:r w:rsidRPr="00714910">
        <w:rPr>
          <w:rFonts w:ascii="Calibri" w:hAnsi="Calibri"/>
          <w:color w:val="000000"/>
          <w:sz w:val="24"/>
          <w:szCs w:val="24"/>
          <w:lang w:eastAsia="it-IT"/>
        </w:rPr>
        <w:t>previsti per le informazioni contenute nel rendiconto semestrale.</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Ignorando per un momento tale problema, rimane certamente vero che il contenuto informativo che si ottiene da un</w:t>
      </w:r>
      <w:r>
        <w:rPr>
          <w:rFonts w:asciiTheme="minorHAnsi" w:hAnsiTheme="minorHAnsi" w:cstheme="minorHAnsi"/>
          <w:sz w:val="24"/>
          <w:szCs w:val="24"/>
        </w:rPr>
        <w:t>a</w:t>
      </w:r>
      <w:r w:rsidRPr="00E63DA2">
        <w:rPr>
          <w:rFonts w:asciiTheme="minorHAnsi" w:hAnsiTheme="minorHAnsi" w:cstheme="minorHAnsi"/>
          <w:sz w:val="24"/>
          <w:szCs w:val="24"/>
        </w:rPr>
        <w:t xml:space="preserve"> lettura delle informazioni res</w:t>
      </w:r>
      <w:r>
        <w:rPr>
          <w:rFonts w:asciiTheme="minorHAnsi" w:hAnsiTheme="minorHAnsi" w:cstheme="minorHAnsi"/>
          <w:sz w:val="24"/>
          <w:szCs w:val="24"/>
        </w:rPr>
        <w:t>a</w:t>
      </w:r>
      <w:r w:rsidRPr="00E63DA2">
        <w:rPr>
          <w:rFonts w:asciiTheme="minorHAnsi" w:hAnsiTheme="minorHAnsi" w:cstheme="minorHAnsi"/>
          <w:sz w:val="24"/>
          <w:szCs w:val="24"/>
        </w:rPr>
        <w:t xml:space="preserve"> possibil</w:t>
      </w:r>
      <w:r>
        <w:rPr>
          <w:rFonts w:asciiTheme="minorHAnsi" w:hAnsiTheme="minorHAnsi" w:cstheme="minorHAnsi"/>
          <w:sz w:val="24"/>
          <w:szCs w:val="24"/>
        </w:rPr>
        <w:t>e</w:t>
      </w:r>
      <w:r w:rsidRPr="00E63DA2">
        <w:rPr>
          <w:rFonts w:asciiTheme="minorHAnsi" w:hAnsiTheme="minorHAnsi" w:cstheme="minorHAnsi"/>
          <w:sz w:val="24"/>
          <w:szCs w:val="24"/>
        </w:rPr>
        <w:t xml:space="preserve"> dalla conoscenza della composizione puntuale del portafoglio non è necessariamente quella effettiva prima o dopo la data di riferimento e non è detto che sia in grado di cogliere il profilo di rendimento/rischio effettivo dello strumento analizzato.</w:t>
      </w:r>
    </w:p>
    <w:p w:rsidR="008E5C3C" w:rsidRPr="00E63DA2" w:rsidRDefault="008E5C3C" w:rsidP="008E5C3C">
      <w:pPr>
        <w:spacing w:line="360" w:lineRule="auto"/>
        <w:rPr>
          <w:rFonts w:asciiTheme="minorHAnsi" w:hAnsiTheme="minorHAnsi" w:cstheme="minorHAnsi"/>
          <w:sz w:val="24"/>
          <w:szCs w:val="24"/>
        </w:rPr>
      </w:pP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lastRenderedPageBreak/>
        <w:t xml:space="preserve">Si prenda </w:t>
      </w:r>
      <w:r>
        <w:rPr>
          <w:rFonts w:asciiTheme="minorHAnsi" w:hAnsiTheme="minorHAnsi" w:cstheme="minorHAnsi"/>
          <w:sz w:val="24"/>
          <w:szCs w:val="24"/>
        </w:rPr>
        <w:t xml:space="preserve">in considerazione il caso di un </w:t>
      </w:r>
      <w:r w:rsidRPr="00E63DA2">
        <w:rPr>
          <w:rFonts w:asciiTheme="minorHAnsi" w:hAnsiTheme="minorHAnsi" w:cstheme="minorHAnsi"/>
          <w:sz w:val="24"/>
          <w:szCs w:val="24"/>
        </w:rPr>
        <w:t>fondo che, coerentemente con la propria politica di gestione attiva, invest</w:t>
      </w:r>
      <w:r>
        <w:rPr>
          <w:rFonts w:asciiTheme="minorHAnsi" w:hAnsiTheme="minorHAnsi" w:cstheme="minorHAnsi"/>
          <w:sz w:val="24"/>
          <w:szCs w:val="24"/>
        </w:rPr>
        <w:t>e</w:t>
      </w:r>
      <w:r w:rsidRPr="00E63DA2">
        <w:rPr>
          <w:rFonts w:asciiTheme="minorHAnsi" w:hAnsiTheme="minorHAnsi" w:cstheme="minorHAnsi"/>
          <w:sz w:val="24"/>
          <w:szCs w:val="24"/>
        </w:rPr>
        <w:t xml:space="preserve"> prevalentemente in titoli azionari europei appartenenti al settore tecnologico. Un’analisi effettuata sulla base dei titoli detenuti in portafoglio dovrebbe coerentemente far emergere che il fondo investe in titoli azionari Europa </w:t>
      </w:r>
      <w:r>
        <w:rPr>
          <w:rFonts w:asciiTheme="minorHAnsi" w:hAnsiTheme="minorHAnsi" w:cstheme="minorHAnsi"/>
          <w:sz w:val="24"/>
          <w:szCs w:val="24"/>
        </w:rPr>
        <w:t>portando,</w:t>
      </w:r>
      <w:r w:rsidRPr="00E63DA2">
        <w:rPr>
          <w:rFonts w:asciiTheme="minorHAnsi" w:hAnsiTheme="minorHAnsi" w:cstheme="minorHAnsi"/>
          <w:sz w:val="24"/>
          <w:szCs w:val="24"/>
        </w:rPr>
        <w:t xml:space="preserve"> quindi</w:t>
      </w:r>
      <w:r>
        <w:rPr>
          <w:rFonts w:asciiTheme="minorHAnsi" w:hAnsiTheme="minorHAnsi" w:cstheme="minorHAnsi"/>
          <w:sz w:val="24"/>
          <w:szCs w:val="24"/>
        </w:rPr>
        <w:t xml:space="preserve">, a classificare lo stesso </w:t>
      </w:r>
      <w:r w:rsidRPr="00E63DA2">
        <w:rPr>
          <w:rFonts w:asciiTheme="minorHAnsi" w:hAnsiTheme="minorHAnsi" w:cstheme="minorHAnsi"/>
          <w:sz w:val="24"/>
          <w:szCs w:val="24"/>
        </w:rPr>
        <w:t>come un prodotto che investe il 100% del proprio portafoglio nell’</w:t>
      </w:r>
      <w:r>
        <w:rPr>
          <w:rFonts w:asciiTheme="minorHAnsi" w:hAnsiTheme="minorHAnsi" w:cstheme="minorHAnsi"/>
          <w:sz w:val="24"/>
          <w:szCs w:val="24"/>
        </w:rPr>
        <w:t>asset class</w:t>
      </w:r>
      <w:r w:rsidRPr="00E63DA2">
        <w:rPr>
          <w:rFonts w:asciiTheme="minorHAnsi" w:hAnsiTheme="minorHAnsi" w:cstheme="minorHAnsi"/>
          <w:sz w:val="24"/>
          <w:szCs w:val="24"/>
        </w:rPr>
        <w:t xml:space="preserve"> azionario Europa, rappresentata tipicamente dal benchmark MSCI Europe. L’informazione ricevuta sarebbe certamente vera, ma ci si chiede se sia anche veritiera una mappatura che induce a pensare che i propri investimenti possano avere un andamento in linea con il benchmark rappresentativo di quella asset</w:t>
      </w:r>
      <w:r>
        <w:rPr>
          <w:rFonts w:asciiTheme="minorHAnsi" w:hAnsiTheme="minorHAnsi" w:cstheme="minorHAnsi"/>
          <w:sz w:val="24"/>
          <w:szCs w:val="24"/>
        </w:rPr>
        <w:t xml:space="preserve"> </w:t>
      </w:r>
      <w:r w:rsidRPr="00E63DA2">
        <w:rPr>
          <w:rFonts w:asciiTheme="minorHAnsi" w:hAnsiTheme="minorHAnsi" w:cstheme="minorHAnsi"/>
          <w:sz w:val="24"/>
          <w:szCs w:val="24"/>
        </w:rPr>
        <w:t>class. E’ pur vero che l’analisi metterebbe in evidenza un bias sul settore tecnologico, ma se le asset</w:t>
      </w:r>
      <w:r>
        <w:rPr>
          <w:rFonts w:asciiTheme="minorHAnsi" w:hAnsiTheme="minorHAnsi" w:cstheme="minorHAnsi"/>
          <w:sz w:val="24"/>
          <w:szCs w:val="24"/>
        </w:rPr>
        <w:t xml:space="preserve"> </w:t>
      </w:r>
      <w:r w:rsidRPr="00E63DA2">
        <w:rPr>
          <w:rFonts w:asciiTheme="minorHAnsi" w:hAnsiTheme="minorHAnsi" w:cstheme="minorHAnsi"/>
          <w:sz w:val="24"/>
          <w:szCs w:val="24"/>
        </w:rPr>
        <w:t>class utilizzate per la costruzione dei portafogli modello seguono un</w:t>
      </w:r>
      <w:r>
        <w:rPr>
          <w:rFonts w:asciiTheme="minorHAnsi" w:hAnsiTheme="minorHAnsi" w:cstheme="minorHAnsi"/>
          <w:sz w:val="24"/>
          <w:szCs w:val="24"/>
        </w:rPr>
        <w:t>’</w:t>
      </w:r>
      <w:r w:rsidRPr="00E63DA2">
        <w:rPr>
          <w:rFonts w:asciiTheme="minorHAnsi" w:hAnsiTheme="minorHAnsi" w:cstheme="minorHAnsi"/>
          <w:sz w:val="24"/>
          <w:szCs w:val="24"/>
        </w:rPr>
        <w:t>impostazione geografica la mappatura non potrà che seguire questo approccio.</w:t>
      </w:r>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Proprio al fine di fornire un’informazione che non sia necessariamente vera, ma che possa essere più veritiera circa il comportamento atteso del fondo</w:t>
      </w:r>
      <w:r>
        <w:rPr>
          <w:rFonts w:asciiTheme="minorHAnsi" w:hAnsiTheme="minorHAnsi" w:cstheme="minorHAnsi"/>
          <w:sz w:val="24"/>
          <w:szCs w:val="24"/>
        </w:rPr>
        <w:t>,</w:t>
      </w:r>
      <w:r w:rsidRPr="00E63DA2">
        <w:rPr>
          <w:rFonts w:asciiTheme="minorHAnsi" w:hAnsiTheme="minorHAnsi" w:cstheme="minorHAnsi"/>
          <w:sz w:val="24"/>
          <w:szCs w:val="24"/>
        </w:rPr>
        <w:t xml:space="preserve"> nasce la returns</w:t>
      </w:r>
      <w:r>
        <w:rPr>
          <w:rFonts w:asciiTheme="minorHAnsi" w:hAnsiTheme="minorHAnsi" w:cstheme="minorHAnsi"/>
          <w:sz w:val="24"/>
          <w:szCs w:val="24"/>
        </w:rPr>
        <w:t xml:space="preserve"> </w:t>
      </w:r>
      <w:r w:rsidRPr="00E63DA2">
        <w:rPr>
          <w:rFonts w:asciiTheme="minorHAnsi" w:hAnsiTheme="minorHAnsi" w:cstheme="minorHAnsi"/>
          <w:sz w:val="24"/>
          <w:szCs w:val="24"/>
        </w:rPr>
        <w:t xml:space="preserve">based style analysis che si fonda su un’analisi statistico–deduttiva </w:t>
      </w:r>
      <w:r>
        <w:rPr>
          <w:rFonts w:asciiTheme="minorHAnsi" w:hAnsiTheme="minorHAnsi" w:cstheme="minorHAnsi"/>
          <w:sz w:val="24"/>
          <w:szCs w:val="24"/>
        </w:rPr>
        <w:t>basata s</w:t>
      </w:r>
      <w:r w:rsidRPr="00E63DA2">
        <w:rPr>
          <w:rFonts w:asciiTheme="minorHAnsi" w:hAnsiTheme="minorHAnsi" w:cstheme="minorHAnsi"/>
          <w:sz w:val="24"/>
          <w:szCs w:val="24"/>
        </w:rPr>
        <w:t>ulla conoscenza dei rendimenti del fondo e dei rendimenti di un paniere di benchmark ritenuti rilevanti dall’analista. Il paniere di benchmark in oggetto dovrebbe essere in grado di coprire l’universo delle possibilità di investimento a disposizione del gestore e non presentare sovrapposizione tra mercati. Trattandosi di un’analisi statistica</w:t>
      </w:r>
      <w:r>
        <w:rPr>
          <w:rFonts w:asciiTheme="minorHAnsi" w:hAnsiTheme="minorHAnsi" w:cstheme="minorHAnsi"/>
          <w:sz w:val="24"/>
          <w:szCs w:val="24"/>
        </w:rPr>
        <w:t>,</w:t>
      </w:r>
      <w:r w:rsidRPr="00E63DA2">
        <w:rPr>
          <w:rFonts w:asciiTheme="minorHAnsi" w:hAnsiTheme="minorHAnsi" w:cstheme="minorHAnsi"/>
          <w:sz w:val="24"/>
          <w:szCs w:val="24"/>
        </w:rPr>
        <w:t xml:space="preserve"> è evidente che potrà essere realizzata soltanto quando la serie storica abbia una lunghezza sufficiente per rendere l’analisi sufficientemente significativa</w:t>
      </w:r>
      <w:r>
        <w:rPr>
          <w:rFonts w:asciiTheme="minorHAnsi" w:hAnsiTheme="minorHAnsi" w:cstheme="minorHAnsi"/>
          <w:sz w:val="24"/>
          <w:szCs w:val="24"/>
        </w:rPr>
        <w:t>.</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Il r</w:t>
      </w:r>
      <w:r>
        <w:rPr>
          <w:rFonts w:asciiTheme="minorHAnsi" w:hAnsiTheme="minorHAnsi" w:cstheme="minorHAnsi"/>
          <w:sz w:val="24"/>
          <w:szCs w:val="24"/>
        </w:rPr>
        <w:t xml:space="preserve">isultato ottenuto con la return </w:t>
      </w:r>
      <w:r w:rsidRPr="00E63DA2">
        <w:rPr>
          <w:rFonts w:asciiTheme="minorHAnsi" w:hAnsiTheme="minorHAnsi" w:cstheme="minorHAnsi"/>
          <w:sz w:val="24"/>
          <w:szCs w:val="24"/>
        </w:rPr>
        <w:t>based style analysis offre una rappresentazione dell’esposizione media (ossia su tutto il periodo oggetto di analisi) rispetto ai benchmark utilizzati nel paniere ed indica</w:t>
      </w:r>
      <w:r>
        <w:rPr>
          <w:rFonts w:asciiTheme="minorHAnsi" w:hAnsiTheme="minorHAnsi" w:cstheme="minorHAnsi"/>
          <w:sz w:val="24"/>
          <w:szCs w:val="24"/>
        </w:rPr>
        <w:t>,</w:t>
      </w:r>
      <w:r w:rsidRPr="00E63DA2">
        <w:rPr>
          <w:rFonts w:asciiTheme="minorHAnsi" w:hAnsiTheme="minorHAnsi" w:cstheme="minorHAnsi"/>
          <w:sz w:val="24"/>
          <w:szCs w:val="24"/>
        </w:rPr>
        <w:t xml:space="preserve"> attraverso l’R</w:t>
      </w:r>
      <w:r w:rsidRPr="00947B4E">
        <w:rPr>
          <w:rFonts w:asciiTheme="minorHAnsi" w:hAnsiTheme="minorHAnsi" w:cstheme="minorHAnsi"/>
          <w:sz w:val="24"/>
          <w:szCs w:val="24"/>
          <w:vertAlign w:val="superscript"/>
        </w:rPr>
        <w:t>2</w:t>
      </w:r>
      <w:r>
        <w:rPr>
          <w:rFonts w:asciiTheme="minorHAnsi" w:hAnsiTheme="minorHAnsi" w:cstheme="minorHAnsi"/>
          <w:sz w:val="24"/>
          <w:szCs w:val="24"/>
        </w:rPr>
        <w:t>,</w:t>
      </w:r>
      <w:r w:rsidRPr="00E63DA2">
        <w:rPr>
          <w:rFonts w:asciiTheme="minorHAnsi" w:hAnsiTheme="minorHAnsi" w:cstheme="minorHAnsi"/>
          <w:sz w:val="24"/>
          <w:szCs w:val="24"/>
        </w:rPr>
        <w:t xml:space="preserve"> la capacità esplicativa della variabilità della performance realizzata dal fondo. Il fondo azionario dell’esempio precedente potrebbe essere letto dall’analisi statistica con una composizione sbilanciata sull’Azionario America o sull’Azionario Pacifico, ove tali mercati presentassero una maggiore esposizione verso i titoli tecnologici. Allo stesso modo</w:t>
      </w:r>
      <w:r>
        <w:rPr>
          <w:rFonts w:asciiTheme="minorHAnsi" w:hAnsiTheme="minorHAnsi" w:cstheme="minorHAnsi"/>
          <w:sz w:val="24"/>
          <w:szCs w:val="24"/>
        </w:rPr>
        <w:t>,</w:t>
      </w:r>
      <w:r w:rsidRPr="00E63DA2">
        <w:rPr>
          <w:rFonts w:asciiTheme="minorHAnsi" w:hAnsiTheme="minorHAnsi" w:cstheme="minorHAnsi"/>
          <w:sz w:val="24"/>
          <w:szCs w:val="24"/>
        </w:rPr>
        <w:t xml:space="preserve"> ove ci fosse un fondo che opera una sistematica strategia di copertura del rischio </w:t>
      </w:r>
      <w:r>
        <w:rPr>
          <w:rFonts w:asciiTheme="minorHAnsi" w:hAnsiTheme="minorHAnsi" w:cstheme="minorHAnsi"/>
          <w:sz w:val="24"/>
          <w:szCs w:val="24"/>
        </w:rPr>
        <w:t xml:space="preserve">di </w:t>
      </w:r>
      <w:r w:rsidRPr="00E63DA2">
        <w:rPr>
          <w:rFonts w:asciiTheme="minorHAnsi" w:hAnsiTheme="minorHAnsi" w:cstheme="minorHAnsi"/>
          <w:sz w:val="24"/>
          <w:szCs w:val="24"/>
        </w:rPr>
        <w:t>cambio sul mercato azionario americano</w:t>
      </w:r>
      <w:r>
        <w:rPr>
          <w:rFonts w:asciiTheme="minorHAnsi" w:hAnsiTheme="minorHAnsi" w:cstheme="minorHAnsi"/>
          <w:sz w:val="24"/>
          <w:szCs w:val="24"/>
        </w:rPr>
        <w:t>,</w:t>
      </w:r>
      <w:r w:rsidRPr="00E63DA2">
        <w:rPr>
          <w:rFonts w:asciiTheme="minorHAnsi" w:hAnsiTheme="minorHAnsi" w:cstheme="minorHAnsi"/>
          <w:sz w:val="24"/>
          <w:szCs w:val="24"/>
        </w:rPr>
        <w:t xml:space="preserve"> è altamente probabile che</w:t>
      </w:r>
      <w:r>
        <w:rPr>
          <w:rFonts w:asciiTheme="minorHAnsi" w:hAnsiTheme="minorHAnsi" w:cstheme="minorHAnsi"/>
          <w:sz w:val="24"/>
          <w:szCs w:val="24"/>
        </w:rPr>
        <w:t>,</w:t>
      </w:r>
      <w:r w:rsidRPr="00E63DA2">
        <w:rPr>
          <w:rFonts w:asciiTheme="minorHAnsi" w:hAnsiTheme="minorHAnsi" w:cstheme="minorHAnsi"/>
          <w:sz w:val="24"/>
          <w:szCs w:val="24"/>
        </w:rPr>
        <w:t xml:space="preserve"> inserendo nel paniere di benchmark indici aperti alle variazioni del tasso di cambio, l’analisi statistica possa indicare una composizione del fondo sbilanciata verso l’azionario Europa in ragione dell’elevata correlazione che caratterizza i due mercati dopo aver rimosso il rischio </w:t>
      </w:r>
      <w:r>
        <w:rPr>
          <w:rFonts w:asciiTheme="minorHAnsi" w:hAnsiTheme="minorHAnsi" w:cstheme="minorHAnsi"/>
          <w:sz w:val="24"/>
          <w:szCs w:val="24"/>
        </w:rPr>
        <w:t xml:space="preserve">di </w:t>
      </w:r>
      <w:r w:rsidRPr="00E63DA2">
        <w:rPr>
          <w:rFonts w:asciiTheme="minorHAnsi" w:hAnsiTheme="minorHAnsi" w:cstheme="minorHAnsi"/>
          <w:sz w:val="24"/>
          <w:szCs w:val="24"/>
        </w:rPr>
        <w:t>cambio.</w:t>
      </w:r>
    </w:p>
    <w:p w:rsidR="008E5C3C" w:rsidRPr="00E63DA2" w:rsidRDefault="008E5C3C" w:rsidP="008E5C3C">
      <w:pPr>
        <w:spacing w:line="360" w:lineRule="auto"/>
        <w:jc w:val="both"/>
        <w:rPr>
          <w:rFonts w:asciiTheme="minorHAnsi" w:hAnsiTheme="minorHAnsi" w:cstheme="minorHAnsi"/>
          <w:sz w:val="24"/>
          <w:szCs w:val="24"/>
        </w:rPr>
      </w:pPr>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lastRenderedPageBreak/>
        <w:t>Ben si comprende l’affermazione di Sharpe secondo cui se un fondo si comporta come un’oca a tutti gli effetti deve essere considerato un’oca anche se oggettivamente non si tratta di un’oca. Il ricorso all’analisi deduttiva offre</w:t>
      </w:r>
      <w:r>
        <w:rPr>
          <w:rFonts w:asciiTheme="minorHAnsi" w:hAnsiTheme="minorHAnsi" w:cstheme="minorHAnsi"/>
          <w:sz w:val="24"/>
          <w:szCs w:val="24"/>
        </w:rPr>
        <w:t>,</w:t>
      </w:r>
      <w:r w:rsidRPr="00E63DA2">
        <w:rPr>
          <w:rFonts w:asciiTheme="minorHAnsi" w:hAnsiTheme="minorHAnsi" w:cstheme="minorHAnsi"/>
          <w:sz w:val="24"/>
          <w:szCs w:val="24"/>
        </w:rPr>
        <w:t xml:space="preserve"> dunque</w:t>
      </w:r>
      <w:r>
        <w:rPr>
          <w:rFonts w:asciiTheme="minorHAnsi" w:hAnsiTheme="minorHAnsi" w:cstheme="minorHAnsi"/>
          <w:sz w:val="24"/>
          <w:szCs w:val="24"/>
        </w:rPr>
        <w:t>,</w:t>
      </w:r>
      <w:r w:rsidRPr="00E63DA2">
        <w:rPr>
          <w:rFonts w:asciiTheme="minorHAnsi" w:hAnsiTheme="minorHAnsi" w:cstheme="minorHAnsi"/>
          <w:sz w:val="24"/>
          <w:szCs w:val="24"/>
        </w:rPr>
        <w:t xml:space="preserve"> informazioni che non sono necessariamente vere, ma che puntano ad essere più veritiere e che si prestano</w:t>
      </w:r>
      <w:r>
        <w:rPr>
          <w:rFonts w:asciiTheme="minorHAnsi" w:hAnsiTheme="minorHAnsi" w:cstheme="minorHAnsi"/>
          <w:sz w:val="24"/>
          <w:szCs w:val="24"/>
        </w:rPr>
        <w:t>,</w:t>
      </w:r>
      <w:r w:rsidRPr="00E63DA2">
        <w:rPr>
          <w:rFonts w:asciiTheme="minorHAnsi" w:hAnsiTheme="minorHAnsi" w:cstheme="minorHAnsi"/>
          <w:sz w:val="24"/>
          <w:szCs w:val="24"/>
        </w:rPr>
        <w:t xml:space="preserve"> comunque</w:t>
      </w:r>
      <w:r>
        <w:rPr>
          <w:rFonts w:asciiTheme="minorHAnsi" w:hAnsiTheme="minorHAnsi" w:cstheme="minorHAnsi"/>
          <w:sz w:val="24"/>
          <w:szCs w:val="24"/>
        </w:rPr>
        <w:t>,</w:t>
      </w:r>
      <w:r w:rsidRPr="00E63DA2">
        <w:rPr>
          <w:rFonts w:asciiTheme="minorHAnsi" w:hAnsiTheme="minorHAnsi" w:cstheme="minorHAnsi"/>
          <w:sz w:val="24"/>
          <w:szCs w:val="24"/>
        </w:rPr>
        <w:t xml:space="preserve"> ad essere corrette in modo qualitativo</w:t>
      </w:r>
      <w:r>
        <w:rPr>
          <w:rFonts w:asciiTheme="minorHAnsi" w:hAnsiTheme="minorHAnsi" w:cstheme="minorHAnsi"/>
          <w:sz w:val="24"/>
          <w:szCs w:val="24"/>
        </w:rPr>
        <w:t>,</w:t>
      </w:r>
      <w:r w:rsidRPr="00E63DA2">
        <w:rPr>
          <w:rFonts w:asciiTheme="minorHAnsi" w:hAnsiTheme="minorHAnsi" w:cstheme="minorHAnsi"/>
          <w:sz w:val="24"/>
          <w:szCs w:val="24"/>
        </w:rPr>
        <w:t xml:space="preserve"> ove si disponga di informazioni attendibili di mag</w:t>
      </w:r>
      <w:r>
        <w:rPr>
          <w:rFonts w:asciiTheme="minorHAnsi" w:hAnsiTheme="minorHAnsi" w:cstheme="minorHAnsi"/>
          <w:sz w:val="24"/>
          <w:szCs w:val="24"/>
        </w:rPr>
        <w:t>giore dettaglio sulle caratteri</w:t>
      </w:r>
      <w:r w:rsidRPr="00E63DA2">
        <w:rPr>
          <w:rFonts w:asciiTheme="minorHAnsi" w:hAnsiTheme="minorHAnsi" w:cstheme="minorHAnsi"/>
          <w:sz w:val="24"/>
          <w:szCs w:val="24"/>
        </w:rPr>
        <w:t>stiche dello strumento finanziario oggetto di analisi.</w:t>
      </w:r>
    </w:p>
    <w:p w:rsidR="008E5C3C" w:rsidRDefault="008E5C3C" w:rsidP="008E5C3C">
      <w:pPr>
        <w:spacing w:line="360" w:lineRule="auto"/>
        <w:jc w:val="both"/>
        <w:rPr>
          <w:rFonts w:asciiTheme="minorHAnsi" w:hAnsiTheme="minorHAnsi" w:cstheme="minorHAnsi"/>
          <w:sz w:val="24"/>
          <w:szCs w:val="24"/>
        </w:rPr>
      </w:pPr>
    </w:p>
    <w:p w:rsidR="008E5C3C" w:rsidRPr="00E63DA2" w:rsidRDefault="008E5C3C" w:rsidP="008E5C3C">
      <w:pPr>
        <w:pStyle w:val="Titolo2"/>
        <w:numPr>
          <w:ilvl w:val="0"/>
          <w:numId w:val="0"/>
        </w:numPr>
        <w:spacing w:line="360" w:lineRule="auto"/>
        <w:ind w:left="576" w:hanging="576"/>
        <w:jc w:val="both"/>
        <w:rPr>
          <w:rFonts w:asciiTheme="minorHAnsi" w:hAnsiTheme="minorHAnsi" w:cstheme="minorHAnsi"/>
        </w:rPr>
      </w:pPr>
      <w:bookmarkStart w:id="76" w:name="_Toc424592180"/>
      <w:bookmarkStart w:id="77" w:name="_Toc424890189"/>
      <w:bookmarkStart w:id="78" w:name="_Toc425154143"/>
      <w:r>
        <w:rPr>
          <w:rFonts w:asciiTheme="minorHAnsi" w:hAnsiTheme="minorHAnsi" w:cstheme="minorHAnsi"/>
        </w:rPr>
        <w:t xml:space="preserve">4.2 </w:t>
      </w:r>
      <w:r w:rsidRPr="00E63DA2">
        <w:rPr>
          <w:rFonts w:asciiTheme="minorHAnsi" w:hAnsiTheme="minorHAnsi" w:cstheme="minorHAnsi"/>
        </w:rPr>
        <w:t>LA MAPPATURA DEL CATALOGO PRODOTTI</w:t>
      </w:r>
      <w:bookmarkEnd w:id="76"/>
      <w:bookmarkEnd w:id="77"/>
      <w:bookmarkEnd w:id="78"/>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Nel caso specifico della mappatur</w:t>
      </w:r>
      <w:r>
        <w:rPr>
          <w:rFonts w:asciiTheme="minorHAnsi" w:hAnsiTheme="minorHAnsi" w:cstheme="minorHAnsi"/>
          <w:sz w:val="24"/>
          <w:szCs w:val="24"/>
        </w:rPr>
        <w:t>a dei prodotti dal catalogo Che</w:t>
      </w:r>
      <w:r w:rsidRPr="00E63DA2">
        <w:rPr>
          <w:rFonts w:asciiTheme="minorHAnsi" w:hAnsiTheme="minorHAnsi" w:cstheme="minorHAnsi"/>
          <w:sz w:val="24"/>
          <w:szCs w:val="24"/>
        </w:rPr>
        <w:t>Banca! l’analisi viene effettuata ricorrendo ad una metodologia mista che è principalmente fondata sul ricorso alla returns-based style analysis</w:t>
      </w:r>
      <w:r>
        <w:rPr>
          <w:rFonts w:asciiTheme="minorHAnsi" w:hAnsiTheme="minorHAnsi" w:cstheme="minorHAnsi"/>
          <w:sz w:val="24"/>
          <w:szCs w:val="24"/>
        </w:rPr>
        <w:t xml:space="preserve">, </w:t>
      </w:r>
      <w:r w:rsidRPr="00E63DA2">
        <w:rPr>
          <w:rFonts w:asciiTheme="minorHAnsi" w:hAnsiTheme="minorHAnsi" w:cstheme="minorHAnsi"/>
          <w:sz w:val="24"/>
          <w:szCs w:val="24"/>
        </w:rPr>
        <w:t>ut</w:t>
      </w:r>
      <w:r>
        <w:rPr>
          <w:rFonts w:asciiTheme="minorHAnsi" w:hAnsiTheme="minorHAnsi" w:cstheme="minorHAnsi"/>
          <w:sz w:val="24"/>
          <w:szCs w:val="24"/>
        </w:rPr>
        <w:t>i</w:t>
      </w:r>
      <w:r w:rsidRPr="00E63DA2">
        <w:rPr>
          <w:rFonts w:asciiTheme="minorHAnsi" w:hAnsiTheme="minorHAnsi" w:cstheme="minorHAnsi"/>
          <w:sz w:val="24"/>
          <w:szCs w:val="24"/>
        </w:rPr>
        <w:t>lizzando come paniere rilevante di benchmark lo stesso utilizzato ai f</w:t>
      </w:r>
      <w:r>
        <w:rPr>
          <w:rFonts w:asciiTheme="minorHAnsi" w:hAnsiTheme="minorHAnsi" w:cstheme="minorHAnsi"/>
          <w:sz w:val="24"/>
          <w:szCs w:val="24"/>
        </w:rPr>
        <w:t>i</w:t>
      </w:r>
      <w:r w:rsidRPr="00E63DA2">
        <w:rPr>
          <w:rFonts w:asciiTheme="minorHAnsi" w:hAnsiTheme="minorHAnsi" w:cstheme="minorHAnsi"/>
          <w:sz w:val="24"/>
          <w:szCs w:val="24"/>
        </w:rPr>
        <w:t>ni della costruzione dei portafogli modello. In tal modo</w:t>
      </w:r>
      <w:r>
        <w:rPr>
          <w:rFonts w:asciiTheme="minorHAnsi" w:hAnsiTheme="minorHAnsi" w:cstheme="minorHAnsi"/>
          <w:sz w:val="24"/>
          <w:szCs w:val="24"/>
        </w:rPr>
        <w:t>,</w:t>
      </w:r>
      <w:r w:rsidRPr="00E63DA2">
        <w:rPr>
          <w:rFonts w:asciiTheme="minorHAnsi" w:hAnsiTheme="minorHAnsi" w:cstheme="minorHAnsi"/>
          <w:sz w:val="24"/>
          <w:szCs w:val="24"/>
        </w:rPr>
        <w:t xml:space="preserve"> per tutti i fondi che hanno una serie storica sufficiente per effettuare la regressione (almeno un anno di vita) si ottiene una mappatura rispetto ai medesimi benchmark</w:t>
      </w:r>
      <w:r>
        <w:rPr>
          <w:rFonts w:asciiTheme="minorHAnsi" w:hAnsiTheme="minorHAnsi" w:cstheme="minorHAnsi"/>
          <w:sz w:val="24"/>
          <w:szCs w:val="24"/>
        </w:rPr>
        <w:t xml:space="preserve"> della frontiera efficiente Che</w:t>
      </w:r>
      <w:r w:rsidRPr="00E63DA2">
        <w:rPr>
          <w:rFonts w:asciiTheme="minorHAnsi" w:hAnsiTheme="minorHAnsi" w:cstheme="minorHAnsi"/>
          <w:sz w:val="24"/>
          <w:szCs w:val="24"/>
        </w:rPr>
        <w:t xml:space="preserve">Banca! e questo consente di apprezzare il disallineamento dei portafogli detenuti dalla clientela in termini di </w:t>
      </w:r>
      <w:r>
        <w:rPr>
          <w:rFonts w:asciiTheme="minorHAnsi" w:hAnsiTheme="minorHAnsi" w:cstheme="minorHAnsi"/>
          <w:sz w:val="24"/>
          <w:szCs w:val="24"/>
        </w:rPr>
        <w:t>asset allocation</w:t>
      </w:r>
      <w:r w:rsidRPr="00E63DA2">
        <w:rPr>
          <w:rFonts w:asciiTheme="minorHAnsi" w:hAnsiTheme="minorHAnsi" w:cstheme="minorHAnsi"/>
          <w:sz w:val="24"/>
          <w:szCs w:val="24"/>
        </w:rPr>
        <w:t xml:space="preserve"> e di trade off rendimento/rischio rispetto ai portafogli modello. </w:t>
      </w:r>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La metodologia è mista in quanto i prodotti che presentano caratteristiche e stili di gestione tali da non essere riconducibili a nessuno dei benchmark dei portafogli modello vengono mappati nell’asset</w:t>
      </w:r>
      <w:r>
        <w:rPr>
          <w:rFonts w:asciiTheme="minorHAnsi" w:hAnsiTheme="minorHAnsi" w:cstheme="minorHAnsi"/>
          <w:sz w:val="24"/>
          <w:szCs w:val="24"/>
        </w:rPr>
        <w:t xml:space="preserve"> </w:t>
      </w:r>
      <w:r w:rsidRPr="00E63DA2">
        <w:rPr>
          <w:rFonts w:asciiTheme="minorHAnsi" w:hAnsiTheme="minorHAnsi" w:cstheme="minorHAnsi"/>
          <w:sz w:val="24"/>
          <w:szCs w:val="24"/>
        </w:rPr>
        <w:t>class</w:t>
      </w:r>
      <w:r>
        <w:rPr>
          <w:rFonts w:asciiTheme="minorHAnsi" w:hAnsiTheme="minorHAnsi" w:cstheme="minorHAnsi"/>
          <w:sz w:val="24"/>
          <w:szCs w:val="24"/>
        </w:rPr>
        <w:t xml:space="preserve"> O</w:t>
      </w:r>
      <w:r w:rsidRPr="00E63DA2">
        <w:rPr>
          <w:rFonts w:asciiTheme="minorHAnsi" w:hAnsiTheme="minorHAnsi" w:cstheme="minorHAnsi"/>
          <w:sz w:val="24"/>
          <w:szCs w:val="24"/>
        </w:rPr>
        <w:t>pportunities</w:t>
      </w:r>
      <w:r>
        <w:rPr>
          <w:rFonts w:asciiTheme="minorHAnsi" w:hAnsiTheme="minorHAnsi" w:cstheme="minorHAnsi"/>
          <w:sz w:val="24"/>
          <w:szCs w:val="24"/>
        </w:rPr>
        <w:t xml:space="preserve">; si è previsto, inoltre, </w:t>
      </w:r>
      <w:r w:rsidRPr="00E63DA2">
        <w:rPr>
          <w:rFonts w:asciiTheme="minorHAnsi" w:hAnsiTheme="minorHAnsi" w:cstheme="minorHAnsi"/>
          <w:sz w:val="24"/>
          <w:szCs w:val="24"/>
        </w:rPr>
        <w:t>che la Direzione Investimenti di CheBanca! possa procedere a delle correzioni qualitative sulla base di informazioni di maggiore dettaglio rese disponibili della società prodotto.</w:t>
      </w:r>
      <w:r>
        <w:rPr>
          <w:rFonts w:asciiTheme="minorHAnsi" w:hAnsiTheme="minorHAnsi" w:cstheme="minorHAnsi"/>
          <w:sz w:val="24"/>
          <w:szCs w:val="24"/>
        </w:rPr>
        <w:t xml:space="preserve"> Non si è, dunque, ritenuto opportuno procedere alla ricostruzione con proxy di mercato delle serie storiche mancanti in quanto tale soluzione è sostanzialmente equivalente ad una mappatura manuale dei fondi sulla base di informazioni qualitative.</w:t>
      </w:r>
    </w:p>
    <w:p w:rsidR="008E5C3C" w:rsidRDefault="008E5C3C" w:rsidP="008E5C3C">
      <w:pPr>
        <w:spacing w:line="360" w:lineRule="auto"/>
        <w:jc w:val="both"/>
        <w:rPr>
          <w:rFonts w:asciiTheme="minorHAnsi" w:hAnsiTheme="minorHAnsi" w:cstheme="minorHAnsi"/>
          <w:sz w:val="24"/>
          <w:szCs w:val="24"/>
        </w:rPr>
      </w:pPr>
    </w:p>
    <w:p w:rsidR="008E5C3C" w:rsidRDefault="008E5C3C" w:rsidP="008E5C3C">
      <w:pPr>
        <w:spacing w:line="360" w:lineRule="auto"/>
        <w:jc w:val="both"/>
        <w:rPr>
          <w:rFonts w:asciiTheme="minorHAnsi" w:hAnsiTheme="minorHAnsi" w:cstheme="minorHAnsi"/>
          <w:sz w:val="24"/>
          <w:szCs w:val="24"/>
        </w:rPr>
      </w:pPr>
      <w:r>
        <w:rPr>
          <w:rFonts w:asciiTheme="minorHAnsi" w:hAnsiTheme="minorHAnsi" w:cstheme="minorHAnsi"/>
          <w:sz w:val="24"/>
          <w:szCs w:val="24"/>
        </w:rPr>
        <w:t>Ai fini della ricostruzione della composizione dei fondi la style analysis è stata condotta rispetto ai seguenti indici:</w:t>
      </w:r>
    </w:p>
    <w:p w:rsidR="008E5C3C" w:rsidRDefault="008E5C3C" w:rsidP="008E5C3C">
      <w:pPr>
        <w:spacing w:line="360" w:lineRule="auto"/>
        <w:jc w:val="both"/>
        <w:rPr>
          <w:rFonts w:asciiTheme="minorHAnsi" w:hAnsiTheme="minorHAnsi" w:cstheme="minorHAnsi"/>
          <w:sz w:val="24"/>
          <w:szCs w:val="24"/>
        </w:rPr>
      </w:pPr>
    </w:p>
    <w:p w:rsidR="008E5C3C" w:rsidRDefault="008E5C3C" w:rsidP="008E5C3C">
      <w:pPr>
        <w:spacing w:line="360" w:lineRule="auto"/>
        <w:jc w:val="both"/>
        <w:rPr>
          <w:rFonts w:asciiTheme="minorHAnsi" w:hAnsiTheme="minorHAnsi" w:cstheme="minorHAnsi"/>
          <w:sz w:val="24"/>
          <w:szCs w:val="24"/>
        </w:rPr>
      </w:pPr>
    </w:p>
    <w:p w:rsidR="008E5C3C" w:rsidRDefault="008E5C3C" w:rsidP="008E5C3C">
      <w:pPr>
        <w:spacing w:line="360" w:lineRule="auto"/>
        <w:jc w:val="both"/>
        <w:rPr>
          <w:rFonts w:asciiTheme="minorHAnsi" w:hAnsiTheme="minorHAnsi" w:cstheme="minorHAnsi"/>
          <w:sz w:val="24"/>
          <w:szCs w:val="24"/>
        </w:rPr>
      </w:pPr>
    </w:p>
    <w:p w:rsidR="008E5C3C" w:rsidRDefault="008E5C3C" w:rsidP="008E5C3C">
      <w:pPr>
        <w:spacing w:line="360" w:lineRule="auto"/>
        <w:jc w:val="both"/>
        <w:rPr>
          <w:rFonts w:asciiTheme="minorHAnsi" w:hAnsiTheme="minorHAnsi" w:cstheme="minorHAnsi"/>
          <w:sz w:val="24"/>
          <w:szCs w:val="24"/>
        </w:rPr>
      </w:pPr>
    </w:p>
    <w:p w:rsidR="008E5C3C" w:rsidRDefault="008E5C3C" w:rsidP="008E5C3C">
      <w:pPr>
        <w:spacing w:line="360" w:lineRule="auto"/>
        <w:jc w:val="both"/>
        <w:rPr>
          <w:rFonts w:asciiTheme="minorHAnsi" w:hAnsiTheme="minorHAnsi" w:cstheme="minorHAnsi"/>
          <w:sz w:val="24"/>
          <w:szCs w:val="24"/>
        </w:rPr>
      </w:pPr>
    </w:p>
    <w:p w:rsidR="008E5C3C" w:rsidRDefault="008E5C3C" w:rsidP="008E5C3C">
      <w:pPr>
        <w:spacing w:line="360" w:lineRule="auto"/>
        <w:jc w:val="both"/>
        <w:rPr>
          <w:rFonts w:asciiTheme="minorHAnsi" w:hAnsiTheme="minorHAnsi" w:cstheme="minorHAnsi"/>
          <w:sz w:val="24"/>
          <w:szCs w:val="24"/>
        </w:rPr>
      </w:pPr>
    </w:p>
    <w:tbl>
      <w:tblPr>
        <w:tblW w:w="9371" w:type="dxa"/>
        <w:tblInd w:w="55" w:type="dxa"/>
        <w:tblCellMar>
          <w:left w:w="70" w:type="dxa"/>
          <w:right w:w="70" w:type="dxa"/>
        </w:tblCellMar>
        <w:tblLook w:val="04A0" w:firstRow="1" w:lastRow="0" w:firstColumn="1" w:lastColumn="0" w:noHBand="0" w:noVBand="1"/>
      </w:tblPr>
      <w:tblGrid>
        <w:gridCol w:w="2023"/>
        <w:gridCol w:w="2709"/>
        <w:gridCol w:w="1701"/>
        <w:gridCol w:w="981"/>
        <w:gridCol w:w="1957"/>
      </w:tblGrid>
      <w:tr w:rsidR="008E5C3C" w:rsidRPr="000328F5" w:rsidTr="008E5C3C">
        <w:trPr>
          <w:trHeight w:val="1200"/>
        </w:trPr>
        <w:tc>
          <w:tcPr>
            <w:tcW w:w="20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ASSET CLASS</w:t>
            </w:r>
          </w:p>
        </w:tc>
        <w:tc>
          <w:tcPr>
            <w:tcW w:w="2709" w:type="dxa"/>
            <w:tcBorders>
              <w:top w:val="single" w:sz="4" w:space="0" w:color="auto"/>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BENCHMARK</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TICKER BLOOMBERG</w:t>
            </w:r>
          </w:p>
        </w:tc>
        <w:tc>
          <w:tcPr>
            <w:tcW w:w="981" w:type="dxa"/>
            <w:tcBorders>
              <w:top w:val="single" w:sz="4" w:space="0" w:color="auto"/>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DIVISA DI SCARICO</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b/>
                <w:bCs/>
                <w:color w:val="000000"/>
                <w:sz w:val="22"/>
                <w:szCs w:val="22"/>
                <w:lang w:eastAsia="it-IT"/>
              </w:rPr>
            </w:pPr>
            <w:r w:rsidRPr="000328F5">
              <w:rPr>
                <w:rFonts w:ascii="Calibri" w:hAnsi="Calibri" w:cs="Calibri"/>
                <w:b/>
                <w:bCs/>
                <w:color w:val="000000"/>
                <w:sz w:val="22"/>
                <w:szCs w:val="22"/>
                <w:lang w:eastAsia="it-IT"/>
              </w:rPr>
              <w:t>CAMBIO UTILIZZATO (TICKER BLOOMBERG)</w:t>
            </w:r>
          </w:p>
        </w:tc>
      </w:tr>
      <w:tr w:rsidR="008E5C3C" w:rsidRPr="000328F5" w:rsidTr="008E5C3C">
        <w:trPr>
          <w:trHeight w:val="3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Monetario in Euro</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Citigroup 3 months</w:t>
            </w:r>
            <w:r w:rsidR="004B2848">
              <w:rPr>
                <w:rFonts w:ascii="Calibri" w:hAnsi="Calibri" w:cs="Calibri"/>
                <w:color w:val="000000"/>
                <w:sz w:val="22"/>
                <w:szCs w:val="22"/>
                <w:lang w:eastAsia="it-IT"/>
              </w:rPr>
              <w:t xml:space="preserve"> </w:t>
            </w:r>
            <w:r w:rsidRPr="000328F5">
              <w:rPr>
                <w:rFonts w:ascii="Calibri" w:hAnsi="Calibri" w:cs="Calibri"/>
                <w:color w:val="000000"/>
                <w:sz w:val="22"/>
                <w:szCs w:val="22"/>
                <w:lang w:eastAsia="it-IT"/>
              </w:rPr>
              <w:t>Eurodeposit</w:t>
            </w:r>
            <w:r w:rsidR="004B2848">
              <w:rPr>
                <w:rFonts w:ascii="Calibri" w:hAnsi="Calibri" w:cs="Calibri"/>
                <w:color w:val="000000"/>
                <w:sz w:val="22"/>
                <w:szCs w:val="22"/>
                <w:lang w:eastAsia="it-IT"/>
              </w:rPr>
              <w:t>*</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6E22B6" w:rsidRDefault="006E22B6" w:rsidP="002E47C5">
            <w:pPr>
              <w:autoSpaceDE/>
              <w:autoSpaceDN/>
              <w:adjustRightInd/>
              <w:rPr>
                <w:rFonts w:ascii="Calibri" w:hAnsi="Calibri" w:cs="Calibri"/>
                <w:sz w:val="22"/>
                <w:szCs w:val="22"/>
                <w:highlight w:val="yellow"/>
                <w:lang w:eastAsia="it-IT"/>
              </w:rPr>
            </w:pPr>
            <w:r w:rsidRPr="006E22B6">
              <w:rPr>
                <w:rFonts w:ascii="Calibri" w:hAnsi="Calibri" w:cs="Calibri"/>
                <w:sz w:val="22"/>
                <w:szCs w:val="22"/>
                <w:lang w:eastAsia="it-IT"/>
              </w:rPr>
              <w:t>SBWMEU3L</w:t>
            </w:r>
            <w:r w:rsidR="00AD3790">
              <w:rPr>
                <w:rFonts w:ascii="Calibri" w:hAnsi="Calibri" w:cs="Calibri"/>
                <w:sz w:val="22"/>
                <w:szCs w:val="22"/>
                <w:lang w:eastAsia="it-IT"/>
              </w:rPr>
              <w:t xml:space="preserve">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8E5C3C" w:rsidRPr="000328F5" w:rsidTr="008E5C3C">
        <w:trPr>
          <w:trHeight w:val="9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in Euro Tutte le Scadenze</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Euro Broad market</w:t>
            </w:r>
            <w:r w:rsidR="004B2848">
              <w:rPr>
                <w:rFonts w:ascii="Calibri" w:hAnsi="Calibri" w:cs="Calibri"/>
                <w:color w:val="000000"/>
                <w:sz w:val="22"/>
                <w:szCs w:val="22"/>
                <w:lang w:eastAsia="it-IT"/>
              </w:rPr>
              <w:t>*</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EMU0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8E5C3C" w:rsidRPr="000328F5" w:rsidTr="008E5C3C">
        <w:trPr>
          <w:trHeight w:val="6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in Euro Breve Termine</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val="en-US" w:eastAsia="it-IT"/>
              </w:rPr>
            </w:pPr>
            <w:r w:rsidRPr="000328F5">
              <w:rPr>
                <w:rFonts w:ascii="Calibri" w:hAnsi="Calibri" w:cs="Calibri"/>
                <w:color w:val="000000"/>
                <w:sz w:val="22"/>
                <w:szCs w:val="22"/>
                <w:lang w:val="en-US" w:eastAsia="it-IT"/>
              </w:rPr>
              <w:t>ML Euro Broad market 1-3 anni</w:t>
            </w:r>
            <w:r w:rsidR="004B2848">
              <w:rPr>
                <w:rFonts w:ascii="Calibri" w:hAnsi="Calibri" w:cs="Calibri"/>
                <w:color w:val="000000"/>
                <w:sz w:val="22"/>
                <w:szCs w:val="22"/>
                <w:lang w:val="en-US" w:eastAsia="it-IT"/>
              </w:rPr>
              <w:t>*</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EMU1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8E5C3C" w:rsidRPr="000328F5" w:rsidTr="008E5C3C">
        <w:trPr>
          <w:trHeight w:val="9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Globale Paesi Sviluppati</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ML Global Broad</w:t>
            </w:r>
            <w:r w:rsidR="004B2848">
              <w:rPr>
                <w:rFonts w:ascii="Calibri" w:hAnsi="Calibri" w:cs="Calibri"/>
                <w:color w:val="000000"/>
                <w:sz w:val="22"/>
                <w:szCs w:val="22"/>
                <w:lang w:eastAsia="it-IT"/>
              </w:rPr>
              <w:t>*</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GBMI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8E5C3C" w:rsidRPr="000328F5" w:rsidTr="008E5C3C">
        <w:trPr>
          <w:trHeight w:val="6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Paesi Emergenti</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JPM EMBI Global Div. Composite</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JPGCCOMP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322EA3" w:rsidP="002E47C5">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t>USD</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C5468C" w:rsidP="002E47C5">
            <w:pPr>
              <w:autoSpaceDE/>
              <w:autoSpaceDN/>
              <w:adjustRightInd/>
              <w:rPr>
                <w:rFonts w:ascii="Calibri" w:hAnsi="Calibri" w:cs="Calibri"/>
                <w:color w:val="000000"/>
                <w:sz w:val="22"/>
                <w:szCs w:val="22"/>
                <w:lang w:eastAsia="it-IT"/>
              </w:rPr>
            </w:pPr>
            <w:r w:rsidRPr="00C5468C">
              <w:rPr>
                <w:rFonts w:ascii="Calibri" w:hAnsi="Calibri" w:cs="Calibri"/>
                <w:sz w:val="22"/>
                <w:szCs w:val="22"/>
                <w:lang w:eastAsia="it-IT"/>
              </w:rPr>
              <w:t>EURUSD ECB curncy</w:t>
            </w:r>
          </w:p>
        </w:tc>
      </w:tr>
      <w:tr w:rsidR="008E5C3C" w:rsidRPr="000328F5" w:rsidTr="008E5C3C">
        <w:trPr>
          <w:trHeight w:val="6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Obbligazionario High Yield</w:t>
            </w:r>
          </w:p>
        </w:tc>
        <w:tc>
          <w:tcPr>
            <w:tcW w:w="2709" w:type="dxa"/>
            <w:tcBorders>
              <w:top w:val="nil"/>
              <w:left w:val="nil"/>
              <w:bottom w:val="single" w:sz="4" w:space="0" w:color="auto"/>
              <w:right w:val="single" w:sz="4" w:space="0" w:color="auto"/>
            </w:tcBorders>
            <w:shd w:val="clear" w:color="auto" w:fill="auto"/>
            <w:vAlign w:val="center"/>
            <w:hideMark/>
          </w:tcPr>
          <w:p w:rsidR="00322EA3" w:rsidRDefault="008E5C3C" w:rsidP="00322EA3">
            <w:pPr>
              <w:autoSpaceDE/>
              <w:autoSpaceDN/>
              <w:adjustRightInd/>
              <w:rPr>
                <w:rFonts w:ascii="Calibri" w:hAnsi="Calibri" w:cs="Calibri"/>
                <w:color w:val="000000"/>
                <w:sz w:val="22"/>
                <w:szCs w:val="22"/>
                <w:lang w:val="en-US" w:eastAsia="it-IT"/>
              </w:rPr>
            </w:pPr>
            <w:r w:rsidRPr="00800406">
              <w:rPr>
                <w:rFonts w:ascii="Calibri" w:hAnsi="Calibri" w:cs="Calibri"/>
                <w:color w:val="000000"/>
                <w:sz w:val="22"/>
                <w:szCs w:val="22"/>
                <w:lang w:val="en-US" w:eastAsia="it-IT"/>
              </w:rPr>
              <w:t>ML Euro High Yield</w:t>
            </w:r>
          </w:p>
          <w:p w:rsidR="008E5C3C" w:rsidRPr="00800406" w:rsidRDefault="008E5C3C" w:rsidP="00322EA3">
            <w:pPr>
              <w:autoSpaceDE/>
              <w:autoSpaceDN/>
              <w:adjustRightInd/>
              <w:rPr>
                <w:rFonts w:ascii="Calibri" w:hAnsi="Calibri" w:cs="Calibri"/>
                <w:color w:val="000000"/>
                <w:sz w:val="22"/>
                <w:szCs w:val="22"/>
                <w:lang w:val="en-US" w:eastAsia="it-IT"/>
              </w:rPr>
            </w:pPr>
            <w:r w:rsidRPr="00800406">
              <w:rPr>
                <w:rFonts w:ascii="Calibri" w:hAnsi="Calibri" w:cs="Calibri"/>
                <w:color w:val="000000"/>
                <w:sz w:val="22"/>
                <w:szCs w:val="22"/>
                <w:lang w:val="en-US" w:eastAsia="it-IT"/>
              </w:rPr>
              <w:t>ML US High Yield Master II</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Default="00322EA3" w:rsidP="002E47C5">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t>HE00</w:t>
            </w:r>
            <w:r w:rsidR="00AD3790">
              <w:rPr>
                <w:rFonts w:ascii="Calibri" w:hAnsi="Calibri" w:cs="Calibri"/>
                <w:color w:val="000000"/>
                <w:sz w:val="22"/>
                <w:szCs w:val="22"/>
                <w:lang w:eastAsia="it-IT"/>
              </w:rPr>
              <w:t xml:space="preserve"> </w:t>
            </w:r>
            <w:r w:rsidR="00AD3790">
              <w:rPr>
                <w:rFonts w:ascii="Calibri" w:hAnsi="Calibri" w:cs="Calibri"/>
                <w:sz w:val="22"/>
                <w:szCs w:val="22"/>
                <w:lang w:eastAsia="it-IT"/>
              </w:rPr>
              <w:t>Index</w:t>
            </w:r>
          </w:p>
          <w:p w:rsidR="00322EA3" w:rsidRPr="000328F5" w:rsidRDefault="00D8057B" w:rsidP="00D8057B">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t>H0A0</w:t>
            </w:r>
            <w:r w:rsidR="00AD3790">
              <w:rPr>
                <w:rFonts w:ascii="Calibri" w:hAnsi="Calibri" w:cs="Calibri"/>
                <w:color w:val="000000"/>
                <w:sz w:val="22"/>
                <w:szCs w:val="22"/>
                <w:lang w:eastAsia="it-IT"/>
              </w:rPr>
              <w:t xml:space="preserve"> </w:t>
            </w:r>
            <w:r w:rsidR="00AD3790">
              <w:rPr>
                <w:rFonts w:ascii="Calibri" w:hAnsi="Calibri" w:cs="Calibri"/>
                <w:sz w:val="22"/>
                <w:szCs w:val="22"/>
                <w:lang w:eastAsia="it-IT"/>
              </w:rPr>
              <w:t>Index</w:t>
            </w:r>
          </w:p>
        </w:tc>
        <w:tc>
          <w:tcPr>
            <w:tcW w:w="981" w:type="dxa"/>
            <w:tcBorders>
              <w:top w:val="nil"/>
              <w:left w:val="nil"/>
              <w:bottom w:val="single" w:sz="4" w:space="0" w:color="auto"/>
              <w:right w:val="single" w:sz="4" w:space="0" w:color="auto"/>
            </w:tcBorders>
            <w:shd w:val="clear" w:color="auto" w:fill="auto"/>
            <w:vAlign w:val="center"/>
            <w:hideMark/>
          </w:tcPr>
          <w:p w:rsidR="008E5C3C"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p w:rsidR="00322EA3" w:rsidRPr="000328F5" w:rsidRDefault="00D8057B" w:rsidP="002E47C5">
            <w:pPr>
              <w:autoSpaceDE/>
              <w:autoSpaceDN/>
              <w:adjustRightInd/>
              <w:rPr>
                <w:rFonts w:ascii="Calibri" w:hAnsi="Calibri" w:cs="Calibri"/>
                <w:color w:val="000000"/>
                <w:sz w:val="22"/>
                <w:szCs w:val="22"/>
                <w:lang w:eastAsia="it-IT"/>
              </w:rPr>
            </w:pPr>
            <w:r>
              <w:rPr>
                <w:rFonts w:ascii="Calibri" w:hAnsi="Calibri" w:cs="Calibri"/>
                <w:color w:val="000000"/>
                <w:sz w:val="22"/>
                <w:szCs w:val="22"/>
                <w:lang w:eastAsia="it-IT"/>
              </w:rPr>
              <w:t>USD</w:t>
            </w:r>
          </w:p>
        </w:tc>
        <w:tc>
          <w:tcPr>
            <w:tcW w:w="1957" w:type="dxa"/>
            <w:tcBorders>
              <w:top w:val="nil"/>
              <w:left w:val="nil"/>
              <w:bottom w:val="single" w:sz="4" w:space="0" w:color="auto"/>
              <w:right w:val="single" w:sz="4" w:space="0" w:color="auto"/>
            </w:tcBorders>
            <w:shd w:val="clear" w:color="auto" w:fill="auto"/>
            <w:vAlign w:val="center"/>
            <w:hideMark/>
          </w:tcPr>
          <w:p w:rsidR="008E5C3C" w:rsidRDefault="008E5C3C" w:rsidP="002E47C5">
            <w:pPr>
              <w:autoSpaceDE/>
              <w:autoSpaceDN/>
              <w:adjustRightInd/>
              <w:rPr>
                <w:rFonts w:ascii="Calibri" w:hAnsi="Calibri" w:cs="Calibri"/>
                <w:color w:val="000000"/>
                <w:sz w:val="22"/>
                <w:szCs w:val="22"/>
                <w:lang w:eastAsia="it-IT"/>
              </w:rPr>
            </w:pPr>
          </w:p>
          <w:p w:rsidR="00322EA3" w:rsidRPr="000328F5" w:rsidRDefault="00322EA3" w:rsidP="002E47C5">
            <w:pPr>
              <w:autoSpaceDE/>
              <w:autoSpaceDN/>
              <w:adjustRightInd/>
              <w:rPr>
                <w:rFonts w:ascii="Calibri" w:hAnsi="Calibri" w:cs="Calibri"/>
                <w:color w:val="000000"/>
                <w:sz w:val="22"/>
                <w:szCs w:val="22"/>
                <w:lang w:eastAsia="it-IT"/>
              </w:rPr>
            </w:pPr>
          </w:p>
        </w:tc>
      </w:tr>
      <w:tr w:rsidR="008E5C3C" w:rsidRPr="000328F5" w:rsidTr="008E5C3C">
        <w:trPr>
          <w:trHeight w:val="3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Europa</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Europe</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MSEREURP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8E5C3C" w:rsidRPr="000328F5" w:rsidTr="008E5C3C">
        <w:trPr>
          <w:trHeight w:val="6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Nord America</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North America</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MSERNA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8E5C3C" w:rsidRPr="000328F5" w:rsidTr="008E5C3C">
        <w:trPr>
          <w:trHeight w:val="3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Pacifico</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Pacific</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MSERP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r w:rsidR="008E5C3C" w:rsidRPr="000328F5" w:rsidTr="008E5C3C">
        <w:trPr>
          <w:trHeight w:val="600"/>
        </w:trPr>
        <w:tc>
          <w:tcPr>
            <w:tcW w:w="2023" w:type="dxa"/>
            <w:tcBorders>
              <w:top w:val="nil"/>
              <w:left w:val="single" w:sz="4" w:space="0" w:color="auto"/>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Azionario Paesi Emergenti</w:t>
            </w:r>
          </w:p>
        </w:tc>
        <w:tc>
          <w:tcPr>
            <w:tcW w:w="2709"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MSCI Emerging</w:t>
            </w:r>
            <w:r w:rsidR="00E947AD">
              <w:rPr>
                <w:rFonts w:ascii="Calibri" w:hAnsi="Calibri" w:cs="Calibri"/>
                <w:color w:val="000000"/>
                <w:sz w:val="22"/>
                <w:szCs w:val="22"/>
                <w:lang w:eastAsia="it-IT"/>
              </w:rPr>
              <w:t xml:space="preserve"> </w:t>
            </w:r>
            <w:r w:rsidRPr="000328F5">
              <w:rPr>
                <w:rFonts w:ascii="Calibri" w:hAnsi="Calibri" w:cs="Calibri"/>
                <w:color w:val="000000"/>
                <w:sz w:val="22"/>
                <w:szCs w:val="22"/>
                <w:lang w:eastAsia="it-IT"/>
              </w:rPr>
              <w:t>Markets</w:t>
            </w:r>
          </w:p>
        </w:tc>
        <w:tc>
          <w:tcPr>
            <w:tcW w:w="1701" w:type="dxa"/>
            <w:tcBorders>
              <w:top w:val="nil"/>
              <w:left w:val="nil"/>
              <w:bottom w:val="single" w:sz="4" w:space="0" w:color="auto"/>
              <w:right w:val="single" w:sz="4" w:space="0" w:color="auto"/>
            </w:tcBorders>
            <w:shd w:val="clear" w:color="auto" w:fill="auto"/>
            <w:noWrap/>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M0EF Index</w:t>
            </w:r>
          </w:p>
        </w:tc>
        <w:tc>
          <w:tcPr>
            <w:tcW w:w="981"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EUR</w:t>
            </w:r>
          </w:p>
        </w:tc>
        <w:tc>
          <w:tcPr>
            <w:tcW w:w="1957" w:type="dxa"/>
            <w:tcBorders>
              <w:top w:val="nil"/>
              <w:left w:val="nil"/>
              <w:bottom w:val="single" w:sz="4" w:space="0" w:color="auto"/>
              <w:right w:val="single" w:sz="4" w:space="0" w:color="auto"/>
            </w:tcBorders>
            <w:shd w:val="clear" w:color="auto" w:fill="auto"/>
            <w:vAlign w:val="center"/>
            <w:hideMark/>
          </w:tcPr>
          <w:p w:rsidR="008E5C3C" w:rsidRPr="000328F5" w:rsidRDefault="008E5C3C" w:rsidP="002E47C5">
            <w:pPr>
              <w:autoSpaceDE/>
              <w:autoSpaceDN/>
              <w:adjustRightInd/>
              <w:rPr>
                <w:rFonts w:ascii="Calibri" w:hAnsi="Calibri" w:cs="Calibri"/>
                <w:color w:val="000000"/>
                <w:sz w:val="22"/>
                <w:szCs w:val="22"/>
                <w:lang w:eastAsia="it-IT"/>
              </w:rPr>
            </w:pPr>
            <w:r w:rsidRPr="000328F5">
              <w:rPr>
                <w:rFonts w:ascii="Calibri" w:hAnsi="Calibri" w:cs="Calibri"/>
                <w:color w:val="000000"/>
                <w:sz w:val="22"/>
                <w:szCs w:val="22"/>
                <w:lang w:eastAsia="it-IT"/>
              </w:rPr>
              <w:t>-</w:t>
            </w:r>
          </w:p>
        </w:tc>
      </w:tr>
    </w:tbl>
    <w:p w:rsidR="004B2848" w:rsidRPr="004B2848" w:rsidRDefault="004B2848" w:rsidP="008E5C3C">
      <w:pPr>
        <w:spacing w:line="360" w:lineRule="auto"/>
        <w:jc w:val="both"/>
        <w:rPr>
          <w:rFonts w:asciiTheme="minorHAnsi" w:hAnsiTheme="minorHAnsi" w:cstheme="minorHAnsi"/>
          <w:sz w:val="24"/>
          <w:szCs w:val="24"/>
        </w:rPr>
      </w:pPr>
      <w:r w:rsidRPr="004B2848">
        <w:rPr>
          <w:rFonts w:asciiTheme="minorHAnsi" w:hAnsiTheme="minorHAnsi" w:cstheme="minorHAnsi"/>
          <w:sz w:val="24"/>
          <w:szCs w:val="24"/>
        </w:rPr>
        <w:t>(*</w:t>
      </w:r>
      <w:r w:rsidRPr="002E47C5">
        <w:rPr>
          <w:rFonts w:asciiTheme="minorHAnsi" w:hAnsiTheme="minorHAnsi" w:cstheme="minorHAnsi"/>
          <w:i/>
          <w:sz w:val="24"/>
          <w:szCs w:val="24"/>
        </w:rPr>
        <w:t>eventualmente sostituiti con i corrispondenti indici JPM per accrescere la significatività dell’analisi</w:t>
      </w:r>
      <w:r>
        <w:rPr>
          <w:rFonts w:asciiTheme="minorHAnsi" w:hAnsiTheme="minorHAnsi" w:cstheme="minorHAnsi"/>
          <w:sz w:val="24"/>
          <w:szCs w:val="24"/>
        </w:rPr>
        <w:t>)</w:t>
      </w:r>
      <w:r w:rsidR="002E47C5">
        <w:rPr>
          <w:rFonts w:asciiTheme="minorHAnsi" w:hAnsiTheme="minorHAnsi" w:cstheme="minorHAnsi"/>
          <w:sz w:val="24"/>
          <w:szCs w:val="24"/>
        </w:rPr>
        <w:t>.</w:t>
      </w:r>
    </w:p>
    <w:p w:rsidR="008E5C3C" w:rsidRDefault="008E5C3C" w:rsidP="008E5C3C">
      <w:pPr>
        <w:spacing w:line="360" w:lineRule="auto"/>
        <w:jc w:val="both"/>
        <w:rPr>
          <w:rFonts w:asciiTheme="minorHAnsi" w:eastAsiaTheme="minorHAnsi" w:hAnsiTheme="minorHAnsi" w:cstheme="minorHAnsi"/>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16</w:t>
      </w:r>
      <w:r w:rsidR="004B2848">
        <w:rPr>
          <w:rFonts w:asciiTheme="minorHAnsi" w:hAnsiTheme="minorHAnsi" w:cstheme="minorHAnsi"/>
          <w:b/>
          <w:sz w:val="24"/>
          <w:szCs w:val="24"/>
        </w:rPr>
        <w:t xml:space="preserve"> </w:t>
      </w:r>
    </w:p>
    <w:p w:rsidR="008E5C3C" w:rsidRDefault="008E5C3C" w:rsidP="008E5C3C">
      <w:pPr>
        <w:spacing w:line="360" w:lineRule="auto"/>
        <w:jc w:val="both"/>
        <w:rPr>
          <w:rFonts w:asciiTheme="minorHAnsi" w:hAnsiTheme="minorHAnsi" w:cstheme="minorHAnsi"/>
          <w:sz w:val="24"/>
          <w:szCs w:val="24"/>
        </w:rPr>
      </w:pPr>
    </w:p>
    <w:p w:rsidR="008E5C3C" w:rsidRPr="001964E6" w:rsidRDefault="008E5C3C" w:rsidP="008E5C3C">
      <w:pPr>
        <w:spacing w:line="360" w:lineRule="auto"/>
        <w:jc w:val="both"/>
        <w:rPr>
          <w:rFonts w:asciiTheme="minorHAnsi" w:hAnsiTheme="minorHAnsi" w:cstheme="minorHAnsi"/>
          <w:sz w:val="24"/>
          <w:szCs w:val="24"/>
        </w:rPr>
      </w:pPr>
      <w:r w:rsidRPr="001964E6">
        <w:rPr>
          <w:rFonts w:asciiTheme="minorHAnsi" w:hAnsiTheme="minorHAnsi" w:cstheme="minorHAnsi"/>
          <w:sz w:val="24"/>
          <w:szCs w:val="24"/>
        </w:rPr>
        <w:t>La mappatura così ottenuta costituisce la base per l’attribuzione di ogni fondo ad una specifica asset</w:t>
      </w:r>
      <w:r>
        <w:rPr>
          <w:rFonts w:asciiTheme="minorHAnsi" w:hAnsiTheme="minorHAnsi" w:cstheme="minorHAnsi"/>
          <w:sz w:val="24"/>
          <w:szCs w:val="24"/>
        </w:rPr>
        <w:t xml:space="preserve"> </w:t>
      </w:r>
      <w:r w:rsidRPr="001964E6">
        <w:rPr>
          <w:rFonts w:asciiTheme="minorHAnsi" w:hAnsiTheme="minorHAnsi" w:cstheme="minorHAnsi"/>
          <w:sz w:val="24"/>
          <w:szCs w:val="24"/>
        </w:rPr>
        <w:t>class, al fine di consentire una rappresentazione immediata del portafoglio prodotti in un corrispondente mix di mercati. Per accrescere la facil</w:t>
      </w:r>
      <w:r>
        <w:rPr>
          <w:rFonts w:asciiTheme="minorHAnsi" w:hAnsiTheme="minorHAnsi" w:cstheme="minorHAnsi"/>
          <w:sz w:val="24"/>
          <w:szCs w:val="24"/>
        </w:rPr>
        <w:t>ità d’uso dell’applicativo, Che</w:t>
      </w:r>
      <w:r w:rsidRPr="001964E6">
        <w:rPr>
          <w:rFonts w:asciiTheme="minorHAnsi" w:hAnsiTheme="minorHAnsi" w:cstheme="minorHAnsi"/>
          <w:sz w:val="24"/>
          <w:szCs w:val="24"/>
        </w:rPr>
        <w:t xml:space="preserve">Banca! ha infatti preferito ricorrere ad una corrispondenza biunivoca tra prodotto e mercato e, conseguentemente, si è reso necessario definire delle regole di appartenenza dei fondi alle singole </w:t>
      </w:r>
      <w:r>
        <w:rPr>
          <w:rFonts w:asciiTheme="minorHAnsi" w:hAnsiTheme="minorHAnsi" w:cstheme="minorHAnsi"/>
          <w:sz w:val="24"/>
          <w:szCs w:val="24"/>
        </w:rPr>
        <w:t>asset class</w:t>
      </w:r>
      <w:r w:rsidRPr="001964E6">
        <w:rPr>
          <w:rFonts w:asciiTheme="minorHAnsi" w:hAnsiTheme="minorHAnsi" w:cstheme="minorHAnsi"/>
          <w:sz w:val="24"/>
          <w:szCs w:val="24"/>
        </w:rPr>
        <w:t>; tali regole sono qui di seguito specificate:</w:t>
      </w:r>
    </w:p>
    <w:p w:rsidR="008E5C3C" w:rsidRPr="00AB655E"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1964E6">
        <w:rPr>
          <w:rFonts w:asciiTheme="minorHAnsi" w:hAnsiTheme="minorHAnsi" w:cstheme="minorHAnsi"/>
          <w:sz w:val="24"/>
          <w:szCs w:val="24"/>
        </w:rPr>
        <w:t>Monetario Euro: tutti i fondi che hanno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 che presentano caratteristiche tali da essere considerati coerenti con il mercato monetario area Euro;</w:t>
      </w:r>
    </w:p>
    <w:p w:rsidR="008E5C3C" w:rsidRPr="00AB655E"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1964E6">
        <w:rPr>
          <w:rFonts w:asciiTheme="minorHAnsi" w:hAnsiTheme="minorHAnsi" w:cstheme="minorHAnsi"/>
          <w:sz w:val="24"/>
          <w:szCs w:val="24"/>
        </w:rPr>
        <w:t>Obbligazionario Euro Breve termine: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p>
    <w:p w:rsidR="008E5C3C" w:rsidRPr="00AB655E"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1964E6">
        <w:rPr>
          <w:rFonts w:asciiTheme="minorHAnsi" w:hAnsiTheme="minorHAnsi" w:cstheme="minorHAnsi"/>
          <w:sz w:val="24"/>
          <w:szCs w:val="24"/>
        </w:rPr>
        <w:lastRenderedPageBreak/>
        <w:t>Obbligazionario Euro: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p>
    <w:p w:rsidR="008E5C3C" w:rsidRPr="00AB655E"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1964E6">
        <w:rPr>
          <w:rFonts w:asciiTheme="minorHAnsi" w:hAnsiTheme="minorHAnsi" w:cstheme="minorHAnsi"/>
          <w:sz w:val="24"/>
          <w:szCs w:val="24"/>
        </w:rPr>
        <w:t>Obbligazionario High Yield: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HY Euro o HY US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p>
    <w:p w:rsidR="008E5C3C" w:rsidRPr="00AB655E"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1964E6">
        <w:rPr>
          <w:rFonts w:asciiTheme="minorHAnsi" w:hAnsiTheme="minorHAnsi" w:cstheme="minorHAnsi"/>
          <w:sz w:val="24"/>
          <w:szCs w:val="24"/>
        </w:rPr>
        <w:t>Obbligazionario Globale: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Obbligazionario Paesi Emergenti: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r w:rsidRPr="00AB655E">
        <w:rPr>
          <w:rFonts w:asciiTheme="minorHAnsi" w:hAnsiTheme="minorHAnsi" w:cstheme="minorHAnsi"/>
          <w:sz w:val="24"/>
          <w:szCs w:val="24"/>
        </w:rPr>
        <w:t>;</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Azionario Europa: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Azionario Nord America: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 xml:space="preserve">2 </w:t>
      </w:r>
      <w:r w:rsidRPr="001964E6">
        <w:rPr>
          <w:rFonts w:asciiTheme="minorHAnsi" w:hAnsiTheme="minorHAnsi" w:cstheme="minorHAnsi"/>
          <w:sz w:val="24"/>
          <w:szCs w:val="24"/>
        </w:rPr>
        <w:t>della regressione superiore al 70%;</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Azionario Pacifico: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Azionario Paesi emergenti: tutti i fondi che presentano un’esposizione all’</w:t>
      </w:r>
      <w:r>
        <w:rPr>
          <w:rFonts w:asciiTheme="minorHAnsi" w:hAnsiTheme="minorHAnsi" w:cstheme="minorHAnsi"/>
          <w:sz w:val="24"/>
          <w:szCs w:val="24"/>
        </w:rPr>
        <w:t>asset class</w:t>
      </w:r>
      <w:r w:rsidRPr="001964E6">
        <w:rPr>
          <w:rFonts w:asciiTheme="minorHAnsi" w:hAnsiTheme="minorHAnsi" w:cstheme="minorHAnsi"/>
          <w:sz w:val="24"/>
          <w:szCs w:val="24"/>
        </w:rPr>
        <w:t xml:space="preserv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w:t>
      </w:r>
    </w:p>
    <w:p w:rsidR="008E5C3C" w:rsidRPr="001964E6"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 xml:space="preserve">Azionario Globale: tutti i fondi che presentano un’esposizione alle </w:t>
      </w:r>
      <w:r>
        <w:rPr>
          <w:rFonts w:asciiTheme="minorHAnsi" w:hAnsiTheme="minorHAnsi" w:cstheme="minorHAnsi"/>
          <w:sz w:val="24"/>
          <w:szCs w:val="24"/>
        </w:rPr>
        <w:t>asset class</w:t>
      </w:r>
      <w:r w:rsidRPr="001964E6">
        <w:rPr>
          <w:rFonts w:asciiTheme="minorHAnsi" w:hAnsiTheme="minorHAnsi" w:cstheme="minorHAnsi"/>
          <w:sz w:val="24"/>
          <w:szCs w:val="24"/>
        </w:rPr>
        <w:t xml:space="preserve"> azionarie superiore al 70% ed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della regressione superiore al 70%; inoltre, al fine di evitare una eccessiva esposizione su un unico mercato azionario, la somma dei valori assoluti delle differenze rispetto al mercato azionario mondiale non deve essere superiore ad una soglia pari, attualmente, al 50%;</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Flessibili a bassa volatilità: tutti i fondi che risultano avere una strategia non direzionale sulla base delle principali classificazioni (Morningstar, Quantalys, Lipper e Assogestioni) e che presentano una volatilità a tre anni inferiore al 4%;</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Flessibili a media volatilità: tutti i fondi che risultano avere una strategia non direzionale sulla base delle principali classificazioni (Morningstar, Quantalys, Lipper e Assogestioni) e che presentano una volatilità a tre anni compresa tra il 4% ed il 7% o che non hanno tre anni di vita;</w:t>
      </w:r>
    </w:p>
    <w:p w:rsidR="008E5C3C" w:rsidRPr="001964E6"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Flessibili ad alta volatilità: tutti i fondi che risultano avere una strategia non direzionale sulla base delle principali classificazioni (Morningstar, Quantalys, Lipper e Assogestioni) e che presentano una volatilità a tre anni superiore al 7%;</w:t>
      </w:r>
    </w:p>
    <w:p w:rsidR="008E5C3C" w:rsidRPr="001964E6"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lastRenderedPageBreak/>
        <w:t>Opportunities: tutti i fondi che presentano una strategia di investimento con un bias su specifici settori a prescindere dal risultato della style analysis e della eventuale caratterizzazione geografica.</w:t>
      </w:r>
    </w:p>
    <w:p w:rsidR="008E5C3C" w:rsidRPr="001964E6" w:rsidRDefault="008E5C3C" w:rsidP="008E5C3C">
      <w:pPr>
        <w:spacing w:line="360" w:lineRule="auto"/>
        <w:ind w:left="360"/>
        <w:jc w:val="both"/>
        <w:rPr>
          <w:rFonts w:asciiTheme="minorHAnsi" w:hAnsiTheme="minorHAnsi" w:cstheme="minorHAnsi"/>
          <w:sz w:val="24"/>
          <w:szCs w:val="24"/>
        </w:rPr>
      </w:pPr>
      <w:r w:rsidRPr="001964E6">
        <w:rPr>
          <w:rFonts w:asciiTheme="minorHAnsi" w:hAnsiTheme="minorHAnsi" w:cstheme="minorHAnsi"/>
          <w:sz w:val="24"/>
          <w:szCs w:val="24"/>
        </w:rPr>
        <w:t xml:space="preserve">Al fine di garantire il corretto funzionamento dell’applicativo è stato inoltre necessario definire delle </w:t>
      </w:r>
      <w:r>
        <w:rPr>
          <w:rFonts w:asciiTheme="minorHAnsi" w:hAnsiTheme="minorHAnsi" w:cstheme="minorHAnsi"/>
          <w:sz w:val="24"/>
          <w:szCs w:val="24"/>
        </w:rPr>
        <w:t>asset class</w:t>
      </w:r>
      <w:r w:rsidRPr="001964E6">
        <w:rPr>
          <w:rFonts w:asciiTheme="minorHAnsi" w:hAnsiTheme="minorHAnsi" w:cstheme="minorHAnsi"/>
          <w:sz w:val="24"/>
          <w:szCs w:val="24"/>
        </w:rPr>
        <w:t xml:space="preserve"> finalizzate alla lettura delle caratteristiche del portafoglio detenuto dal cliente che presentano le seguenti denominazioni:</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Altro azionario: tutti i fondi che presentano un’esposizione all’azionario superiore al 70% ma un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 xml:space="preserve"> inferiore al 70% e che non rientrano tra gli azionari globali;</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Altro obbligazionario: tutti i fondi che presentano un’esposizione all’obbligazionario High Yield e Obbligazionario Paesi emergenti superiore al 60% a prescindere dal livello di 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Bilanciati prudenti: tutti i fondi che presentano una esposizione all’obbligazionario (Euro breve termine, Euro e Globale) superiore al 50% ed una esposizione all’azionario superiore al 15%, a prescindere dall’R</w:t>
      </w:r>
      <w:r w:rsidRPr="00947B4E">
        <w:rPr>
          <w:rFonts w:asciiTheme="minorHAnsi" w:hAnsiTheme="minorHAnsi" w:cstheme="minorHAnsi"/>
          <w:sz w:val="24"/>
          <w:szCs w:val="24"/>
          <w:vertAlign w:val="superscript"/>
        </w:rPr>
        <w:t>2</w:t>
      </w:r>
      <w:r w:rsidRPr="001964E6">
        <w:rPr>
          <w:rFonts w:asciiTheme="minorHAnsi" w:hAnsiTheme="minorHAnsi" w:cstheme="minorHAnsi"/>
          <w:sz w:val="24"/>
          <w:szCs w:val="24"/>
        </w:rPr>
        <w:t>;</w:t>
      </w:r>
    </w:p>
    <w:p w:rsidR="008E5C3C" w:rsidRPr="00AB655E"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1964E6">
        <w:rPr>
          <w:rFonts w:asciiTheme="minorHAnsi" w:hAnsiTheme="minorHAnsi" w:cstheme="minorHAnsi"/>
          <w:sz w:val="24"/>
          <w:szCs w:val="24"/>
        </w:rPr>
        <w:t>Bilanciati moderati: tutti i fondi che presentano una esposizione all’obbligazionario (Euro breve termine, Euro e Globale) superiore al 25% ed una esposizione all’azionario superiore al 25%, a prescindere dall’R</w:t>
      </w:r>
      <w:r w:rsidRPr="00947B4E">
        <w:rPr>
          <w:rFonts w:asciiTheme="minorHAnsi" w:hAnsiTheme="minorHAnsi" w:cstheme="minorHAnsi"/>
          <w:sz w:val="24"/>
          <w:szCs w:val="24"/>
          <w:vertAlign w:val="superscript"/>
        </w:rPr>
        <w:t>2</w:t>
      </w:r>
      <w:r w:rsidRPr="00AB655E">
        <w:rPr>
          <w:rFonts w:asciiTheme="minorHAnsi" w:hAnsiTheme="minorHAnsi" w:cstheme="minorHAnsi"/>
          <w:sz w:val="24"/>
          <w:szCs w:val="24"/>
        </w:rPr>
        <w:t>.</w:t>
      </w:r>
    </w:p>
    <w:p w:rsidR="008E5C3C" w:rsidRDefault="008E5C3C" w:rsidP="008E5C3C">
      <w:pPr>
        <w:autoSpaceDE/>
        <w:autoSpaceDN/>
        <w:adjustRightInd/>
        <w:spacing w:line="360" w:lineRule="auto"/>
        <w:ind w:left="360"/>
        <w:jc w:val="both"/>
        <w:rPr>
          <w:rFonts w:asciiTheme="minorHAnsi" w:hAnsiTheme="minorHAnsi" w:cstheme="minorHAnsi"/>
          <w:sz w:val="24"/>
          <w:szCs w:val="24"/>
        </w:rPr>
      </w:pPr>
      <w:r>
        <w:rPr>
          <w:rFonts w:asciiTheme="minorHAnsi" w:hAnsiTheme="minorHAnsi" w:cstheme="minorHAnsi"/>
          <w:sz w:val="24"/>
          <w:szCs w:val="24"/>
        </w:rPr>
        <w:t>Anche queste asset class residuali sono rappresentabili da combinazioni di indici benchmark come dettagliato in Tabella 14</w:t>
      </w:r>
    </w:p>
    <w:p w:rsidR="008E5C3C" w:rsidRDefault="008E5C3C" w:rsidP="008E5C3C">
      <w:pPr>
        <w:autoSpaceDE/>
        <w:autoSpaceDN/>
        <w:adjustRightInd/>
        <w:spacing w:line="360" w:lineRule="auto"/>
        <w:ind w:left="360"/>
        <w:jc w:val="both"/>
        <w:rPr>
          <w:rFonts w:asciiTheme="minorHAnsi" w:hAnsiTheme="minorHAnsi" w:cstheme="minorHAnsi"/>
          <w:sz w:val="24"/>
          <w:szCs w:val="24"/>
        </w:rPr>
      </w:pPr>
    </w:p>
    <w:tbl>
      <w:tblPr>
        <w:tblW w:w="9229" w:type="dxa"/>
        <w:tblInd w:w="55" w:type="dxa"/>
        <w:tblCellMar>
          <w:left w:w="70" w:type="dxa"/>
          <w:right w:w="70" w:type="dxa"/>
        </w:tblCellMar>
        <w:tblLook w:val="04A0" w:firstRow="1" w:lastRow="0" w:firstColumn="1" w:lastColumn="0" w:noHBand="0" w:noVBand="1"/>
      </w:tblPr>
      <w:tblGrid>
        <w:gridCol w:w="1716"/>
        <w:gridCol w:w="3119"/>
        <w:gridCol w:w="1984"/>
        <w:gridCol w:w="993"/>
        <w:gridCol w:w="1417"/>
      </w:tblGrid>
      <w:tr w:rsidR="008E5C3C" w:rsidRPr="000A7FF3" w:rsidTr="002E47C5">
        <w:trPr>
          <w:trHeight w:val="1200"/>
        </w:trPr>
        <w:tc>
          <w:tcPr>
            <w:tcW w:w="17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b/>
                <w:bCs/>
                <w:color w:val="000000"/>
                <w:sz w:val="22"/>
                <w:szCs w:val="22"/>
                <w:lang w:eastAsia="it-IT"/>
              </w:rPr>
            </w:pPr>
            <w:r w:rsidRPr="000A7FF3">
              <w:rPr>
                <w:rFonts w:ascii="Calibri" w:hAnsi="Calibri" w:cs="Calibri"/>
                <w:b/>
                <w:bCs/>
                <w:color w:val="000000"/>
                <w:sz w:val="22"/>
                <w:szCs w:val="22"/>
                <w:lang w:eastAsia="it-IT"/>
              </w:rPr>
              <w:t>ASSET CLASS</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b/>
                <w:bCs/>
                <w:color w:val="000000"/>
                <w:sz w:val="22"/>
                <w:szCs w:val="22"/>
                <w:lang w:eastAsia="it-IT"/>
              </w:rPr>
            </w:pPr>
            <w:r w:rsidRPr="000A7FF3">
              <w:rPr>
                <w:rFonts w:ascii="Calibri" w:hAnsi="Calibri" w:cs="Calibri"/>
                <w:b/>
                <w:bCs/>
                <w:color w:val="000000"/>
                <w:sz w:val="22"/>
                <w:szCs w:val="22"/>
                <w:lang w:eastAsia="it-IT"/>
              </w:rPr>
              <w:t>BENCHMARK</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b/>
                <w:bCs/>
                <w:color w:val="000000"/>
                <w:sz w:val="22"/>
                <w:szCs w:val="22"/>
                <w:lang w:eastAsia="it-IT"/>
              </w:rPr>
            </w:pPr>
            <w:r w:rsidRPr="000A7FF3">
              <w:rPr>
                <w:rFonts w:ascii="Calibri" w:hAnsi="Calibri" w:cs="Calibri"/>
                <w:b/>
                <w:bCs/>
                <w:color w:val="000000"/>
                <w:sz w:val="22"/>
                <w:szCs w:val="22"/>
                <w:lang w:eastAsia="it-IT"/>
              </w:rPr>
              <w:t>TICKER BLOOMBERG</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b/>
                <w:bCs/>
                <w:color w:val="000000"/>
                <w:sz w:val="22"/>
                <w:szCs w:val="22"/>
                <w:lang w:eastAsia="it-IT"/>
              </w:rPr>
            </w:pPr>
            <w:r w:rsidRPr="000A7FF3">
              <w:rPr>
                <w:rFonts w:ascii="Calibri" w:hAnsi="Calibri" w:cs="Calibri"/>
                <w:b/>
                <w:bCs/>
                <w:color w:val="000000"/>
                <w:sz w:val="22"/>
                <w:szCs w:val="22"/>
                <w:lang w:eastAsia="it-IT"/>
              </w:rPr>
              <w:t>DIVISA DI SCARICO</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b/>
                <w:bCs/>
                <w:color w:val="000000"/>
                <w:sz w:val="22"/>
                <w:szCs w:val="22"/>
                <w:lang w:eastAsia="it-IT"/>
              </w:rPr>
            </w:pPr>
            <w:r w:rsidRPr="000A7FF3">
              <w:rPr>
                <w:rFonts w:ascii="Calibri" w:hAnsi="Calibri" w:cs="Calibri"/>
                <w:b/>
                <w:bCs/>
                <w:color w:val="000000"/>
                <w:sz w:val="22"/>
                <w:szCs w:val="22"/>
                <w:lang w:eastAsia="it-IT"/>
              </w:rPr>
              <w:t>CAMBIO UTILIZZATO (TICKER BLOOMBERG)</w:t>
            </w:r>
          </w:p>
        </w:tc>
      </w:tr>
      <w:tr w:rsidR="008E5C3C" w:rsidRPr="000A7FF3" w:rsidTr="00C84430">
        <w:trPr>
          <w:trHeight w:val="6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Bilanciato Prudente</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947B4E">
              <w:rPr>
                <w:rFonts w:ascii="Calibri" w:hAnsi="Calibri" w:cs="Calibri"/>
                <w:color w:val="000000"/>
                <w:sz w:val="22"/>
                <w:szCs w:val="22"/>
                <w:lang w:val="en-US" w:eastAsia="it-IT"/>
              </w:rPr>
              <w:t xml:space="preserve">37% ML € Broad Mkt + 31%ML Gl. Br. </w:t>
            </w:r>
            <w:r w:rsidRPr="000A7FF3">
              <w:rPr>
                <w:rFonts w:ascii="Calibri" w:hAnsi="Calibri" w:cs="Calibri"/>
                <w:color w:val="000000"/>
                <w:sz w:val="22"/>
                <w:szCs w:val="22"/>
                <w:lang w:eastAsia="it-IT"/>
              </w:rPr>
              <w:t>+ 32% MSCI World AC</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r>
      <w:tr w:rsidR="008E5C3C"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ML Euro Broad Market </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EMU0 Index</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8E5C3C"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ML Global Broad </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GBMI Index</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C84430"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C84430" w:rsidRPr="000A7FF3" w:rsidRDefault="00C84430"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C84430" w:rsidRPr="000A7FF3" w:rsidRDefault="00C84430"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MSCI World AC </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C84430" w:rsidRPr="00C5468C" w:rsidRDefault="00AD3790" w:rsidP="006E7FA3">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tr w:rsidR="008E5C3C" w:rsidRPr="006B7620"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Bilanciato Moderato</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75% MSCI Emerging Markets + 25% ML Global Broad</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r>
      <w:tr w:rsidR="008E5C3C"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MSCI Emerging Markets</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M0EF Index</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8E5C3C"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ML Global Broad</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GBMI Index</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8E5C3C" w:rsidRPr="000A7FF3" w:rsidTr="00C84430">
        <w:trPr>
          <w:trHeight w:val="6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Altro Azionario</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25% MSCI India + 25% MSCI Brasile + 25% MSCI Russia + 25% MSCI Turchia</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r>
      <w:tr w:rsidR="00AA7689" w:rsidRPr="000A7FF3" w:rsidTr="0000662F">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AA7689" w:rsidRPr="000A7FF3" w:rsidRDefault="00AA7689"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AA7689" w:rsidRPr="000A7FF3" w:rsidRDefault="00AA7689"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MSCI India </w:t>
            </w:r>
          </w:p>
        </w:tc>
        <w:tc>
          <w:tcPr>
            <w:tcW w:w="1984" w:type="dxa"/>
            <w:tcBorders>
              <w:top w:val="single" w:sz="4" w:space="0" w:color="auto"/>
              <w:left w:val="nil"/>
              <w:bottom w:val="single" w:sz="4" w:space="0" w:color="auto"/>
              <w:right w:val="single" w:sz="4" w:space="0" w:color="auto"/>
            </w:tcBorders>
            <w:shd w:val="clear" w:color="auto" w:fill="FFFFFF" w:themeFill="background1"/>
            <w:noWrap/>
            <w:hideMark/>
          </w:tcPr>
          <w:p w:rsidR="00AA7689" w:rsidRPr="00B6530E" w:rsidRDefault="0000662F" w:rsidP="00AD3790">
            <w:r w:rsidRPr="00B6530E">
              <w:rPr>
                <w:rFonts w:ascii="Calibri" w:hAnsi="Calibri" w:cs="Calibri"/>
                <w:sz w:val="22"/>
                <w:szCs w:val="22"/>
                <w:lang w:eastAsia="it-IT"/>
              </w:rPr>
              <w:t>M</w:t>
            </w:r>
            <w:r w:rsidR="00AD3790">
              <w:rPr>
                <w:rFonts w:ascii="Calibri" w:hAnsi="Calibri" w:cs="Calibri"/>
                <w:sz w:val="22"/>
                <w:szCs w:val="22"/>
                <w:lang w:eastAsia="it-IT"/>
              </w:rPr>
              <w:t>B</w:t>
            </w:r>
            <w:r w:rsidRPr="00B6530E">
              <w:rPr>
                <w:rFonts w:ascii="Calibri" w:hAnsi="Calibri" w:cs="Calibri"/>
                <w:sz w:val="22"/>
                <w:szCs w:val="22"/>
                <w:lang w:eastAsia="it-IT"/>
              </w:rPr>
              <w:t>IN</w:t>
            </w:r>
            <w:r w:rsidR="00AD3790">
              <w:rPr>
                <w:rFonts w:ascii="Calibri" w:hAnsi="Calibri" w:cs="Calibri"/>
                <w:sz w:val="22"/>
                <w:szCs w:val="22"/>
                <w:lang w:eastAsia="it-IT"/>
              </w:rPr>
              <w:t xml:space="preserve"> Index</w:t>
            </w:r>
          </w:p>
        </w:tc>
        <w:tc>
          <w:tcPr>
            <w:tcW w:w="993" w:type="dxa"/>
            <w:tcBorders>
              <w:top w:val="single" w:sz="4" w:space="0" w:color="auto"/>
              <w:left w:val="nil"/>
              <w:bottom w:val="single" w:sz="4" w:space="0" w:color="auto"/>
              <w:right w:val="single" w:sz="4" w:space="0" w:color="auto"/>
            </w:tcBorders>
            <w:shd w:val="clear" w:color="auto" w:fill="FFFFFF" w:themeFill="background1"/>
            <w:hideMark/>
          </w:tcPr>
          <w:p w:rsidR="00AA7689" w:rsidRPr="00B6530E" w:rsidRDefault="00BF413A">
            <w:r w:rsidRPr="00B6530E">
              <w:rPr>
                <w:rFonts w:ascii="Calibri" w:hAnsi="Calibri" w:cs="Calibri"/>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hideMark/>
          </w:tcPr>
          <w:p w:rsidR="00AA7689" w:rsidRPr="00B6530E" w:rsidRDefault="00AA7689"/>
        </w:tc>
      </w:tr>
      <w:tr w:rsidR="00BF413A"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BF413A" w:rsidRPr="000A7FF3" w:rsidRDefault="00BF413A"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BF413A" w:rsidRPr="000A7FF3" w:rsidRDefault="00BF413A"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MSCI Brasile</w:t>
            </w:r>
          </w:p>
        </w:tc>
        <w:tc>
          <w:tcPr>
            <w:tcW w:w="1984" w:type="dxa"/>
            <w:tcBorders>
              <w:top w:val="single" w:sz="4" w:space="0" w:color="auto"/>
              <w:left w:val="nil"/>
              <w:bottom w:val="single" w:sz="4" w:space="0" w:color="auto"/>
              <w:right w:val="single" w:sz="4" w:space="0" w:color="auto"/>
            </w:tcBorders>
            <w:shd w:val="clear" w:color="auto" w:fill="FFFFFF" w:themeFill="background1"/>
            <w:noWrap/>
            <w:hideMark/>
          </w:tcPr>
          <w:p w:rsidR="00BF413A" w:rsidRPr="00B6530E" w:rsidRDefault="00BF413A" w:rsidP="00AD3790">
            <w:r w:rsidRPr="00B6530E">
              <w:rPr>
                <w:rFonts w:ascii="Calibri" w:hAnsi="Calibri" w:cs="Calibri"/>
                <w:sz w:val="22"/>
                <w:szCs w:val="22"/>
                <w:lang w:eastAsia="it-IT"/>
              </w:rPr>
              <w:t>M</w:t>
            </w:r>
            <w:r w:rsidR="00AD3790">
              <w:rPr>
                <w:rFonts w:ascii="Calibri" w:hAnsi="Calibri" w:cs="Calibri"/>
                <w:sz w:val="22"/>
                <w:szCs w:val="22"/>
                <w:lang w:eastAsia="it-IT"/>
              </w:rPr>
              <w:t>0</w:t>
            </w:r>
            <w:r w:rsidRPr="00B6530E">
              <w:rPr>
                <w:rFonts w:ascii="Calibri" w:hAnsi="Calibri" w:cs="Calibri"/>
                <w:sz w:val="22"/>
                <w:szCs w:val="22"/>
                <w:lang w:eastAsia="it-IT"/>
              </w:rPr>
              <w:t>BR</w:t>
            </w:r>
            <w:r w:rsidR="00AD3790">
              <w:rPr>
                <w:rFonts w:ascii="Calibri" w:hAnsi="Calibri" w:cs="Calibri"/>
                <w:sz w:val="22"/>
                <w:szCs w:val="22"/>
                <w:lang w:eastAsia="it-IT"/>
              </w:rPr>
              <w:t xml:space="preserve"> Index</w:t>
            </w:r>
          </w:p>
        </w:tc>
        <w:tc>
          <w:tcPr>
            <w:tcW w:w="993" w:type="dxa"/>
            <w:tcBorders>
              <w:top w:val="single" w:sz="4" w:space="0" w:color="auto"/>
              <w:left w:val="nil"/>
              <w:bottom w:val="single" w:sz="4" w:space="0" w:color="auto"/>
              <w:right w:val="single" w:sz="4" w:space="0" w:color="auto"/>
            </w:tcBorders>
            <w:shd w:val="clear" w:color="auto" w:fill="FFFFFF" w:themeFill="background1"/>
            <w:hideMark/>
          </w:tcPr>
          <w:p w:rsidR="00BF413A" w:rsidRPr="00B6530E" w:rsidRDefault="00BF413A">
            <w:r w:rsidRPr="00B6530E">
              <w:rPr>
                <w:rFonts w:ascii="Calibri" w:hAnsi="Calibri" w:cs="Calibri"/>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tcPr>
          <w:p w:rsidR="00BF413A" w:rsidRPr="00B6530E" w:rsidRDefault="00BF413A"/>
        </w:tc>
      </w:tr>
      <w:tr w:rsidR="00BF413A"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BF413A" w:rsidRPr="000A7FF3" w:rsidRDefault="00BF413A"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BF413A" w:rsidRPr="000A7FF3" w:rsidRDefault="00BF413A"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MSCI Russia </w:t>
            </w:r>
          </w:p>
        </w:tc>
        <w:tc>
          <w:tcPr>
            <w:tcW w:w="1984" w:type="dxa"/>
            <w:tcBorders>
              <w:top w:val="single" w:sz="4" w:space="0" w:color="auto"/>
              <w:left w:val="nil"/>
              <w:bottom w:val="single" w:sz="4" w:space="0" w:color="auto"/>
              <w:right w:val="single" w:sz="4" w:space="0" w:color="auto"/>
            </w:tcBorders>
            <w:shd w:val="clear" w:color="auto" w:fill="FFFFFF" w:themeFill="background1"/>
            <w:noWrap/>
            <w:hideMark/>
          </w:tcPr>
          <w:p w:rsidR="00BF413A" w:rsidRPr="00B6530E" w:rsidRDefault="00BF413A" w:rsidP="00AD3790">
            <w:r w:rsidRPr="00B6530E">
              <w:rPr>
                <w:rFonts w:ascii="Calibri" w:hAnsi="Calibri" w:cs="Calibri"/>
                <w:sz w:val="22"/>
                <w:szCs w:val="22"/>
                <w:lang w:eastAsia="it-IT"/>
              </w:rPr>
              <w:t>M</w:t>
            </w:r>
            <w:r w:rsidR="00AD3790">
              <w:rPr>
                <w:rFonts w:ascii="Calibri" w:hAnsi="Calibri" w:cs="Calibri"/>
                <w:sz w:val="22"/>
                <w:szCs w:val="22"/>
                <w:lang w:eastAsia="it-IT"/>
              </w:rPr>
              <w:t>7</w:t>
            </w:r>
            <w:r w:rsidRPr="00B6530E">
              <w:rPr>
                <w:rFonts w:ascii="Calibri" w:hAnsi="Calibri" w:cs="Calibri"/>
                <w:sz w:val="22"/>
                <w:szCs w:val="22"/>
                <w:lang w:eastAsia="it-IT"/>
              </w:rPr>
              <w:t>RU</w:t>
            </w:r>
            <w:r w:rsidR="00AD3790">
              <w:rPr>
                <w:rFonts w:ascii="Calibri" w:hAnsi="Calibri" w:cs="Calibri"/>
                <w:sz w:val="22"/>
                <w:szCs w:val="22"/>
                <w:lang w:eastAsia="it-IT"/>
              </w:rPr>
              <w:t xml:space="preserve"> Index</w:t>
            </w:r>
          </w:p>
        </w:tc>
        <w:tc>
          <w:tcPr>
            <w:tcW w:w="993" w:type="dxa"/>
            <w:tcBorders>
              <w:top w:val="single" w:sz="4" w:space="0" w:color="auto"/>
              <w:left w:val="nil"/>
              <w:bottom w:val="single" w:sz="4" w:space="0" w:color="auto"/>
              <w:right w:val="single" w:sz="4" w:space="0" w:color="auto"/>
            </w:tcBorders>
            <w:shd w:val="clear" w:color="auto" w:fill="FFFFFF" w:themeFill="background1"/>
            <w:hideMark/>
          </w:tcPr>
          <w:p w:rsidR="00BF413A" w:rsidRPr="00B6530E" w:rsidRDefault="00BF413A">
            <w:r w:rsidRPr="00B6530E">
              <w:rPr>
                <w:rFonts w:ascii="Calibri" w:hAnsi="Calibri" w:cs="Calibri"/>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tcPr>
          <w:p w:rsidR="00BF413A" w:rsidRPr="00B6530E" w:rsidRDefault="00BF413A"/>
        </w:tc>
      </w:tr>
      <w:tr w:rsidR="00BF413A"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BF413A" w:rsidRPr="000A7FF3" w:rsidRDefault="00BF413A"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lastRenderedPageBreak/>
              <w:t> </w:t>
            </w:r>
          </w:p>
        </w:tc>
        <w:tc>
          <w:tcPr>
            <w:tcW w:w="3119" w:type="dxa"/>
            <w:tcBorders>
              <w:top w:val="nil"/>
              <w:left w:val="nil"/>
              <w:bottom w:val="single" w:sz="4" w:space="0" w:color="auto"/>
              <w:right w:val="single" w:sz="4" w:space="0" w:color="auto"/>
            </w:tcBorders>
            <w:shd w:val="clear" w:color="auto" w:fill="auto"/>
            <w:vAlign w:val="center"/>
            <w:hideMark/>
          </w:tcPr>
          <w:p w:rsidR="00BF413A" w:rsidRPr="000A7FF3" w:rsidRDefault="00BF413A"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MSCI Turchia</w:t>
            </w:r>
          </w:p>
        </w:tc>
        <w:tc>
          <w:tcPr>
            <w:tcW w:w="1984" w:type="dxa"/>
            <w:tcBorders>
              <w:top w:val="single" w:sz="4" w:space="0" w:color="auto"/>
              <w:left w:val="nil"/>
              <w:bottom w:val="single" w:sz="4" w:space="0" w:color="auto"/>
              <w:right w:val="single" w:sz="4" w:space="0" w:color="auto"/>
            </w:tcBorders>
            <w:shd w:val="clear" w:color="auto" w:fill="FFFFFF" w:themeFill="background1"/>
            <w:noWrap/>
            <w:hideMark/>
          </w:tcPr>
          <w:p w:rsidR="00BF413A" w:rsidRPr="00B6530E" w:rsidRDefault="00BF413A" w:rsidP="00AD3790">
            <w:r w:rsidRPr="00B6530E">
              <w:rPr>
                <w:rFonts w:ascii="Calibri" w:hAnsi="Calibri" w:cs="Calibri"/>
                <w:sz w:val="22"/>
                <w:szCs w:val="22"/>
                <w:lang w:eastAsia="it-IT"/>
              </w:rPr>
              <w:t>M</w:t>
            </w:r>
            <w:r w:rsidR="00AD3790">
              <w:rPr>
                <w:rFonts w:ascii="Calibri" w:hAnsi="Calibri" w:cs="Calibri"/>
                <w:sz w:val="22"/>
                <w:szCs w:val="22"/>
                <w:lang w:eastAsia="it-IT"/>
              </w:rPr>
              <w:t>0</w:t>
            </w:r>
            <w:r w:rsidRPr="00B6530E">
              <w:rPr>
                <w:rFonts w:ascii="Calibri" w:hAnsi="Calibri" w:cs="Calibri"/>
                <w:sz w:val="22"/>
                <w:szCs w:val="22"/>
                <w:lang w:eastAsia="it-IT"/>
              </w:rPr>
              <w:t>TR</w:t>
            </w:r>
            <w:r w:rsidR="00AD3790">
              <w:rPr>
                <w:rFonts w:ascii="Calibri" w:hAnsi="Calibri" w:cs="Calibri"/>
                <w:sz w:val="22"/>
                <w:szCs w:val="22"/>
                <w:lang w:eastAsia="it-IT"/>
              </w:rPr>
              <w:t xml:space="preserve"> Index</w:t>
            </w:r>
          </w:p>
        </w:tc>
        <w:tc>
          <w:tcPr>
            <w:tcW w:w="993" w:type="dxa"/>
            <w:tcBorders>
              <w:top w:val="single" w:sz="4" w:space="0" w:color="auto"/>
              <w:left w:val="nil"/>
              <w:bottom w:val="single" w:sz="4" w:space="0" w:color="auto"/>
              <w:right w:val="single" w:sz="4" w:space="0" w:color="auto"/>
            </w:tcBorders>
            <w:shd w:val="clear" w:color="auto" w:fill="FFFFFF" w:themeFill="background1"/>
            <w:hideMark/>
          </w:tcPr>
          <w:p w:rsidR="00BF413A" w:rsidRPr="00B6530E" w:rsidRDefault="00BF413A">
            <w:r w:rsidRPr="00B6530E">
              <w:rPr>
                <w:rFonts w:ascii="Calibri" w:hAnsi="Calibri" w:cs="Calibri"/>
                <w:sz w:val="22"/>
                <w:szCs w:val="22"/>
                <w:lang w:eastAsia="it-IT"/>
              </w:rPr>
              <w:t>EUR</w:t>
            </w:r>
          </w:p>
        </w:tc>
        <w:tc>
          <w:tcPr>
            <w:tcW w:w="1417" w:type="dxa"/>
            <w:tcBorders>
              <w:top w:val="single" w:sz="4" w:space="0" w:color="auto"/>
              <w:left w:val="nil"/>
              <w:bottom w:val="single" w:sz="4" w:space="0" w:color="auto"/>
              <w:right w:val="single" w:sz="4" w:space="0" w:color="auto"/>
            </w:tcBorders>
            <w:shd w:val="clear" w:color="auto" w:fill="FFFFFF" w:themeFill="background1"/>
          </w:tcPr>
          <w:p w:rsidR="00BF413A" w:rsidRPr="00B6530E" w:rsidRDefault="00BF413A"/>
        </w:tc>
      </w:tr>
      <w:tr w:rsidR="008E5C3C" w:rsidRPr="000A7FF3" w:rsidTr="00C84430">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Altro Obbligazionario</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ML Global Broad</w:t>
            </w:r>
          </w:p>
        </w:tc>
        <w:tc>
          <w:tcPr>
            <w:tcW w:w="198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GBMI Index</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bookmarkStart w:id="79" w:name="OLE_LINK27"/>
            <w:bookmarkStart w:id="80" w:name="OLE_LINK28"/>
            <w:r w:rsidRPr="000A7FF3">
              <w:rPr>
                <w:rFonts w:ascii="Calibri" w:hAnsi="Calibri" w:cs="Calibri"/>
                <w:color w:val="000000"/>
                <w:sz w:val="22"/>
                <w:szCs w:val="22"/>
                <w:lang w:eastAsia="it-IT"/>
              </w:rPr>
              <w:t>EUR</w:t>
            </w:r>
            <w:bookmarkEnd w:id="79"/>
            <w:bookmarkEnd w:id="80"/>
          </w:p>
        </w:tc>
        <w:tc>
          <w:tcPr>
            <w:tcW w:w="1417" w:type="dxa"/>
            <w:tcBorders>
              <w:top w:val="single" w:sz="4" w:space="0" w:color="auto"/>
              <w:left w:val="nil"/>
              <w:bottom w:val="single" w:sz="4" w:space="0" w:color="auto"/>
              <w:right w:val="single" w:sz="4" w:space="0" w:color="auto"/>
            </w:tcBorders>
            <w:shd w:val="clear" w:color="auto" w:fill="FFFFFF" w:themeFill="background1"/>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8E5C3C" w:rsidRPr="006B7620"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Bilanciato Assicurativo Moderato</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30% MSCI World AC + 20% ML Global Broad + 25% ML Euro Broad Market + 25% ML Italy All Mat</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r>
      <w:tr w:rsidR="00C84430"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C84430" w:rsidRPr="000A7FF3" w:rsidRDefault="00C84430"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C84430" w:rsidRPr="000A7FF3" w:rsidRDefault="00C84430"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MSCI World AC </w:t>
            </w:r>
          </w:p>
        </w:tc>
        <w:tc>
          <w:tcPr>
            <w:tcW w:w="1984" w:type="dxa"/>
            <w:tcBorders>
              <w:top w:val="nil"/>
              <w:left w:val="nil"/>
              <w:bottom w:val="single" w:sz="4" w:space="0" w:color="auto"/>
              <w:right w:val="single" w:sz="4" w:space="0" w:color="auto"/>
            </w:tcBorders>
            <w:shd w:val="clear" w:color="auto" w:fill="auto"/>
            <w:noWrap/>
            <w:vAlign w:val="center"/>
            <w:hideMark/>
          </w:tcPr>
          <w:p w:rsidR="00C84430" w:rsidRPr="00C5468C" w:rsidRDefault="00AD3790" w:rsidP="00AD3790">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93"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tr w:rsidR="008E5C3C"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ML Global Broad </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GBMI Index</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8E5C3C"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ML Euro Broad Market </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EMU0 Index</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8E5C3C"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bookmarkStart w:id="81" w:name="_Hlk425066346"/>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ML Italy All Mat</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6E22B6" w:rsidRDefault="00D8057B" w:rsidP="002E47C5">
            <w:pPr>
              <w:autoSpaceDE/>
              <w:autoSpaceDN/>
              <w:adjustRightInd/>
              <w:rPr>
                <w:rFonts w:ascii="Calibri" w:hAnsi="Calibri" w:cs="Calibri"/>
                <w:sz w:val="22"/>
                <w:szCs w:val="22"/>
                <w:lang w:eastAsia="it-IT"/>
              </w:rPr>
            </w:pPr>
            <w:r w:rsidRPr="006E22B6">
              <w:rPr>
                <w:rFonts w:ascii="Calibri" w:hAnsi="Calibri" w:cs="Calibri"/>
                <w:sz w:val="22"/>
                <w:szCs w:val="22"/>
                <w:lang w:eastAsia="it-IT"/>
              </w:rPr>
              <w:t>G0I0</w:t>
            </w:r>
            <w:r w:rsidR="00AD3790">
              <w:rPr>
                <w:rFonts w:ascii="Calibri" w:hAnsi="Calibri" w:cs="Calibri"/>
                <w:sz w:val="22"/>
                <w:szCs w:val="22"/>
                <w:lang w:eastAsia="it-IT"/>
              </w:rPr>
              <w:t xml:space="preserve"> Index</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AA7689"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r>
      <w:bookmarkEnd w:id="81"/>
      <w:tr w:rsidR="008E5C3C" w:rsidRPr="006B7620"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Bilanciato Assicurativo Aggressivo</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42% MSCI World AC + 28% ML Global Broad + 15% ML Euro Broad Market + 15% ML Italy All Mat</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r>
      <w:tr w:rsidR="00C84430"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C84430" w:rsidRPr="000A7FF3" w:rsidRDefault="00C84430" w:rsidP="002E47C5">
            <w:pPr>
              <w:autoSpaceDE/>
              <w:autoSpaceDN/>
              <w:adjustRightInd/>
              <w:rPr>
                <w:rFonts w:ascii="Calibri" w:hAnsi="Calibri" w:cs="Calibri"/>
                <w:color w:val="000000"/>
                <w:sz w:val="22"/>
                <w:szCs w:val="22"/>
                <w:lang w:val="en-US" w:eastAsia="it-IT"/>
              </w:rPr>
            </w:pPr>
            <w:r w:rsidRPr="00947B4E">
              <w:rPr>
                <w:rFonts w:ascii="Calibri" w:hAnsi="Calibri" w:cs="Calibri"/>
                <w:color w:val="000000"/>
                <w:sz w:val="22"/>
                <w:szCs w:val="22"/>
                <w:lang w:val="en-US"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C84430" w:rsidRPr="000A7FF3" w:rsidRDefault="00C84430"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MSCI World AC </w:t>
            </w:r>
          </w:p>
        </w:tc>
        <w:tc>
          <w:tcPr>
            <w:tcW w:w="1984" w:type="dxa"/>
            <w:tcBorders>
              <w:top w:val="nil"/>
              <w:left w:val="nil"/>
              <w:bottom w:val="single" w:sz="4" w:space="0" w:color="auto"/>
              <w:right w:val="single" w:sz="4" w:space="0" w:color="auto"/>
            </w:tcBorders>
            <w:shd w:val="clear" w:color="auto" w:fill="auto"/>
            <w:noWrap/>
            <w:vAlign w:val="center"/>
            <w:hideMark/>
          </w:tcPr>
          <w:p w:rsidR="00C84430" w:rsidRPr="00C5468C" w:rsidRDefault="00AD3790" w:rsidP="006E7FA3">
            <w:pPr>
              <w:autoSpaceDE/>
              <w:autoSpaceDN/>
              <w:adjustRightInd/>
              <w:rPr>
                <w:rFonts w:ascii="Calibri" w:hAnsi="Calibri" w:cs="Calibri"/>
                <w:sz w:val="22"/>
                <w:szCs w:val="22"/>
                <w:highlight w:val="yellow"/>
                <w:lang w:eastAsia="it-IT"/>
              </w:rPr>
            </w:pPr>
            <w:r>
              <w:rPr>
                <w:rFonts w:ascii="Calibri" w:hAnsi="Calibri" w:cs="Calibri"/>
                <w:sz w:val="22"/>
                <w:szCs w:val="22"/>
                <w:lang w:eastAsia="it-IT"/>
              </w:rPr>
              <w:t>MDWD Index</w:t>
            </w:r>
          </w:p>
        </w:tc>
        <w:tc>
          <w:tcPr>
            <w:tcW w:w="993"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C84430" w:rsidRPr="00C5468C" w:rsidRDefault="00C84430" w:rsidP="006E7FA3">
            <w:pPr>
              <w:autoSpaceDE/>
              <w:autoSpaceDN/>
              <w:adjustRightInd/>
              <w:rPr>
                <w:rFonts w:ascii="Calibri" w:hAnsi="Calibri" w:cs="Calibri"/>
                <w:sz w:val="22"/>
                <w:szCs w:val="22"/>
                <w:lang w:eastAsia="it-IT"/>
              </w:rPr>
            </w:pPr>
            <w:r w:rsidRPr="00C5468C">
              <w:rPr>
                <w:rFonts w:ascii="Calibri" w:hAnsi="Calibri" w:cs="Calibri"/>
                <w:sz w:val="22"/>
                <w:szCs w:val="22"/>
                <w:lang w:eastAsia="it-IT"/>
              </w:rPr>
              <w:t>-</w:t>
            </w:r>
          </w:p>
        </w:tc>
      </w:tr>
      <w:tr w:rsidR="008E5C3C"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ML Global Broad </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GBMI Index</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8E5C3C"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xml:space="preserve">ML Euro Broad Market </w:t>
            </w:r>
          </w:p>
        </w:tc>
        <w:tc>
          <w:tcPr>
            <w:tcW w:w="1984" w:type="dxa"/>
            <w:tcBorders>
              <w:top w:val="nil"/>
              <w:left w:val="nil"/>
              <w:bottom w:val="single" w:sz="4" w:space="0" w:color="auto"/>
              <w:right w:val="single" w:sz="4" w:space="0" w:color="auto"/>
            </w:tcBorders>
            <w:shd w:val="clear" w:color="auto" w:fill="auto"/>
            <w:noWrap/>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EMU0 Index</w:t>
            </w:r>
          </w:p>
        </w:tc>
        <w:tc>
          <w:tcPr>
            <w:tcW w:w="993"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8E5C3C" w:rsidRPr="000A7FF3" w:rsidRDefault="008E5C3C"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w:t>
            </w:r>
          </w:p>
        </w:tc>
      </w:tr>
      <w:tr w:rsidR="00AA7689" w:rsidRPr="000A7FF3" w:rsidTr="002E47C5">
        <w:trPr>
          <w:trHeight w:val="30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AA7689" w:rsidRPr="000A7FF3" w:rsidRDefault="00AA7689"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c>
          <w:tcPr>
            <w:tcW w:w="3119" w:type="dxa"/>
            <w:tcBorders>
              <w:top w:val="nil"/>
              <w:left w:val="nil"/>
              <w:bottom w:val="single" w:sz="4" w:space="0" w:color="auto"/>
              <w:right w:val="single" w:sz="4" w:space="0" w:color="auto"/>
            </w:tcBorders>
            <w:shd w:val="clear" w:color="auto" w:fill="auto"/>
            <w:vAlign w:val="center"/>
            <w:hideMark/>
          </w:tcPr>
          <w:p w:rsidR="00AA7689" w:rsidRPr="000A7FF3" w:rsidRDefault="00AA7689"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ML Italy All Mat</w:t>
            </w:r>
          </w:p>
        </w:tc>
        <w:tc>
          <w:tcPr>
            <w:tcW w:w="1984" w:type="dxa"/>
            <w:tcBorders>
              <w:top w:val="nil"/>
              <w:left w:val="nil"/>
              <w:bottom w:val="single" w:sz="4" w:space="0" w:color="auto"/>
              <w:right w:val="single" w:sz="4" w:space="0" w:color="auto"/>
            </w:tcBorders>
            <w:shd w:val="clear" w:color="auto" w:fill="auto"/>
            <w:noWrap/>
            <w:vAlign w:val="center"/>
            <w:hideMark/>
          </w:tcPr>
          <w:p w:rsidR="00AA7689" w:rsidRPr="006E22B6" w:rsidRDefault="00D8057B" w:rsidP="002E47C5">
            <w:pPr>
              <w:autoSpaceDE/>
              <w:autoSpaceDN/>
              <w:adjustRightInd/>
              <w:rPr>
                <w:rFonts w:ascii="Calibri" w:hAnsi="Calibri" w:cs="Calibri"/>
                <w:sz w:val="22"/>
                <w:szCs w:val="22"/>
                <w:lang w:eastAsia="it-IT"/>
              </w:rPr>
            </w:pPr>
            <w:r w:rsidRPr="006E22B6">
              <w:rPr>
                <w:rFonts w:ascii="Calibri" w:hAnsi="Calibri" w:cs="Calibri"/>
                <w:sz w:val="22"/>
                <w:szCs w:val="22"/>
                <w:lang w:eastAsia="it-IT"/>
              </w:rPr>
              <w:t>G0I0</w:t>
            </w:r>
            <w:r w:rsidR="00AD3790">
              <w:rPr>
                <w:rFonts w:ascii="Calibri" w:hAnsi="Calibri" w:cs="Calibri"/>
                <w:sz w:val="22"/>
                <w:szCs w:val="22"/>
                <w:lang w:eastAsia="it-IT"/>
              </w:rPr>
              <w:t xml:space="preserve"> Index</w:t>
            </w:r>
          </w:p>
        </w:tc>
        <w:tc>
          <w:tcPr>
            <w:tcW w:w="993" w:type="dxa"/>
            <w:tcBorders>
              <w:top w:val="nil"/>
              <w:left w:val="nil"/>
              <w:bottom w:val="single" w:sz="4" w:space="0" w:color="auto"/>
              <w:right w:val="single" w:sz="4" w:space="0" w:color="auto"/>
            </w:tcBorders>
            <w:shd w:val="clear" w:color="auto" w:fill="auto"/>
            <w:vAlign w:val="center"/>
            <w:hideMark/>
          </w:tcPr>
          <w:p w:rsidR="00AA7689" w:rsidRPr="000A7FF3" w:rsidRDefault="00AA7689"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EUR</w:t>
            </w:r>
          </w:p>
        </w:tc>
        <w:tc>
          <w:tcPr>
            <w:tcW w:w="1417" w:type="dxa"/>
            <w:tcBorders>
              <w:top w:val="nil"/>
              <w:left w:val="nil"/>
              <w:bottom w:val="single" w:sz="4" w:space="0" w:color="auto"/>
              <w:right w:val="single" w:sz="4" w:space="0" w:color="auto"/>
            </w:tcBorders>
            <w:shd w:val="clear" w:color="auto" w:fill="auto"/>
            <w:vAlign w:val="center"/>
            <w:hideMark/>
          </w:tcPr>
          <w:p w:rsidR="00AA7689" w:rsidRPr="000A7FF3" w:rsidRDefault="00AA7689" w:rsidP="002E47C5">
            <w:pPr>
              <w:autoSpaceDE/>
              <w:autoSpaceDN/>
              <w:adjustRightInd/>
              <w:rPr>
                <w:rFonts w:ascii="Calibri" w:hAnsi="Calibri" w:cs="Calibri"/>
                <w:color w:val="000000"/>
                <w:sz w:val="22"/>
                <w:szCs w:val="22"/>
                <w:lang w:eastAsia="it-IT"/>
              </w:rPr>
            </w:pPr>
            <w:r w:rsidRPr="000A7FF3">
              <w:rPr>
                <w:rFonts w:ascii="Calibri" w:hAnsi="Calibri" w:cs="Calibri"/>
                <w:color w:val="000000"/>
                <w:sz w:val="22"/>
                <w:szCs w:val="22"/>
                <w:lang w:eastAsia="it-IT"/>
              </w:rPr>
              <w:t> </w:t>
            </w:r>
          </w:p>
        </w:tc>
      </w:tr>
    </w:tbl>
    <w:p w:rsidR="008E5C3C" w:rsidRDefault="008E5C3C" w:rsidP="008E5C3C">
      <w:pPr>
        <w:spacing w:line="360" w:lineRule="auto"/>
        <w:jc w:val="both"/>
        <w:rPr>
          <w:rFonts w:asciiTheme="minorHAnsi" w:eastAsiaTheme="minorHAnsi" w:hAnsiTheme="minorHAnsi" w:cstheme="minorHAnsi"/>
          <w:sz w:val="24"/>
          <w:szCs w:val="24"/>
        </w:rPr>
      </w:pPr>
      <w:r w:rsidRPr="003D2BBB">
        <w:rPr>
          <w:rFonts w:asciiTheme="minorHAnsi" w:hAnsiTheme="minorHAnsi" w:cstheme="minorHAnsi"/>
          <w:b/>
          <w:sz w:val="24"/>
          <w:szCs w:val="24"/>
        </w:rPr>
        <w:t xml:space="preserve">Tabella </w:t>
      </w:r>
      <w:r>
        <w:rPr>
          <w:rFonts w:asciiTheme="minorHAnsi" w:hAnsiTheme="minorHAnsi" w:cstheme="minorHAnsi"/>
          <w:b/>
          <w:sz w:val="24"/>
          <w:szCs w:val="24"/>
        </w:rPr>
        <w:t>17</w:t>
      </w:r>
    </w:p>
    <w:p w:rsidR="008E5C3C" w:rsidRDefault="008E5C3C" w:rsidP="008E5C3C">
      <w:pPr>
        <w:autoSpaceDE/>
        <w:autoSpaceDN/>
        <w:adjustRightInd/>
        <w:spacing w:line="360" w:lineRule="auto"/>
        <w:jc w:val="both"/>
        <w:rPr>
          <w:rFonts w:asciiTheme="minorHAnsi" w:hAnsiTheme="minorHAnsi" w:cstheme="minorHAnsi"/>
          <w:b/>
          <w:sz w:val="24"/>
          <w:szCs w:val="24"/>
        </w:rPr>
      </w:pPr>
    </w:p>
    <w:p w:rsidR="008E5C3C" w:rsidRPr="00E63DA2" w:rsidRDefault="008E5C3C" w:rsidP="008E5C3C">
      <w:pPr>
        <w:autoSpaceDE/>
        <w:autoSpaceDN/>
        <w:adjustRightInd/>
        <w:spacing w:line="360" w:lineRule="auto"/>
        <w:ind w:left="708"/>
        <w:jc w:val="both"/>
        <w:rPr>
          <w:rFonts w:asciiTheme="minorHAnsi" w:hAnsiTheme="minorHAnsi" w:cstheme="minorHAnsi"/>
          <w:sz w:val="24"/>
          <w:szCs w:val="24"/>
        </w:rPr>
      </w:pPr>
    </w:p>
    <w:p w:rsidR="008E5C3C" w:rsidRPr="00E63DA2" w:rsidRDefault="008E5C3C" w:rsidP="008E5C3C">
      <w:pPr>
        <w:pStyle w:val="Titolo2"/>
        <w:numPr>
          <w:ilvl w:val="1"/>
          <w:numId w:val="46"/>
        </w:numPr>
        <w:spacing w:line="360" w:lineRule="auto"/>
        <w:jc w:val="both"/>
        <w:rPr>
          <w:rFonts w:asciiTheme="minorHAnsi" w:hAnsiTheme="minorHAnsi" w:cstheme="minorHAnsi"/>
        </w:rPr>
      </w:pPr>
      <w:bookmarkStart w:id="82" w:name="_Toc424592181"/>
      <w:bookmarkStart w:id="83" w:name="_Toc424890190"/>
      <w:bookmarkStart w:id="84" w:name="_Toc425154144"/>
      <w:r w:rsidRPr="00E63DA2">
        <w:rPr>
          <w:rFonts w:asciiTheme="minorHAnsi" w:hAnsiTheme="minorHAnsi" w:cstheme="minorHAnsi"/>
        </w:rPr>
        <w:t>IL RANKING DEL CATALOGO PRODOTTI</w:t>
      </w:r>
      <w:bookmarkEnd w:id="82"/>
      <w:bookmarkEnd w:id="83"/>
      <w:bookmarkEnd w:id="84"/>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Per i prodotti che rientrano nella gamma di offerta della banca, l’analisi viene ulteriormente affinata al fine di poter proporre alla clientela i fondi che</w:t>
      </w:r>
      <w:r>
        <w:rPr>
          <w:rFonts w:asciiTheme="minorHAnsi" w:hAnsiTheme="minorHAnsi" w:cstheme="minorHAnsi"/>
          <w:sz w:val="24"/>
          <w:szCs w:val="24"/>
        </w:rPr>
        <w:t>,</w:t>
      </w:r>
      <w:r w:rsidRPr="00E63DA2">
        <w:rPr>
          <w:rFonts w:asciiTheme="minorHAnsi" w:hAnsiTheme="minorHAnsi" w:cstheme="minorHAnsi"/>
          <w:sz w:val="24"/>
          <w:szCs w:val="24"/>
        </w:rPr>
        <w:t xml:space="preserve"> per ogni </w:t>
      </w:r>
      <w:r>
        <w:rPr>
          <w:rFonts w:asciiTheme="minorHAnsi" w:hAnsiTheme="minorHAnsi" w:cstheme="minorHAnsi"/>
          <w:sz w:val="24"/>
          <w:szCs w:val="24"/>
        </w:rPr>
        <w:t xml:space="preserve">asset class, </w:t>
      </w:r>
      <w:r w:rsidRPr="00E63DA2">
        <w:rPr>
          <w:rFonts w:asciiTheme="minorHAnsi" w:hAnsiTheme="minorHAnsi" w:cstheme="minorHAnsi"/>
          <w:sz w:val="24"/>
          <w:szCs w:val="24"/>
        </w:rPr>
        <w:t>presentano il miglio</w:t>
      </w:r>
      <w:r>
        <w:rPr>
          <w:rFonts w:asciiTheme="minorHAnsi" w:hAnsiTheme="minorHAnsi" w:cstheme="minorHAnsi"/>
          <w:sz w:val="24"/>
          <w:szCs w:val="24"/>
        </w:rPr>
        <w:t xml:space="preserve">r </w:t>
      </w:r>
      <w:r w:rsidRPr="00E63DA2">
        <w:rPr>
          <w:rFonts w:asciiTheme="minorHAnsi" w:hAnsiTheme="minorHAnsi" w:cstheme="minorHAnsi"/>
          <w:sz w:val="24"/>
          <w:szCs w:val="24"/>
        </w:rPr>
        <w:t>trade</w:t>
      </w:r>
      <w:r>
        <w:rPr>
          <w:rFonts w:asciiTheme="minorHAnsi" w:hAnsiTheme="minorHAnsi" w:cstheme="minorHAnsi"/>
          <w:sz w:val="24"/>
          <w:szCs w:val="24"/>
        </w:rPr>
        <w:t>-</w:t>
      </w:r>
      <w:r w:rsidRPr="00E63DA2">
        <w:rPr>
          <w:rFonts w:asciiTheme="minorHAnsi" w:hAnsiTheme="minorHAnsi" w:cstheme="minorHAnsi"/>
          <w:sz w:val="24"/>
          <w:szCs w:val="24"/>
        </w:rPr>
        <w:t>off rendimento/rischio sulla base di opportuni indicatori di rendimento corretto per il rischio.</w:t>
      </w:r>
    </w:p>
    <w:p w:rsidR="008E5C3C" w:rsidRDefault="008E5C3C" w:rsidP="008E5C3C">
      <w:pPr>
        <w:spacing w:line="360" w:lineRule="auto"/>
        <w:jc w:val="both"/>
        <w:rPr>
          <w:rFonts w:asciiTheme="minorHAnsi" w:hAnsiTheme="minorHAnsi" w:cstheme="minorHAnsi"/>
          <w:sz w:val="24"/>
          <w:szCs w:val="24"/>
        </w:rPr>
      </w:pPr>
      <w:r>
        <w:rPr>
          <w:rFonts w:asciiTheme="minorHAnsi" w:hAnsiTheme="minorHAnsi" w:cstheme="minorHAnsi"/>
          <w:sz w:val="24"/>
          <w:szCs w:val="24"/>
        </w:rPr>
        <w:t>Più i</w:t>
      </w:r>
      <w:r w:rsidRPr="00E63DA2">
        <w:rPr>
          <w:rFonts w:asciiTheme="minorHAnsi" w:hAnsiTheme="minorHAnsi" w:cstheme="minorHAnsi"/>
          <w:sz w:val="24"/>
          <w:szCs w:val="24"/>
        </w:rPr>
        <w:t>n particolare, per ogni categoria omogenea (</w:t>
      </w:r>
      <w:r>
        <w:rPr>
          <w:rFonts w:asciiTheme="minorHAnsi" w:hAnsiTheme="minorHAnsi" w:cstheme="minorHAnsi"/>
          <w:sz w:val="24"/>
          <w:szCs w:val="24"/>
        </w:rPr>
        <w:t>asset class</w:t>
      </w:r>
      <w:r w:rsidRPr="00E63DA2">
        <w:rPr>
          <w:rFonts w:asciiTheme="minorHAnsi" w:hAnsiTheme="minorHAnsi" w:cstheme="minorHAnsi"/>
          <w:sz w:val="24"/>
          <w:szCs w:val="24"/>
        </w:rPr>
        <w:t xml:space="preserve"> e possibilità di distribuzione dei proventi) si è proceduto ad assegnare uno “score advice”</w:t>
      </w:r>
      <w:r>
        <w:rPr>
          <w:rFonts w:asciiTheme="minorHAnsi" w:hAnsiTheme="minorHAnsi" w:cstheme="minorHAnsi"/>
          <w:sz w:val="24"/>
          <w:szCs w:val="24"/>
        </w:rPr>
        <w:t xml:space="preserve">, che viene aggiornato mensilmente: si tratta di </w:t>
      </w:r>
      <w:r w:rsidRPr="00E63DA2">
        <w:rPr>
          <w:rFonts w:asciiTheme="minorHAnsi" w:hAnsiTheme="minorHAnsi" w:cstheme="minorHAnsi"/>
          <w:sz w:val="24"/>
          <w:szCs w:val="24"/>
        </w:rPr>
        <w:t xml:space="preserve">un punteggio da 1 (minimo) a 10 (massimo), </w:t>
      </w:r>
      <w:r>
        <w:rPr>
          <w:rFonts w:asciiTheme="minorHAnsi" w:hAnsiTheme="minorHAnsi" w:cstheme="minorHAnsi"/>
          <w:sz w:val="24"/>
          <w:szCs w:val="24"/>
        </w:rPr>
        <w:t xml:space="preserve">ottenuto </w:t>
      </w:r>
      <w:r w:rsidRPr="00E63DA2">
        <w:rPr>
          <w:rFonts w:asciiTheme="minorHAnsi" w:hAnsiTheme="minorHAnsi" w:cstheme="minorHAnsi"/>
          <w:sz w:val="24"/>
          <w:szCs w:val="24"/>
        </w:rPr>
        <w:t>in base al posizionamento per decili dell’indicatore analizzato. Un comparto posizionato nel 1° decile otterrà un punteggio di 10; un comparto posizionato nell’ultimo decile otterrà un punteggio di 1 così come ad un comparto senza sufficiente storia.</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Tale processo sarà applicato su due orizzont</w:t>
      </w:r>
      <w:r>
        <w:rPr>
          <w:rFonts w:asciiTheme="minorHAnsi" w:hAnsiTheme="minorHAnsi" w:cstheme="minorHAnsi"/>
          <w:sz w:val="24"/>
          <w:szCs w:val="24"/>
        </w:rPr>
        <w:t>i</w:t>
      </w:r>
      <w:r w:rsidRPr="00E63DA2">
        <w:rPr>
          <w:rFonts w:asciiTheme="minorHAnsi" w:hAnsiTheme="minorHAnsi" w:cstheme="minorHAnsi"/>
          <w:sz w:val="24"/>
          <w:szCs w:val="24"/>
        </w:rPr>
        <w:t xml:space="preserve"> temporali</w:t>
      </w:r>
      <w:r>
        <w:rPr>
          <w:rFonts w:asciiTheme="minorHAnsi" w:hAnsiTheme="minorHAnsi" w:cstheme="minorHAnsi"/>
          <w:sz w:val="24"/>
          <w:szCs w:val="24"/>
        </w:rPr>
        <w:t xml:space="preserve"> (1 e 3 anni),</w:t>
      </w:r>
      <w:r w:rsidRPr="00E63DA2">
        <w:rPr>
          <w:rFonts w:asciiTheme="minorHAnsi" w:hAnsiTheme="minorHAnsi" w:cstheme="minorHAnsi"/>
          <w:sz w:val="24"/>
          <w:szCs w:val="24"/>
        </w:rPr>
        <w:t xml:space="preserve"> sia per poter meglio valutare la reattività della strategia</w:t>
      </w:r>
      <w:r>
        <w:rPr>
          <w:rFonts w:asciiTheme="minorHAnsi" w:hAnsiTheme="minorHAnsi" w:cstheme="minorHAnsi"/>
          <w:sz w:val="24"/>
          <w:szCs w:val="24"/>
        </w:rPr>
        <w:t>,</w:t>
      </w:r>
      <w:r w:rsidRPr="00E63DA2">
        <w:rPr>
          <w:rFonts w:asciiTheme="minorHAnsi" w:hAnsiTheme="minorHAnsi" w:cstheme="minorHAnsi"/>
          <w:sz w:val="24"/>
          <w:szCs w:val="24"/>
        </w:rPr>
        <w:t xml:space="preserve"> sia per poter analizzare comparti </w:t>
      </w:r>
      <w:r>
        <w:rPr>
          <w:rFonts w:asciiTheme="minorHAnsi" w:hAnsiTheme="minorHAnsi" w:cstheme="minorHAnsi"/>
          <w:sz w:val="24"/>
          <w:szCs w:val="24"/>
        </w:rPr>
        <w:t xml:space="preserve">privi di una </w:t>
      </w:r>
      <w:r w:rsidRPr="00E63DA2">
        <w:rPr>
          <w:rFonts w:asciiTheme="minorHAnsi" w:hAnsiTheme="minorHAnsi" w:cstheme="minorHAnsi"/>
          <w:sz w:val="24"/>
          <w:szCs w:val="24"/>
        </w:rPr>
        <w:t>sufficiente storia.</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Lo score quantitativo di sintesi sarà pari alla somma ponderata dello score quantitativo a 3 anni, pesato per un 60%, e dello score quantitativo a 1 anno, pesato per un 40%.</w:t>
      </w:r>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 xml:space="preserve">Una correzione qualitativa dal ranking è comunque possibile per la Direzione investimenti a fronte di evidenze (cambio di gestore, crescita masse, nuovi fondi) non riscontrabili nelle serie storiche </w:t>
      </w:r>
      <w:r>
        <w:rPr>
          <w:rFonts w:asciiTheme="minorHAnsi" w:hAnsiTheme="minorHAnsi" w:cstheme="minorHAnsi"/>
          <w:sz w:val="24"/>
          <w:szCs w:val="24"/>
        </w:rPr>
        <w:t xml:space="preserve">e </w:t>
      </w:r>
      <w:r>
        <w:rPr>
          <w:rFonts w:asciiTheme="minorHAnsi" w:hAnsiTheme="minorHAnsi" w:cstheme="minorHAnsi"/>
          <w:sz w:val="24"/>
          <w:szCs w:val="24"/>
        </w:rPr>
        <w:lastRenderedPageBreak/>
        <w:t xml:space="preserve">a fronte di </w:t>
      </w:r>
      <w:r w:rsidRPr="00E63DA2">
        <w:rPr>
          <w:rFonts w:asciiTheme="minorHAnsi" w:hAnsiTheme="minorHAnsi" w:cstheme="minorHAnsi"/>
          <w:sz w:val="24"/>
          <w:szCs w:val="24"/>
        </w:rPr>
        <w:t xml:space="preserve">giudizi qualitativi sulla gestione e </w:t>
      </w:r>
      <w:r>
        <w:rPr>
          <w:rFonts w:asciiTheme="minorHAnsi" w:hAnsiTheme="minorHAnsi" w:cstheme="minorHAnsi"/>
          <w:sz w:val="24"/>
          <w:szCs w:val="24"/>
        </w:rPr>
        <w:t>sul</w:t>
      </w:r>
      <w:r w:rsidRPr="00E63DA2">
        <w:rPr>
          <w:rFonts w:asciiTheme="minorHAnsi" w:hAnsiTheme="minorHAnsi" w:cstheme="minorHAnsi"/>
          <w:sz w:val="24"/>
          <w:szCs w:val="24"/>
        </w:rPr>
        <w:t>le prospettive della stessa (a titolo esemplificativo</w:t>
      </w:r>
      <w:r>
        <w:rPr>
          <w:rFonts w:asciiTheme="minorHAnsi" w:hAnsiTheme="minorHAnsi" w:cstheme="minorHAnsi"/>
          <w:sz w:val="24"/>
          <w:szCs w:val="24"/>
        </w:rPr>
        <w:t xml:space="preserve">, </w:t>
      </w:r>
      <w:r w:rsidRPr="00E63DA2">
        <w:rPr>
          <w:rFonts w:asciiTheme="minorHAnsi" w:hAnsiTheme="minorHAnsi" w:cstheme="minorHAnsi"/>
          <w:sz w:val="24"/>
          <w:szCs w:val="24"/>
        </w:rPr>
        <w:t xml:space="preserve">tra i criteri </w:t>
      </w:r>
      <w:r>
        <w:rPr>
          <w:rFonts w:asciiTheme="minorHAnsi" w:hAnsiTheme="minorHAnsi" w:cstheme="minorHAnsi"/>
          <w:sz w:val="24"/>
          <w:szCs w:val="24"/>
        </w:rPr>
        <w:t xml:space="preserve">utilizzabili </w:t>
      </w:r>
      <w:r w:rsidRPr="00E63DA2">
        <w:rPr>
          <w:rFonts w:asciiTheme="minorHAnsi" w:hAnsiTheme="minorHAnsi" w:cstheme="minorHAnsi"/>
          <w:sz w:val="24"/>
          <w:szCs w:val="24"/>
        </w:rPr>
        <w:t>si possono citare le capacità della strategia analizzata a meglio ripercorrere taluni momenti di mercato, le view del singolo gestore/casa di investimento, la coerenza con le view espresse dal Comitato Investimenti, la reputation della società di gestione</w:t>
      </w:r>
      <w:r>
        <w:rPr>
          <w:rFonts w:asciiTheme="minorHAnsi" w:hAnsiTheme="minorHAnsi" w:cstheme="minorHAnsi"/>
          <w:sz w:val="24"/>
          <w:szCs w:val="24"/>
        </w:rPr>
        <w:t>, etc.</w:t>
      </w:r>
      <w:r w:rsidRPr="00E63DA2">
        <w:rPr>
          <w:rFonts w:asciiTheme="minorHAnsi" w:hAnsiTheme="minorHAnsi" w:cstheme="minorHAnsi"/>
          <w:sz w:val="24"/>
          <w:szCs w:val="24"/>
        </w:rPr>
        <w:t>).</w:t>
      </w:r>
      <w:r>
        <w:rPr>
          <w:rFonts w:asciiTheme="minorHAnsi" w:hAnsiTheme="minorHAnsi" w:cstheme="minorHAnsi"/>
          <w:sz w:val="24"/>
          <w:szCs w:val="24"/>
        </w:rPr>
        <w:t xml:space="preserve"> </w:t>
      </w:r>
      <w:r w:rsidRPr="00E63DA2">
        <w:rPr>
          <w:rFonts w:asciiTheme="minorHAnsi" w:hAnsiTheme="minorHAnsi" w:cstheme="minorHAnsi"/>
          <w:sz w:val="24"/>
          <w:szCs w:val="24"/>
        </w:rPr>
        <w:t>Tale correzione qualitativa potrà varia</w:t>
      </w:r>
      <w:r>
        <w:rPr>
          <w:rFonts w:asciiTheme="minorHAnsi" w:hAnsiTheme="minorHAnsi" w:cstheme="minorHAnsi"/>
          <w:sz w:val="24"/>
          <w:szCs w:val="24"/>
        </w:rPr>
        <w:t>re</w:t>
      </w:r>
      <w:r w:rsidRPr="00E63DA2">
        <w:rPr>
          <w:rFonts w:asciiTheme="minorHAnsi" w:hAnsiTheme="minorHAnsi" w:cstheme="minorHAnsi"/>
          <w:sz w:val="24"/>
          <w:szCs w:val="24"/>
        </w:rPr>
        <w:t xml:space="preserve"> lo scoring quantitativo di sintesi in misura di +3/-3.</w:t>
      </w:r>
    </w:p>
    <w:p w:rsidR="008E5C3C" w:rsidRPr="00E63DA2" w:rsidRDefault="008E5C3C" w:rsidP="008E5C3C">
      <w:pPr>
        <w:spacing w:line="360" w:lineRule="auto"/>
        <w:jc w:val="both"/>
        <w:rPr>
          <w:rFonts w:asciiTheme="minorHAnsi" w:hAnsiTheme="minorHAnsi" w:cstheme="minorHAnsi"/>
          <w:sz w:val="24"/>
          <w:szCs w:val="24"/>
        </w:rPr>
      </w:pPr>
      <w:r>
        <w:rPr>
          <w:rFonts w:asciiTheme="minorHAnsi" w:hAnsiTheme="minorHAnsi" w:cstheme="minorHAnsi"/>
          <w:sz w:val="24"/>
          <w:szCs w:val="24"/>
        </w:rPr>
        <w:t>Nel caso di particolari problemi palesati</w:t>
      </w:r>
      <w:r w:rsidRPr="000A7FF3">
        <w:rPr>
          <w:rFonts w:asciiTheme="minorHAnsi" w:hAnsiTheme="minorHAnsi" w:cstheme="minorHAnsi"/>
          <w:sz w:val="24"/>
          <w:szCs w:val="24"/>
        </w:rPr>
        <w:t xml:space="preserve"> </w:t>
      </w:r>
      <w:r>
        <w:rPr>
          <w:rFonts w:asciiTheme="minorHAnsi" w:hAnsiTheme="minorHAnsi" w:cstheme="minorHAnsi"/>
          <w:sz w:val="24"/>
          <w:szCs w:val="24"/>
        </w:rPr>
        <w:t>su determinati comparti/gestori/società di gestione, la Direzioni Investimenti avrà la facoltà di escluderli dall’analisi.</w:t>
      </w:r>
    </w:p>
    <w:p w:rsidR="008E5C3C" w:rsidRPr="00E63DA2"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 xml:space="preserve">L’indicatore prescelto per il ranking cambia </w:t>
      </w:r>
      <w:r>
        <w:rPr>
          <w:rFonts w:asciiTheme="minorHAnsi" w:hAnsiTheme="minorHAnsi" w:cstheme="minorHAnsi"/>
          <w:sz w:val="24"/>
          <w:szCs w:val="24"/>
        </w:rPr>
        <w:t>in funzione delle a</w:t>
      </w:r>
      <w:r w:rsidRPr="00E63DA2">
        <w:rPr>
          <w:rFonts w:asciiTheme="minorHAnsi" w:hAnsiTheme="minorHAnsi" w:cstheme="minorHAnsi"/>
          <w:sz w:val="24"/>
          <w:szCs w:val="24"/>
        </w:rPr>
        <w:t>sset</w:t>
      </w:r>
      <w:r>
        <w:rPr>
          <w:rFonts w:asciiTheme="minorHAnsi" w:hAnsiTheme="minorHAnsi" w:cstheme="minorHAnsi"/>
          <w:sz w:val="24"/>
          <w:szCs w:val="24"/>
        </w:rPr>
        <w:t xml:space="preserve"> </w:t>
      </w:r>
      <w:r w:rsidRPr="00E63DA2">
        <w:rPr>
          <w:rFonts w:asciiTheme="minorHAnsi" w:hAnsiTheme="minorHAnsi" w:cstheme="minorHAnsi"/>
          <w:sz w:val="24"/>
          <w:szCs w:val="24"/>
        </w:rPr>
        <w:t>class per tener conto delle caratteristiche distintive di ognuna di esse. Di seguito sono elencati gli indicatori selezionati per ogni asset</w:t>
      </w:r>
      <w:r w:rsidR="00AA7689">
        <w:rPr>
          <w:rFonts w:asciiTheme="minorHAnsi" w:hAnsiTheme="minorHAnsi" w:cstheme="minorHAnsi"/>
          <w:sz w:val="24"/>
          <w:szCs w:val="24"/>
        </w:rPr>
        <w:t xml:space="preserve"> </w:t>
      </w:r>
      <w:r w:rsidRPr="00E63DA2">
        <w:rPr>
          <w:rFonts w:asciiTheme="minorHAnsi" w:hAnsiTheme="minorHAnsi" w:cstheme="minorHAnsi"/>
          <w:sz w:val="24"/>
          <w:szCs w:val="24"/>
        </w:rPr>
        <w:t>class</w:t>
      </w:r>
      <w:r>
        <w:rPr>
          <w:rStyle w:val="Rimandonotaapidipagina"/>
          <w:rFonts w:asciiTheme="minorHAnsi" w:hAnsiTheme="minorHAnsi" w:cstheme="minorHAnsi"/>
          <w:sz w:val="24"/>
          <w:szCs w:val="24"/>
        </w:rPr>
        <w:footnoteReference w:id="12"/>
      </w:r>
      <w:r w:rsidRPr="00E63DA2">
        <w:rPr>
          <w:rFonts w:asciiTheme="minorHAnsi" w:hAnsiTheme="minorHAnsi" w:cstheme="minorHAnsi"/>
          <w:sz w:val="24"/>
          <w:szCs w:val="24"/>
        </w:rPr>
        <w:t>:</w:t>
      </w:r>
    </w:p>
    <w:p w:rsidR="008E5C3C" w:rsidRPr="00E63DA2"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Monetario Euro: rendimento assoluto;</w:t>
      </w:r>
    </w:p>
    <w:p w:rsidR="008E5C3C" w:rsidRPr="00E63DA2"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Obbligazionario Euro Breve termine: Information ratio;</w:t>
      </w:r>
    </w:p>
    <w:p w:rsidR="008E5C3C" w:rsidRPr="00E63DA2"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Obbligazionario Euro: Information ratio;</w:t>
      </w:r>
    </w:p>
    <w:p w:rsidR="008E5C3C" w:rsidRPr="00E63DA2"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Obbligazionario High Yield: Information ratio;</w:t>
      </w:r>
    </w:p>
    <w:p w:rsidR="008E5C3C" w:rsidRPr="00E63DA2" w:rsidRDefault="008E5C3C" w:rsidP="008E5C3C">
      <w:pPr>
        <w:numPr>
          <w:ilvl w:val="0"/>
          <w:numId w:val="41"/>
        </w:numPr>
        <w:autoSpaceDE/>
        <w:autoSpaceDN/>
        <w:adjustRightInd/>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Obbligazionario Globale: Information ratio;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Obbligazionario Paesi Emergenti: Information ratio;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Azionario Europa: Information ratio;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Azionario Nord America: Information ratio;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Azionario Pacifico: Information ratio;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Azionario Paesi emergenti: Information ratio;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Azionario Globale: Information ratio;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Flessibili a bassa volatilità: Indice di Sortino;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Flessibili a media volatilità: Indice di Sortino;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Flessibili ad alta volatilità: Indice di Sortino;</w:t>
      </w:r>
    </w:p>
    <w:p w:rsidR="008E5C3C" w:rsidRPr="00E63DA2" w:rsidRDefault="008E5C3C" w:rsidP="008E5C3C">
      <w:pPr>
        <w:numPr>
          <w:ilvl w:val="0"/>
          <w:numId w:val="41"/>
        </w:numPr>
        <w:autoSpaceDE/>
        <w:autoSpaceDN/>
        <w:adjustRightInd/>
        <w:spacing w:line="360" w:lineRule="auto"/>
        <w:ind w:left="708" w:hanging="348"/>
        <w:jc w:val="both"/>
        <w:rPr>
          <w:rFonts w:asciiTheme="minorHAnsi" w:hAnsiTheme="minorHAnsi" w:cstheme="minorHAnsi"/>
          <w:sz w:val="24"/>
          <w:szCs w:val="24"/>
        </w:rPr>
      </w:pPr>
      <w:r w:rsidRPr="00E63DA2">
        <w:rPr>
          <w:rFonts w:asciiTheme="minorHAnsi" w:hAnsiTheme="minorHAnsi" w:cstheme="minorHAnsi"/>
          <w:sz w:val="24"/>
          <w:szCs w:val="24"/>
        </w:rPr>
        <w:t>Opportunities: Indice di Sharpe.</w:t>
      </w:r>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L’information ratio, premiando la capacità del gestore di generare alfa rispetto al benchmark di riferimento</w:t>
      </w:r>
      <w:r>
        <w:rPr>
          <w:rFonts w:asciiTheme="minorHAnsi" w:hAnsiTheme="minorHAnsi" w:cstheme="minorHAnsi"/>
          <w:sz w:val="24"/>
          <w:szCs w:val="24"/>
        </w:rPr>
        <w:t>,</w:t>
      </w:r>
      <w:r w:rsidRPr="00E63DA2">
        <w:rPr>
          <w:rFonts w:asciiTheme="minorHAnsi" w:hAnsiTheme="minorHAnsi" w:cstheme="minorHAnsi"/>
          <w:sz w:val="24"/>
          <w:szCs w:val="24"/>
        </w:rPr>
        <w:t xml:space="preserve"> costituisce l’indicatore più appropriato per valutare fondi specializzati su specifiche asset</w:t>
      </w:r>
      <w:r w:rsidR="004B2848">
        <w:rPr>
          <w:rFonts w:asciiTheme="minorHAnsi" w:hAnsiTheme="minorHAnsi" w:cstheme="minorHAnsi"/>
          <w:sz w:val="24"/>
          <w:szCs w:val="24"/>
        </w:rPr>
        <w:t xml:space="preserve"> </w:t>
      </w:r>
      <w:r w:rsidRPr="00E63DA2">
        <w:rPr>
          <w:rFonts w:asciiTheme="minorHAnsi" w:hAnsiTheme="minorHAnsi" w:cstheme="minorHAnsi"/>
          <w:sz w:val="24"/>
          <w:szCs w:val="24"/>
        </w:rPr>
        <w:t xml:space="preserve">class. </w:t>
      </w:r>
      <w:r>
        <w:rPr>
          <w:rFonts w:asciiTheme="minorHAnsi" w:hAnsiTheme="minorHAnsi" w:cstheme="minorHAnsi"/>
          <w:sz w:val="24"/>
          <w:szCs w:val="24"/>
        </w:rPr>
        <w:t>Più i</w:t>
      </w:r>
      <w:r w:rsidRPr="00E63DA2">
        <w:rPr>
          <w:rFonts w:asciiTheme="minorHAnsi" w:hAnsiTheme="minorHAnsi" w:cstheme="minorHAnsi"/>
          <w:sz w:val="24"/>
          <w:szCs w:val="24"/>
        </w:rPr>
        <w:t xml:space="preserve">n particolare questo indicatore tiene conto </w:t>
      </w:r>
      <w:r>
        <w:rPr>
          <w:rFonts w:asciiTheme="minorHAnsi" w:hAnsiTheme="minorHAnsi" w:cstheme="minorHAnsi"/>
          <w:sz w:val="24"/>
          <w:szCs w:val="24"/>
        </w:rPr>
        <w:t xml:space="preserve">sia </w:t>
      </w:r>
      <w:r w:rsidRPr="00E63DA2">
        <w:rPr>
          <w:rFonts w:asciiTheme="minorHAnsi" w:hAnsiTheme="minorHAnsi" w:cstheme="minorHAnsi"/>
          <w:sz w:val="24"/>
          <w:szCs w:val="24"/>
        </w:rPr>
        <w:t>del rendimento generato rispetto al benchmark</w:t>
      </w:r>
      <w:r>
        <w:rPr>
          <w:rFonts w:asciiTheme="minorHAnsi" w:hAnsiTheme="minorHAnsi" w:cstheme="minorHAnsi"/>
          <w:sz w:val="24"/>
          <w:szCs w:val="24"/>
        </w:rPr>
        <w:t>, sia de</w:t>
      </w:r>
      <w:r w:rsidRPr="00E63DA2">
        <w:rPr>
          <w:rFonts w:asciiTheme="minorHAnsi" w:hAnsiTheme="minorHAnsi" w:cstheme="minorHAnsi"/>
          <w:sz w:val="24"/>
          <w:szCs w:val="24"/>
        </w:rPr>
        <w:t>l livello di tracking</w:t>
      </w:r>
      <w:r>
        <w:rPr>
          <w:rFonts w:asciiTheme="minorHAnsi" w:hAnsiTheme="minorHAnsi" w:cstheme="minorHAnsi"/>
          <w:sz w:val="24"/>
          <w:szCs w:val="24"/>
        </w:rPr>
        <w:t xml:space="preserve"> </w:t>
      </w:r>
      <w:r w:rsidRPr="00E63DA2">
        <w:rPr>
          <w:rFonts w:asciiTheme="minorHAnsi" w:hAnsiTheme="minorHAnsi" w:cstheme="minorHAnsi"/>
          <w:sz w:val="24"/>
          <w:szCs w:val="24"/>
        </w:rPr>
        <w:t>error</w:t>
      </w:r>
      <w:r>
        <w:rPr>
          <w:rFonts w:asciiTheme="minorHAnsi" w:hAnsiTheme="minorHAnsi" w:cstheme="minorHAnsi"/>
          <w:sz w:val="24"/>
          <w:szCs w:val="24"/>
        </w:rPr>
        <w:t xml:space="preserve"> volatility (ossia del rischio differenziale che il gestore si è assunto rispetto al benchmark). In formule:</w:t>
      </w:r>
    </w:p>
    <w:p w:rsidR="008E5C3C" w:rsidRDefault="003B4CCB" w:rsidP="008E5C3C">
      <w:pPr>
        <w:spacing w:line="360" w:lineRule="au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TEV</m:t>
              </m:r>
            </m:e>
            <m:sub>
              <m:r>
                <w:rPr>
                  <w:rFonts w:ascii="Cambria Math" w:hAnsi="Cambria Math" w:cstheme="minorHAnsi"/>
                  <w:sz w:val="24"/>
                  <w:szCs w:val="24"/>
                </w:rPr>
                <m:t>Port</m:t>
              </m:r>
            </m:sub>
          </m:sSub>
          <m:r>
            <w:rPr>
              <w:rFonts w:ascii="Cambria Math" w:hAnsi="Cambria Math" w:cstheme="minorHAnsi"/>
              <w:sz w:val="24"/>
              <w:szCs w:val="24"/>
            </w:rPr>
            <m:t>=</m:t>
          </m:r>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Port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Bmk</m:t>
                                          </m:r>
                                        </m:sub>
                                      </m:sSub>
                                    </m:e>
                                  </m:d>
                                </m:e>
                                <m:sub>
                                  <m:r>
                                    <w:rPr>
                                      <w:rFonts w:ascii="Cambria Math" w:hAnsi="Cambria Math" w:cstheme="minorHAnsi"/>
                                      <w:sz w:val="24"/>
                                      <w:szCs w:val="24"/>
                                    </w:rPr>
                                    <m:t>i</m:t>
                                  </m:r>
                                </m:sub>
                              </m:sSub>
                              <m:r>
                                <w:rPr>
                                  <w:rFonts w:ascii="Cambria Math" w:hAnsi="Cambria Math" w:cstheme="minorHAnsi"/>
                                  <w:sz w:val="24"/>
                                  <w:szCs w:val="24"/>
                                </w:rPr>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Port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Bmk</m:t>
                                          </m:r>
                                        </m:sub>
                                      </m:sSub>
                                    </m:e>
                                  </m:acc>
                                </m:e>
                              </m:d>
                            </m:e>
                          </m:d>
                        </m:e>
                      </m:nary>
                    </m:e>
                    <m:sup>
                      <m:r>
                        <w:rPr>
                          <w:rFonts w:ascii="Cambria Math" w:hAnsi="Cambria Math" w:cstheme="minorHAnsi"/>
                          <w:sz w:val="24"/>
                          <w:szCs w:val="24"/>
                        </w:rPr>
                        <m:t>2</m:t>
                      </m:r>
                    </m:sup>
                  </m:sSup>
                </m:num>
                <m:den>
                  <m:r>
                    <w:rPr>
                      <w:rFonts w:ascii="Cambria Math" w:hAnsi="Cambria Math" w:cstheme="minorHAnsi"/>
                      <w:sz w:val="24"/>
                      <w:szCs w:val="24"/>
                    </w:rPr>
                    <m:t>n</m:t>
                  </m:r>
                </m:den>
              </m:f>
            </m:e>
          </m:rad>
        </m:oMath>
      </m:oMathPara>
    </w:p>
    <w:p w:rsidR="008E5C3C" w:rsidRDefault="008E5C3C" w:rsidP="008E5C3C">
      <w:pPr>
        <w:pStyle w:val="NormaleWeb"/>
        <w:spacing w:before="2" w:after="2" w:line="360" w:lineRule="auto"/>
        <w:jc w:val="both"/>
        <w:rPr>
          <w:rFonts w:asciiTheme="minorHAnsi" w:hAnsiTheme="minorHAnsi" w:cstheme="minorBidi"/>
          <w:lang w:eastAsia="en-US"/>
        </w:rPr>
      </w:pPr>
      <m:oMathPara>
        <m:oMath>
          <m:r>
            <w:rPr>
              <w:rFonts w:ascii="Cambria Math" w:hAnsi="Cambria Math" w:cstheme="minorBidi"/>
              <w:lang w:eastAsia="en-US"/>
            </w:rPr>
            <m:t>Information ratio=</m:t>
          </m:r>
          <m:f>
            <m:fPr>
              <m:ctrlPr>
                <w:rPr>
                  <w:rFonts w:ascii="Cambria Math" w:hAnsi="Cambria Math" w:cstheme="minorBidi"/>
                  <w:i/>
                  <w:lang w:eastAsia="en-US"/>
                </w:rPr>
              </m:ctrlPr>
            </m:fPr>
            <m:num>
              <m:acc>
                <m:accPr>
                  <m:chr m:val="̅"/>
                  <m:ctrlPr>
                    <w:rPr>
                      <w:rFonts w:ascii="Cambria Math" w:hAnsi="Cambria Math" w:cstheme="minorBidi"/>
                      <w:i/>
                      <w:lang w:eastAsia="en-US"/>
                    </w:rPr>
                  </m:ctrlPr>
                </m:accPr>
                <m:e>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Port</m:t>
                      </m:r>
                    </m:sub>
                  </m:sSub>
                  <m: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Bmk</m:t>
                      </m:r>
                    </m:sub>
                  </m:sSub>
                </m:e>
              </m:acc>
            </m:num>
            <m:den>
              <m:sSub>
                <m:sSubPr>
                  <m:ctrlPr>
                    <w:rPr>
                      <w:rFonts w:ascii="Cambria Math" w:hAnsi="Cambria Math" w:cstheme="minorBidi"/>
                      <w:i/>
                      <w:lang w:eastAsia="en-US"/>
                    </w:rPr>
                  </m:ctrlPr>
                </m:sSubPr>
                <m:e>
                  <m:r>
                    <w:rPr>
                      <w:rFonts w:ascii="Cambria Math" w:hAnsi="Cambria Math" w:cstheme="minorBidi"/>
                      <w:lang w:eastAsia="en-US"/>
                    </w:rPr>
                    <m:t>TEV</m:t>
                  </m:r>
                </m:e>
                <m:sub>
                  <m:r>
                    <w:rPr>
                      <w:rFonts w:ascii="Cambria Math" w:hAnsi="Cambria Math" w:cstheme="minorBidi"/>
                      <w:lang w:eastAsia="en-US"/>
                    </w:rPr>
                    <m:t>Port</m:t>
                  </m:r>
                </m:sub>
              </m:sSub>
            </m:den>
          </m:f>
        </m:oMath>
      </m:oMathPara>
    </w:p>
    <w:p w:rsidR="008E5C3C" w:rsidRDefault="008E5C3C" w:rsidP="008E5C3C">
      <w:pPr>
        <w:pStyle w:val="NormaleWeb"/>
        <w:spacing w:before="2" w:after="2" w:line="360" w:lineRule="auto"/>
        <w:rPr>
          <w:rFonts w:asciiTheme="minorHAnsi" w:hAnsiTheme="minorHAnsi" w:cstheme="minorBidi"/>
          <w:lang w:eastAsia="en-US"/>
        </w:rPr>
      </w:pPr>
      <w:r>
        <w:rPr>
          <w:rFonts w:asciiTheme="minorHAnsi" w:hAnsiTheme="minorHAnsi" w:cstheme="minorBidi"/>
          <w:lang w:eastAsia="en-US"/>
        </w:rPr>
        <w:t xml:space="preserve">In altri termini, la tracking error volatility, corrisponde alla deviazione standard dei rendimenti differenziali del fondo rispetto al benchmark dell’asset class di riferimento e l’Information ratio misura il rendimento differenziale generato per unità di rischio attivo. Il calcolo viene effettuato utilizzando dati mensili e procedendo all’annualizzazione del numeratore (dato mensile </w:t>
      </w:r>
      <w:bookmarkStart w:id="85" w:name="OLE_LINK29"/>
      <w:r>
        <w:rPr>
          <w:rFonts w:asciiTheme="minorHAnsi" w:hAnsiTheme="minorHAnsi" w:cstheme="minorBidi"/>
          <w:lang w:eastAsia="en-US"/>
        </w:rPr>
        <w:t>moltiplicato per 12</w:t>
      </w:r>
      <w:bookmarkEnd w:id="85"/>
      <w:r>
        <w:rPr>
          <w:rFonts w:asciiTheme="minorHAnsi" w:hAnsiTheme="minorHAnsi" w:cstheme="minorBidi"/>
          <w:lang w:eastAsia="en-US"/>
        </w:rPr>
        <w:t>) e del denominatore (dato mensile moltiplicato per radice quadrata di 12)</w:t>
      </w:r>
      <w:r w:rsidR="00C831F0">
        <w:rPr>
          <w:rFonts w:asciiTheme="minorHAnsi" w:hAnsiTheme="minorHAnsi" w:cstheme="minorBidi"/>
          <w:lang w:eastAsia="en-US"/>
        </w:rPr>
        <w:t>.</w:t>
      </w:r>
    </w:p>
    <w:p w:rsidR="008E5C3C" w:rsidRDefault="00C831F0" w:rsidP="008E5C3C">
      <w:pPr>
        <w:pStyle w:val="NormaleWeb"/>
        <w:spacing w:line="360" w:lineRule="auto"/>
        <w:jc w:val="both"/>
        <w:rPr>
          <w:rFonts w:asciiTheme="minorHAnsi" w:hAnsiTheme="minorHAnsi" w:cstheme="minorHAnsi"/>
        </w:rPr>
      </w:pPr>
      <w:r>
        <w:rPr>
          <w:rFonts w:asciiTheme="minorHAnsi" w:hAnsiTheme="minorHAnsi" w:cstheme="minorBidi"/>
          <w:lang w:eastAsia="en-US"/>
        </w:rPr>
        <w:t>T</w:t>
      </w:r>
      <w:r w:rsidR="008E5C3C">
        <w:rPr>
          <w:rFonts w:asciiTheme="minorHAnsi" w:hAnsiTheme="minorHAnsi" w:cstheme="minorBidi"/>
          <w:lang w:eastAsia="en-US"/>
        </w:rPr>
        <w:t>ra le diverse misure di</w:t>
      </w:r>
      <w:r w:rsidR="004B2848">
        <w:rPr>
          <w:rFonts w:asciiTheme="minorHAnsi" w:hAnsiTheme="minorHAnsi" w:cstheme="minorBidi"/>
          <w:lang w:eastAsia="en-US"/>
        </w:rPr>
        <w:t xml:space="preserve"> </w:t>
      </w:r>
      <w:r w:rsidR="008E5C3C">
        <w:rPr>
          <w:rFonts w:asciiTheme="minorHAnsi" w:hAnsiTheme="minorHAnsi" w:cstheme="minorBidi"/>
          <w:lang w:eastAsia="en-US"/>
        </w:rPr>
        <w:t>rendimento corretto per il rischio, l’Information ratio si caratterizza, quindi,  per essere l’unica in grado di coniugare informazioni sull’efficienza (remunerazione per unità di rischio assunto) e sulla bravura (capacità di battere il parametro di riferimento).</w:t>
      </w:r>
      <w:r w:rsidR="008E5C3C" w:rsidRPr="00E63DA2">
        <w:rPr>
          <w:rFonts w:asciiTheme="minorHAnsi" w:hAnsiTheme="minorHAnsi" w:cstheme="minorHAnsi"/>
        </w:rPr>
        <w:t xml:space="preserve"> Per queste ragioni è un indicatore adatto per tutte le asset</w:t>
      </w:r>
      <w:r w:rsidR="004B2848">
        <w:rPr>
          <w:rFonts w:asciiTheme="minorHAnsi" w:hAnsiTheme="minorHAnsi" w:cstheme="minorHAnsi"/>
        </w:rPr>
        <w:t xml:space="preserve"> </w:t>
      </w:r>
      <w:r w:rsidR="008E5C3C" w:rsidRPr="00E63DA2">
        <w:rPr>
          <w:rFonts w:asciiTheme="minorHAnsi" w:hAnsiTheme="minorHAnsi" w:cstheme="minorHAnsi"/>
        </w:rPr>
        <w:t>class tradizionali presenti nei portafogli modello.</w:t>
      </w:r>
    </w:p>
    <w:p w:rsidR="008E5C3C" w:rsidRDefault="008E5C3C" w:rsidP="008E5C3C">
      <w:pPr>
        <w:spacing w:line="360" w:lineRule="auto"/>
        <w:jc w:val="both"/>
        <w:rPr>
          <w:rFonts w:asciiTheme="minorHAnsi" w:hAnsiTheme="minorHAnsi" w:cstheme="minorHAnsi"/>
          <w:sz w:val="24"/>
          <w:szCs w:val="24"/>
        </w:rPr>
      </w:pPr>
      <w:r>
        <w:rPr>
          <w:rFonts w:asciiTheme="minorHAnsi" w:hAnsiTheme="minorHAnsi" w:cstheme="minorHAnsi"/>
          <w:sz w:val="24"/>
          <w:szCs w:val="24"/>
        </w:rPr>
        <w:t>Nel caso di fondi flessibili, la cui performance dovrebbe essere scollegata da quella di uno specifico mercato, l’indicatore più appropriato è l</w:t>
      </w:r>
      <w:r w:rsidRPr="00E63DA2">
        <w:rPr>
          <w:rFonts w:asciiTheme="minorHAnsi" w:hAnsiTheme="minorHAnsi" w:cstheme="minorHAnsi"/>
          <w:sz w:val="24"/>
          <w:szCs w:val="24"/>
        </w:rPr>
        <w:t>’indice di Sortino</w:t>
      </w:r>
      <w:r>
        <w:rPr>
          <w:rFonts w:asciiTheme="minorHAnsi" w:hAnsiTheme="minorHAnsi" w:cstheme="minorHAnsi"/>
          <w:sz w:val="24"/>
          <w:szCs w:val="24"/>
        </w:rPr>
        <w:t xml:space="preserve"> che, utilizzando al denominatore una misura di volatilità al ribasso (il </w:t>
      </w:r>
      <w:r w:rsidR="004B2848">
        <w:rPr>
          <w:rFonts w:asciiTheme="minorHAnsi" w:hAnsiTheme="minorHAnsi" w:cstheme="minorHAnsi"/>
          <w:sz w:val="24"/>
          <w:szCs w:val="24"/>
        </w:rPr>
        <w:t xml:space="preserve">down side </w:t>
      </w:r>
      <w:r>
        <w:rPr>
          <w:rFonts w:asciiTheme="minorHAnsi" w:hAnsiTheme="minorHAnsi" w:cstheme="minorHAnsi"/>
          <w:sz w:val="24"/>
          <w:szCs w:val="24"/>
        </w:rPr>
        <w:t>risk), consente di catturare la capacità del gestore di contenere il rischio di perdite. In formule:</w:t>
      </w:r>
    </w:p>
    <w:p w:rsidR="008E5C3C" w:rsidRDefault="008E5C3C" w:rsidP="008E5C3C">
      <w:pPr>
        <w:spacing w:line="360" w:lineRule="auto"/>
        <w:jc w:val="both"/>
        <w:rPr>
          <w:rFonts w:asciiTheme="minorHAnsi" w:hAnsiTheme="minorHAnsi" w:cstheme="minorHAnsi"/>
          <w:sz w:val="24"/>
          <w:szCs w:val="24"/>
        </w:rPr>
      </w:pPr>
    </w:p>
    <w:p w:rsidR="008E5C3C" w:rsidRDefault="003B4CCB" w:rsidP="008E5C3C">
      <w:pPr>
        <w:spacing w:line="360" w:lineRule="au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DSR</m:t>
              </m:r>
            </m:e>
            <m:sub>
              <m:r>
                <w:rPr>
                  <w:rFonts w:ascii="Cambria Math" w:hAnsi="Cambria Math" w:cstheme="minorHAnsi"/>
                  <w:sz w:val="24"/>
                  <w:szCs w:val="24"/>
                </w:rPr>
                <m:t>Port</m:t>
              </m:r>
            </m:sub>
          </m:sSub>
          <m:r>
            <w:rPr>
              <w:rFonts w:ascii="Cambria Math" w:hAnsi="Cambria Math" w:cstheme="minorHAnsi"/>
              <w:sz w:val="24"/>
              <w:szCs w:val="24"/>
            </w:rPr>
            <m:t>=</m:t>
          </m:r>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Port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Risk-free</m:t>
                                      </m:r>
                                    </m:sub>
                                  </m:sSub>
                                </m:e>
                              </m:d>
                            </m:e>
                            <m:sup>
                              <m:r>
                                <w:rPr>
                                  <w:rFonts w:ascii="Cambria Math" w:hAnsi="Cambria Math" w:cstheme="minorHAnsi"/>
                                  <w:sz w:val="24"/>
                                  <w:szCs w:val="24"/>
                                </w:rPr>
                                <m:t>2</m:t>
                              </m:r>
                            </m:sup>
                          </m:sSup>
                          <m:r>
                            <w:rPr>
                              <w:rFonts w:ascii="Cambria Math" w:hAnsi="Cambria Math" w:cstheme="minorHAnsi"/>
                              <w:sz w:val="24"/>
                              <w:szCs w:val="24"/>
                            </w:rPr>
                            <m:t xml:space="preserve">;se </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Port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Risk-free</m:t>
                                  </m:r>
                                </m:sub>
                              </m:sSub>
                            </m:e>
                          </m:d>
                          <m:r>
                            <w:rPr>
                              <w:rFonts w:ascii="Cambria Math" w:hAnsi="Cambria Math" w:cstheme="minorHAnsi"/>
                              <w:sz w:val="24"/>
                              <w:szCs w:val="24"/>
                            </w:rPr>
                            <m:t xml:space="preserve">≤0  </m:t>
                          </m:r>
                        </m:e>
                      </m:nary>
                    </m:e>
                    <m:sup/>
                  </m:sSup>
                </m:num>
                <m:den>
                  <m:r>
                    <w:rPr>
                      <w:rFonts w:ascii="Cambria Math" w:hAnsi="Cambria Math" w:cstheme="minorHAnsi"/>
                      <w:sz w:val="24"/>
                      <w:szCs w:val="24"/>
                    </w:rPr>
                    <m:t>n</m:t>
                  </m:r>
                </m:den>
              </m:f>
            </m:e>
          </m:rad>
        </m:oMath>
      </m:oMathPara>
    </w:p>
    <w:p w:rsidR="008E5C3C" w:rsidRDefault="008E5C3C" w:rsidP="008E5C3C">
      <w:pPr>
        <w:pStyle w:val="NormaleWeb"/>
        <w:spacing w:before="2" w:after="2" w:line="360" w:lineRule="auto"/>
        <w:jc w:val="both"/>
        <w:rPr>
          <w:rFonts w:asciiTheme="minorHAnsi" w:hAnsiTheme="minorHAnsi" w:cstheme="minorBidi"/>
          <w:lang w:eastAsia="en-US"/>
        </w:rPr>
      </w:pPr>
      <m:oMathPara>
        <m:oMath>
          <m:r>
            <w:rPr>
              <w:rFonts w:ascii="Cambria Math" w:hAnsi="Cambria Math" w:cstheme="minorBidi"/>
              <w:lang w:eastAsia="en-US"/>
            </w:rPr>
            <m:t>Indice di Sortino=</m:t>
          </m:r>
          <m:f>
            <m:fPr>
              <m:ctrlPr>
                <w:rPr>
                  <w:rFonts w:ascii="Cambria Math" w:hAnsi="Cambria Math" w:cstheme="minorBidi"/>
                  <w:i/>
                  <w:lang w:eastAsia="en-US"/>
                </w:rPr>
              </m:ctrlPr>
            </m:fPr>
            <m:num>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Port</m:t>
                  </m:r>
                </m:sub>
              </m:sSub>
              <m:r>
                <w:rPr>
                  <w:rFonts w:ascii="Cambria Math" w:hAnsi="Cambria Math" w:cstheme="minorBidi"/>
                  <w:lang w:eastAsia="en-US"/>
                </w:rPr>
                <m:t>-</m:t>
              </m:r>
              <m:sSub>
                <m:sSubPr>
                  <m:ctrlPr>
                    <w:rPr>
                      <w:rFonts w:ascii="Cambria Math" w:hAnsi="Cambria Math" w:cstheme="minorBidi"/>
                      <w:i/>
                      <w:lang w:eastAsia="en-US"/>
                    </w:rPr>
                  </m:ctrlPr>
                </m:sSubPr>
                <m:e>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Risk-free</m:t>
                      </m:r>
                    </m:sub>
                  </m:sSub>
                </m:e>
                <m:sub/>
              </m:sSub>
            </m:num>
            <m:den>
              <m:sSub>
                <m:sSubPr>
                  <m:ctrlPr>
                    <w:rPr>
                      <w:rFonts w:ascii="Cambria Math" w:hAnsi="Cambria Math" w:cstheme="minorBidi"/>
                      <w:i/>
                      <w:lang w:eastAsia="en-US"/>
                    </w:rPr>
                  </m:ctrlPr>
                </m:sSubPr>
                <m:e>
                  <m:r>
                    <w:rPr>
                      <w:rFonts w:ascii="Cambria Math" w:hAnsi="Cambria Math" w:cstheme="minorBidi"/>
                      <w:lang w:eastAsia="en-US"/>
                    </w:rPr>
                    <m:t>DSR</m:t>
                  </m:r>
                </m:e>
                <m:sub>
                  <m:r>
                    <w:rPr>
                      <w:rFonts w:ascii="Cambria Math" w:hAnsi="Cambria Math" w:cstheme="minorBidi"/>
                      <w:lang w:eastAsia="en-US"/>
                    </w:rPr>
                    <m:t>Port</m:t>
                  </m:r>
                </m:sub>
              </m:sSub>
            </m:den>
          </m:f>
        </m:oMath>
      </m:oMathPara>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Al numeratore</w:t>
      </w:r>
      <w:r>
        <w:rPr>
          <w:rFonts w:asciiTheme="minorHAnsi" w:hAnsiTheme="minorHAnsi" w:cstheme="minorHAnsi"/>
          <w:sz w:val="24"/>
          <w:szCs w:val="24"/>
        </w:rPr>
        <w:t>, annualizzato moltiplicando il dato mensile per 12,</w:t>
      </w:r>
      <w:r w:rsidRPr="00E63DA2">
        <w:rPr>
          <w:rFonts w:asciiTheme="minorHAnsi" w:hAnsiTheme="minorHAnsi" w:cstheme="minorHAnsi"/>
          <w:sz w:val="24"/>
          <w:szCs w:val="24"/>
        </w:rPr>
        <w:t xml:space="preserve"> si considera la capacità del gestore di offrire </w:t>
      </w:r>
      <w:r>
        <w:rPr>
          <w:rFonts w:asciiTheme="minorHAnsi" w:hAnsiTheme="minorHAnsi" w:cstheme="minorHAnsi"/>
          <w:sz w:val="24"/>
          <w:szCs w:val="24"/>
        </w:rPr>
        <w:t>u</w:t>
      </w:r>
      <w:r w:rsidRPr="00E63DA2">
        <w:rPr>
          <w:rFonts w:asciiTheme="minorHAnsi" w:hAnsiTheme="minorHAnsi" w:cstheme="minorHAnsi"/>
          <w:sz w:val="24"/>
          <w:szCs w:val="24"/>
        </w:rPr>
        <w:t>na redditività differenziale rispetto al</w:t>
      </w:r>
      <w:r>
        <w:rPr>
          <w:rFonts w:asciiTheme="minorHAnsi" w:hAnsiTheme="minorHAnsi" w:cstheme="minorHAnsi"/>
          <w:sz w:val="24"/>
          <w:szCs w:val="24"/>
        </w:rPr>
        <w:t>l’attività priva di rischio (</w:t>
      </w:r>
      <w:r w:rsidRPr="009344E7">
        <w:rPr>
          <w:rFonts w:asciiTheme="minorHAnsi" w:hAnsiTheme="minorHAnsi" w:cstheme="minorHAnsi"/>
          <w:sz w:val="24"/>
          <w:szCs w:val="24"/>
        </w:rPr>
        <w:t>MTSIBOTR INDEX</w:t>
      </w:r>
      <w:r>
        <w:rPr>
          <w:rFonts w:asciiTheme="minorHAnsi" w:hAnsiTheme="minorHAnsi" w:cstheme="minorHAnsi"/>
          <w:sz w:val="24"/>
          <w:szCs w:val="24"/>
        </w:rPr>
        <w:t xml:space="preserve">) ed al denominatore (annualizzato moltiplicando il dato mensile per radice quadrata di 12), in luogo della tradizionale deviazione standard, si ricorre al </w:t>
      </w:r>
      <w:r w:rsidR="004B2848">
        <w:rPr>
          <w:rFonts w:asciiTheme="minorHAnsi" w:hAnsiTheme="minorHAnsi" w:cstheme="minorHAnsi"/>
          <w:sz w:val="24"/>
          <w:szCs w:val="24"/>
        </w:rPr>
        <w:t xml:space="preserve">down side </w:t>
      </w:r>
      <w:r>
        <w:rPr>
          <w:rFonts w:asciiTheme="minorHAnsi" w:hAnsiTheme="minorHAnsi" w:cstheme="minorHAnsi"/>
          <w:sz w:val="24"/>
          <w:szCs w:val="24"/>
        </w:rPr>
        <w:t xml:space="preserve">risk, ossia ad una misura di rischio in grado di incorporare fenomeni di non normalità della distribuzione dei rendimenti. Il significato </w:t>
      </w:r>
      <w:r>
        <w:rPr>
          <w:rFonts w:asciiTheme="minorHAnsi" w:hAnsiTheme="minorHAnsi" w:cstheme="minorHAnsi"/>
          <w:sz w:val="24"/>
          <w:szCs w:val="24"/>
        </w:rPr>
        <w:lastRenderedPageBreak/>
        <w:t>dell’indice di Sortino è quindi quello di rendimento differenziale per ogni punto percentuale di down side risk.</w:t>
      </w:r>
    </w:p>
    <w:p w:rsidR="008E5C3C" w:rsidRDefault="008E5C3C" w:rsidP="008E5C3C">
      <w:pPr>
        <w:spacing w:line="360" w:lineRule="auto"/>
        <w:jc w:val="both"/>
        <w:rPr>
          <w:rFonts w:asciiTheme="minorHAnsi" w:hAnsiTheme="minorHAnsi" w:cstheme="minorHAnsi"/>
          <w:sz w:val="24"/>
          <w:szCs w:val="24"/>
        </w:rPr>
      </w:pPr>
      <w:r w:rsidRPr="00E63DA2">
        <w:rPr>
          <w:rFonts w:asciiTheme="minorHAnsi" w:hAnsiTheme="minorHAnsi" w:cstheme="minorHAnsi"/>
          <w:sz w:val="24"/>
          <w:szCs w:val="24"/>
        </w:rPr>
        <w:t>L’indice di Sharpe</w:t>
      </w:r>
      <w:r>
        <w:rPr>
          <w:rFonts w:asciiTheme="minorHAnsi" w:hAnsiTheme="minorHAnsi" w:cstheme="minorHAnsi"/>
          <w:sz w:val="24"/>
          <w:szCs w:val="24"/>
        </w:rPr>
        <w:t>, infine, costituisce la scelta più appropriata ove si voglia v</w:t>
      </w:r>
      <w:r w:rsidRPr="00E63DA2">
        <w:rPr>
          <w:rFonts w:asciiTheme="minorHAnsi" w:hAnsiTheme="minorHAnsi" w:cstheme="minorHAnsi"/>
          <w:sz w:val="24"/>
          <w:szCs w:val="24"/>
        </w:rPr>
        <w:t xml:space="preserve">alutare l’efficienza dei fondi </w:t>
      </w:r>
      <w:r>
        <w:rPr>
          <w:rFonts w:asciiTheme="minorHAnsi" w:hAnsiTheme="minorHAnsi" w:cstheme="minorHAnsi"/>
          <w:sz w:val="24"/>
          <w:szCs w:val="24"/>
        </w:rPr>
        <w:t xml:space="preserve">che non hanno </w:t>
      </w:r>
      <w:r w:rsidRPr="00E63DA2">
        <w:rPr>
          <w:rFonts w:asciiTheme="minorHAnsi" w:hAnsiTheme="minorHAnsi" w:cstheme="minorHAnsi"/>
          <w:sz w:val="24"/>
          <w:szCs w:val="24"/>
        </w:rPr>
        <w:t xml:space="preserve">un particolare collegamento ad una </w:t>
      </w:r>
      <w:r>
        <w:rPr>
          <w:rFonts w:asciiTheme="minorHAnsi" w:hAnsiTheme="minorHAnsi" w:cstheme="minorHAnsi"/>
          <w:sz w:val="24"/>
          <w:szCs w:val="24"/>
        </w:rPr>
        <w:t xml:space="preserve">specifica </w:t>
      </w:r>
      <w:r w:rsidRPr="00E63DA2">
        <w:rPr>
          <w:rFonts w:asciiTheme="minorHAnsi" w:hAnsiTheme="minorHAnsi" w:cstheme="minorHAnsi"/>
          <w:sz w:val="24"/>
          <w:szCs w:val="24"/>
        </w:rPr>
        <w:t>asset</w:t>
      </w:r>
      <w:r>
        <w:rPr>
          <w:rFonts w:asciiTheme="minorHAnsi" w:hAnsiTheme="minorHAnsi" w:cstheme="minorHAnsi"/>
          <w:sz w:val="24"/>
          <w:szCs w:val="24"/>
        </w:rPr>
        <w:t xml:space="preserve"> </w:t>
      </w:r>
      <w:r w:rsidRPr="00E63DA2">
        <w:rPr>
          <w:rFonts w:asciiTheme="minorHAnsi" w:hAnsiTheme="minorHAnsi" w:cstheme="minorHAnsi"/>
          <w:sz w:val="24"/>
          <w:szCs w:val="24"/>
        </w:rPr>
        <w:t>class di riferimento</w:t>
      </w:r>
      <w:r>
        <w:rPr>
          <w:rFonts w:asciiTheme="minorHAnsi" w:hAnsiTheme="minorHAnsi" w:cstheme="minorHAnsi"/>
          <w:sz w:val="24"/>
          <w:szCs w:val="24"/>
        </w:rPr>
        <w:t>, ma siano comunque fondi direzionali sui quali l’investitore investe in conseguenza di specifiche view. In formule:</w:t>
      </w:r>
    </w:p>
    <w:p w:rsidR="008E5C3C" w:rsidRDefault="008E5C3C" w:rsidP="008E5C3C">
      <w:pPr>
        <w:pStyle w:val="NormaleWeb"/>
        <w:spacing w:before="2" w:after="2" w:line="360" w:lineRule="auto"/>
        <w:jc w:val="both"/>
        <w:rPr>
          <w:rFonts w:asciiTheme="minorHAnsi" w:hAnsiTheme="minorHAnsi" w:cstheme="minorBidi"/>
          <w:lang w:eastAsia="en-US"/>
        </w:rPr>
      </w:pPr>
      <m:oMathPara>
        <m:oMath>
          <m:r>
            <w:rPr>
              <w:rFonts w:ascii="Cambria Math" w:hAnsi="Cambria Math" w:cstheme="minorBidi"/>
              <w:lang w:eastAsia="en-US"/>
            </w:rPr>
            <m:t>Indice di Sharpe=</m:t>
          </m:r>
          <m:f>
            <m:fPr>
              <m:ctrlPr>
                <w:rPr>
                  <w:rFonts w:ascii="Cambria Math" w:hAnsi="Cambria Math" w:cstheme="minorBidi"/>
                  <w:i/>
                  <w:lang w:eastAsia="en-US"/>
                </w:rPr>
              </m:ctrlPr>
            </m:fPr>
            <m:num>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Port</m:t>
                  </m:r>
                </m:sub>
              </m:sSub>
              <m: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Risk-free</m:t>
                  </m:r>
                </m:sub>
              </m:sSub>
            </m:num>
            <m:den>
              <m:sSub>
                <m:sSubPr>
                  <m:ctrlPr>
                    <w:rPr>
                      <w:rFonts w:ascii="Cambria Math" w:hAnsi="Cambria Math" w:cstheme="minorBidi"/>
                      <w:i/>
                      <w:lang w:eastAsia="en-US"/>
                    </w:rPr>
                  </m:ctrlPr>
                </m:sSubPr>
                <m:e>
                  <m:r>
                    <w:rPr>
                      <w:rFonts w:ascii="Cambria Math" w:hAnsi="Cambria Math" w:cstheme="minorBidi"/>
                      <w:lang w:eastAsia="en-US"/>
                    </w:rPr>
                    <m:t>σ</m:t>
                  </m:r>
                </m:e>
                <m:sub>
                  <m:r>
                    <w:rPr>
                      <w:rFonts w:ascii="Cambria Math" w:hAnsi="Cambria Math" w:cstheme="minorBidi"/>
                      <w:lang w:eastAsia="en-US"/>
                    </w:rPr>
                    <m:t>Port</m:t>
                  </m:r>
                </m:sub>
              </m:sSub>
            </m:den>
          </m:f>
        </m:oMath>
      </m:oMathPara>
    </w:p>
    <w:p w:rsidR="008E5C3C" w:rsidRPr="00E63DA2" w:rsidRDefault="008E5C3C" w:rsidP="008E5C3C">
      <w:pPr>
        <w:spacing w:line="360" w:lineRule="auto"/>
        <w:jc w:val="both"/>
        <w:rPr>
          <w:rFonts w:asciiTheme="minorHAnsi" w:hAnsiTheme="minorHAnsi" w:cstheme="minorHAnsi"/>
          <w:sz w:val="24"/>
          <w:szCs w:val="24"/>
        </w:rPr>
      </w:pPr>
      <w:r>
        <w:rPr>
          <w:rFonts w:asciiTheme="minorHAnsi" w:hAnsiTheme="minorHAnsi" w:cstheme="minorHAnsi"/>
          <w:sz w:val="24"/>
          <w:szCs w:val="24"/>
        </w:rPr>
        <w:t>Anche in questo indicatore, il termine di riferimento è rappresentato dal rendimento dell’attività priva di rischio (</w:t>
      </w:r>
      <w:r w:rsidRPr="009344E7">
        <w:rPr>
          <w:rFonts w:asciiTheme="minorHAnsi" w:hAnsiTheme="minorHAnsi" w:cstheme="minorHAnsi"/>
          <w:sz w:val="24"/>
          <w:szCs w:val="24"/>
        </w:rPr>
        <w:t>MTSIBOTR INDEX</w:t>
      </w:r>
      <w:r>
        <w:rPr>
          <w:rFonts w:asciiTheme="minorHAnsi" w:hAnsiTheme="minorHAnsi" w:cstheme="minorHAnsi"/>
          <w:sz w:val="24"/>
          <w:szCs w:val="24"/>
        </w:rPr>
        <w:t>) e l’obiettivo perseguito è quello di offrire una misura di redditività per unità di rischio</w:t>
      </w:r>
      <w:r w:rsidRPr="00E63DA2">
        <w:rPr>
          <w:rFonts w:asciiTheme="minorHAnsi" w:hAnsiTheme="minorHAnsi" w:cstheme="minorHAnsi"/>
          <w:sz w:val="24"/>
          <w:szCs w:val="24"/>
        </w:rPr>
        <w:t>.</w:t>
      </w:r>
      <w:r>
        <w:rPr>
          <w:rFonts w:asciiTheme="minorHAnsi" w:hAnsiTheme="minorHAnsi" w:cstheme="minorHAnsi"/>
          <w:sz w:val="24"/>
          <w:szCs w:val="24"/>
        </w:rPr>
        <w:t xml:space="preserve"> L’indice di Sharpe, analogamente agli altri indici è calcolato su dati mensili, successivamente annualizzati moltiplicando per 12 il numeratore e per radice quadrata di 12 il denominatore.</w:t>
      </w:r>
    </w:p>
    <w:p w:rsidR="008E5C3C" w:rsidRPr="009A45D7" w:rsidRDefault="008E5C3C" w:rsidP="008E5C3C">
      <w:pPr>
        <w:spacing w:line="360" w:lineRule="auto"/>
        <w:jc w:val="both"/>
        <w:rPr>
          <w:rFonts w:asciiTheme="minorHAnsi" w:eastAsiaTheme="minorHAnsi" w:hAnsiTheme="minorHAnsi" w:cstheme="minorHAnsi"/>
          <w:sz w:val="24"/>
          <w:szCs w:val="24"/>
        </w:rPr>
      </w:pPr>
    </w:p>
    <w:p w:rsidR="008E5C3C" w:rsidRPr="006B28FF" w:rsidRDefault="008E5C3C" w:rsidP="006B28FF">
      <w:pPr>
        <w:autoSpaceDE/>
        <w:autoSpaceDN/>
        <w:adjustRightInd/>
        <w:spacing w:after="200" w:line="276" w:lineRule="auto"/>
        <w:rPr>
          <w:rFonts w:asciiTheme="minorHAnsi" w:hAnsiTheme="minorHAnsi" w:cstheme="minorHAnsi"/>
          <w:b/>
          <w:bCs/>
          <w:sz w:val="28"/>
          <w:szCs w:val="28"/>
        </w:rPr>
      </w:pPr>
    </w:p>
    <w:sectPr w:rsidR="008E5C3C" w:rsidRPr="006B28FF" w:rsidSect="00DF33CE">
      <w:footerReference w:type="default" r:id="rId3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CCB" w:rsidRDefault="003B4CCB" w:rsidP="00C557B4">
      <w:r>
        <w:separator/>
      </w:r>
    </w:p>
  </w:endnote>
  <w:endnote w:type="continuationSeparator" w:id="0">
    <w:p w:rsidR="003B4CCB" w:rsidRDefault="003B4CCB" w:rsidP="00C5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Bembo">
    <w:altName w:val="Georgi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945159"/>
      <w:docPartObj>
        <w:docPartGallery w:val="Page Numbers (Bottom of Page)"/>
        <w:docPartUnique/>
      </w:docPartObj>
    </w:sdtPr>
    <w:sdtEndPr/>
    <w:sdtContent>
      <w:p w:rsidR="00C5468C" w:rsidRDefault="00C5468C">
        <w:pPr>
          <w:pStyle w:val="Pidipagina"/>
          <w:jc w:val="center"/>
        </w:pPr>
        <w:r>
          <w:t xml:space="preserve">- </w:t>
        </w:r>
        <w:r w:rsidRPr="00465642">
          <w:rPr>
            <w:rFonts w:asciiTheme="minorHAnsi" w:hAnsiTheme="minorHAnsi"/>
          </w:rPr>
          <w:fldChar w:fldCharType="begin"/>
        </w:r>
        <w:r w:rsidRPr="00465642">
          <w:rPr>
            <w:rFonts w:asciiTheme="minorHAnsi" w:hAnsiTheme="minorHAnsi"/>
          </w:rPr>
          <w:instrText xml:space="preserve"> PAGE   \* MERGEFORMAT </w:instrText>
        </w:r>
        <w:r w:rsidRPr="00465642">
          <w:rPr>
            <w:rFonts w:asciiTheme="minorHAnsi" w:hAnsiTheme="minorHAnsi"/>
          </w:rPr>
          <w:fldChar w:fldCharType="separate"/>
        </w:r>
        <w:r w:rsidR="006B7620">
          <w:rPr>
            <w:rFonts w:asciiTheme="minorHAnsi" w:hAnsiTheme="minorHAnsi"/>
            <w:noProof/>
          </w:rPr>
          <w:t>1</w:t>
        </w:r>
        <w:r w:rsidRPr="00465642">
          <w:rPr>
            <w:rFonts w:asciiTheme="minorHAnsi" w:hAnsiTheme="minorHAnsi"/>
          </w:rPr>
          <w:fldChar w:fldCharType="end"/>
        </w:r>
        <w:r>
          <w:rPr>
            <w:rFonts w:asciiTheme="minorHAnsi" w:hAnsiTheme="minorHAnsi"/>
          </w:rPr>
          <w:t xml:space="preserve"> -</w:t>
        </w:r>
      </w:p>
    </w:sdtContent>
  </w:sdt>
  <w:p w:rsidR="00C5468C" w:rsidRDefault="00C5468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CCB" w:rsidRDefault="003B4CCB" w:rsidP="00C557B4">
      <w:r>
        <w:separator/>
      </w:r>
    </w:p>
  </w:footnote>
  <w:footnote w:type="continuationSeparator" w:id="0">
    <w:p w:rsidR="003B4CCB" w:rsidRDefault="003B4CCB" w:rsidP="00C557B4">
      <w:r>
        <w:continuationSeparator/>
      </w:r>
    </w:p>
  </w:footnote>
  <w:footnote w:id="1">
    <w:p w:rsidR="00C5468C" w:rsidRPr="001B7762" w:rsidRDefault="00C5468C" w:rsidP="008C3A6C">
      <w:pPr>
        <w:pStyle w:val="Testonotaapidipagina"/>
        <w:jc w:val="both"/>
        <w:rPr>
          <w:rFonts w:ascii="Calibri" w:hAnsi="Calibri"/>
          <w:lang w:val="en-GB"/>
        </w:rPr>
      </w:pPr>
      <w:r w:rsidRPr="001B7762">
        <w:rPr>
          <w:rStyle w:val="Rimandonotaapidipagina"/>
          <w:rFonts w:ascii="Calibri" w:hAnsi="Calibri"/>
        </w:rPr>
        <w:footnoteRef/>
      </w:r>
      <w:r w:rsidRPr="001B7762">
        <w:rPr>
          <w:rFonts w:ascii="Calibri" w:hAnsi="Calibri"/>
          <w:lang w:val="en-GB"/>
        </w:rPr>
        <w:t xml:space="preserve">Cfr. B. Litterman, </w:t>
      </w:r>
      <w:r w:rsidRPr="001B7762">
        <w:rPr>
          <w:rFonts w:ascii="Calibri" w:hAnsi="Calibri"/>
          <w:i/>
          <w:lang w:val="en-GB"/>
        </w:rPr>
        <w:t>Global Equilibrium Expected Returns</w:t>
      </w:r>
      <w:r w:rsidRPr="001B7762">
        <w:rPr>
          <w:rFonts w:ascii="Calibri" w:hAnsi="Calibri"/>
          <w:lang w:val="en-GB"/>
        </w:rPr>
        <w:t xml:space="preserve">, in Litterman e altri, </w:t>
      </w:r>
      <w:r w:rsidRPr="001B7762">
        <w:rPr>
          <w:rFonts w:ascii="Calibri" w:hAnsi="Calibri"/>
          <w:i/>
          <w:lang w:val="en-GB"/>
        </w:rPr>
        <w:t>Modern Investment Management - an equilibrium approach</w:t>
      </w:r>
      <w:r w:rsidRPr="001B7762">
        <w:rPr>
          <w:rFonts w:ascii="Calibri" w:hAnsi="Calibri"/>
          <w:lang w:val="en-GB"/>
        </w:rPr>
        <w:t>, J. Wiley &amp; Sons, New Jersey, 2003, pag</w:t>
      </w:r>
      <w:r>
        <w:rPr>
          <w:rFonts w:ascii="Calibri" w:hAnsi="Calibri"/>
          <w:lang w:val="en-GB"/>
        </w:rPr>
        <w:t>g</w:t>
      </w:r>
      <w:r w:rsidRPr="001B7762">
        <w:rPr>
          <w:rFonts w:ascii="Calibri" w:hAnsi="Calibri"/>
          <w:lang w:val="en-GB"/>
        </w:rPr>
        <w:t>. 76 – 88.</w:t>
      </w:r>
    </w:p>
  </w:footnote>
  <w:footnote w:id="2">
    <w:p w:rsidR="00C5468C" w:rsidRPr="00657774" w:rsidRDefault="00C5468C" w:rsidP="008C3A6C">
      <w:pPr>
        <w:pStyle w:val="Testonotaapidipagina"/>
        <w:jc w:val="both"/>
        <w:rPr>
          <w:lang w:val="en-GB"/>
        </w:rPr>
      </w:pPr>
      <w:r w:rsidRPr="001B7762">
        <w:rPr>
          <w:rStyle w:val="Rimandonotaapidipagina"/>
          <w:rFonts w:ascii="Calibri" w:hAnsi="Calibri"/>
        </w:rPr>
        <w:footnoteRef/>
      </w:r>
      <w:r w:rsidRPr="001B7762">
        <w:rPr>
          <w:rFonts w:ascii="Calibri" w:hAnsi="Calibri"/>
          <w:lang w:val="en-GB"/>
        </w:rPr>
        <w:t xml:space="preserve">Cfr. M. W. Brandt, </w:t>
      </w:r>
      <w:r w:rsidRPr="001B7762">
        <w:rPr>
          <w:rFonts w:ascii="Calibri" w:hAnsi="Calibri"/>
          <w:i/>
          <w:lang w:val="en-GB"/>
        </w:rPr>
        <w:t>Portfolio Choice Problems</w:t>
      </w:r>
      <w:r w:rsidRPr="001B7762">
        <w:rPr>
          <w:rFonts w:ascii="Calibri" w:hAnsi="Calibri"/>
          <w:lang w:val="en-GB"/>
        </w:rPr>
        <w:t xml:space="preserve">, in Y. Ait-Sahalia e L. Hansen, </w:t>
      </w:r>
      <w:r w:rsidRPr="001B7762">
        <w:rPr>
          <w:rFonts w:ascii="Calibri" w:hAnsi="Calibri"/>
          <w:i/>
          <w:lang w:val="en-GB"/>
        </w:rPr>
        <w:t>Handbook of Financial Econometrics</w:t>
      </w:r>
      <w:r w:rsidRPr="001B7762">
        <w:rPr>
          <w:rFonts w:ascii="Calibri" w:hAnsi="Calibri"/>
          <w:lang w:val="en-GB"/>
        </w:rPr>
        <w:t>, North Holland, Amsterdam, 1995.</w:t>
      </w:r>
    </w:p>
  </w:footnote>
  <w:footnote w:id="3">
    <w:p w:rsidR="00C5468C" w:rsidRPr="00A56045" w:rsidRDefault="00C5468C" w:rsidP="00D54843">
      <w:pPr>
        <w:pStyle w:val="Testonotaapidipagina"/>
        <w:jc w:val="both"/>
        <w:rPr>
          <w:rFonts w:asciiTheme="minorHAnsi" w:hAnsiTheme="minorHAnsi"/>
        </w:rPr>
      </w:pPr>
      <w:r>
        <w:rPr>
          <w:rStyle w:val="Rimandonotaapidipagina"/>
        </w:rPr>
        <w:footnoteRef/>
      </w:r>
      <w:r w:rsidRPr="00A56045">
        <w:rPr>
          <w:rFonts w:asciiTheme="minorHAnsi" w:hAnsiTheme="minorHAnsi"/>
        </w:rPr>
        <w:t>La scelta di ignorare tali asset class ai fini della definizione del portafoglio market neutral è dettato dal fatto che queste asset class sono la combinazione delle asset class considerate ai fini della costruzione del portafoglio neutrale. Pertanto, la stima del loro rendimento atteso viene desunta facendo la media ponderata dei rendimenti attesi di Black-Litterman delle asset class delle quali si compongono.</w:t>
      </w:r>
    </w:p>
  </w:footnote>
  <w:footnote w:id="4">
    <w:p w:rsidR="00C5468C" w:rsidRPr="00CB1803" w:rsidRDefault="00C5468C" w:rsidP="002A76FD">
      <w:pPr>
        <w:pStyle w:val="Testonotaapidipagina"/>
        <w:jc w:val="both"/>
        <w:rPr>
          <w:rFonts w:asciiTheme="minorHAnsi" w:hAnsiTheme="minorHAnsi"/>
        </w:rPr>
      </w:pPr>
      <w:r w:rsidRPr="00CB1803">
        <w:rPr>
          <w:rStyle w:val="Rimandonotaapidipagina"/>
          <w:rFonts w:asciiTheme="minorHAnsi" w:hAnsiTheme="minorHAnsi"/>
        </w:rPr>
        <w:footnoteRef/>
      </w:r>
      <w:r w:rsidRPr="00CB1803">
        <w:rPr>
          <w:rFonts w:asciiTheme="minorHAnsi" w:hAnsiTheme="minorHAnsi"/>
        </w:rPr>
        <w:t xml:space="preserve"> Per quest’ultima, data l’assenza di dati concreti in grado di rappresentare la dimensione dell’asset class</w:t>
      </w:r>
      <w:r>
        <w:rPr>
          <w:rFonts w:asciiTheme="minorHAnsi" w:hAnsiTheme="minorHAnsi"/>
        </w:rPr>
        <w:t xml:space="preserve"> Opportunities</w:t>
      </w:r>
      <w:r w:rsidRPr="00CB1803">
        <w:rPr>
          <w:rFonts w:asciiTheme="minorHAnsi" w:hAnsiTheme="minorHAnsi"/>
        </w:rPr>
        <w:t xml:space="preserve">, si è operato sulla base di un approccio soggettivo </w:t>
      </w:r>
      <w:r>
        <w:rPr>
          <w:rFonts w:asciiTheme="minorHAnsi" w:hAnsiTheme="minorHAnsi"/>
        </w:rPr>
        <w:t>dettato dalla volontà di limitare il peso di tale investimento, coerentemente con le scelte concretamente implementate dagli investitori domestici ed internazionali</w:t>
      </w:r>
      <w:r w:rsidRPr="00CB1803">
        <w:rPr>
          <w:rFonts w:asciiTheme="minorHAnsi" w:hAnsiTheme="minorHAnsi"/>
        </w:rPr>
        <w:t>.</w:t>
      </w:r>
    </w:p>
  </w:footnote>
  <w:footnote w:id="5">
    <w:p w:rsidR="00C5468C" w:rsidRPr="008D24C4" w:rsidRDefault="00C5468C">
      <w:pPr>
        <w:pStyle w:val="Testonotaapidipagina"/>
        <w:rPr>
          <w:rFonts w:asciiTheme="minorHAnsi" w:hAnsiTheme="minorHAnsi"/>
        </w:rPr>
      </w:pPr>
      <w:r>
        <w:rPr>
          <w:rStyle w:val="Rimandonotaapidipagina"/>
        </w:rPr>
        <w:footnoteRef/>
      </w:r>
      <w:r w:rsidRPr="008D24C4">
        <w:rPr>
          <w:rFonts w:asciiTheme="minorHAnsi" w:hAnsiTheme="minorHAnsi"/>
        </w:rPr>
        <w:t xml:space="preserve">D’ora in avanti </w:t>
      </w:r>
      <w:r>
        <w:rPr>
          <w:rFonts w:asciiTheme="minorHAnsi" w:hAnsiTheme="minorHAnsi"/>
        </w:rPr>
        <w:t>con il concetto di portafoglio market neutral si intenderà, sempre, il portafoglio neutrale corretto per il fenomeno dell’home bias.</w:t>
      </w:r>
    </w:p>
  </w:footnote>
  <w:footnote w:id="6">
    <w:p w:rsidR="00C5468C" w:rsidRPr="00CB1803" w:rsidRDefault="00C5468C" w:rsidP="008C3A6C">
      <w:pPr>
        <w:pStyle w:val="Testonotaapidipagina"/>
        <w:jc w:val="both"/>
        <w:rPr>
          <w:rFonts w:asciiTheme="minorHAnsi" w:hAnsiTheme="minorHAnsi"/>
        </w:rPr>
      </w:pPr>
      <w:r w:rsidRPr="00CB1803">
        <w:rPr>
          <w:rStyle w:val="Rimandonotaapidipagina"/>
          <w:rFonts w:asciiTheme="minorHAnsi" w:hAnsiTheme="minorHAnsi"/>
        </w:rPr>
        <w:footnoteRef/>
      </w:r>
      <w:r w:rsidRPr="00CB1803">
        <w:rPr>
          <w:rFonts w:asciiTheme="minorHAnsi" w:hAnsiTheme="minorHAnsi"/>
        </w:rPr>
        <w:t xml:space="preserve"> Infatti, come si è già evidenziato, in assenza di view i portafogli strategici proposti agli investitori hanno una composizione neutrale.</w:t>
      </w:r>
    </w:p>
  </w:footnote>
  <w:footnote w:id="7">
    <w:p w:rsidR="00C5468C" w:rsidRPr="00CB1803" w:rsidRDefault="00C5468C" w:rsidP="0024771A">
      <w:pPr>
        <w:pStyle w:val="Testonotaapidipagina"/>
        <w:jc w:val="both"/>
        <w:rPr>
          <w:rFonts w:asciiTheme="minorHAnsi" w:hAnsiTheme="minorHAnsi"/>
        </w:rPr>
      </w:pPr>
      <w:r w:rsidRPr="00CB1803">
        <w:rPr>
          <w:rStyle w:val="Rimandonotaapidipagina"/>
          <w:rFonts w:asciiTheme="minorHAnsi" w:hAnsiTheme="minorHAnsi"/>
        </w:rPr>
        <w:footnoteRef/>
      </w:r>
      <w:r w:rsidRPr="00CB1803">
        <w:rPr>
          <w:rFonts w:asciiTheme="minorHAnsi" w:hAnsiTheme="minorHAnsi"/>
        </w:rPr>
        <w:t xml:space="preserve"> La metodologia utilizzata è quella descritta in U.Pomante, U. (2013) “Market Timing with the Black-Litterman Model”, in (edited by) Carretta, A., Mattarocci, G., </w:t>
      </w:r>
      <w:r w:rsidRPr="00CB1803">
        <w:rPr>
          <w:rFonts w:asciiTheme="minorHAnsi" w:hAnsiTheme="minorHAnsi"/>
          <w:i/>
        </w:rPr>
        <w:t>Asset Pricing, Real Estate and Public Finance over the Crisis</w:t>
      </w:r>
      <w:r w:rsidRPr="00CB1803">
        <w:rPr>
          <w:rFonts w:asciiTheme="minorHAnsi" w:hAnsiTheme="minorHAnsi"/>
        </w:rPr>
        <w:t>, PalgraveMacmillan.</w:t>
      </w:r>
    </w:p>
  </w:footnote>
  <w:footnote w:id="8">
    <w:p w:rsidR="00C5468C" w:rsidRPr="00FD2616" w:rsidRDefault="00C5468C" w:rsidP="00CB1803">
      <w:pPr>
        <w:widowControl w:val="0"/>
        <w:jc w:val="both"/>
      </w:pPr>
      <w:r>
        <w:rPr>
          <w:rStyle w:val="Rimandonotaapidipagina"/>
        </w:rPr>
        <w:footnoteRef/>
      </w:r>
      <w:r w:rsidRPr="00CB1803">
        <w:rPr>
          <w:rFonts w:asciiTheme="minorHAnsi" w:hAnsiTheme="minorHAnsi"/>
        </w:rPr>
        <w:t>Infatti,</w:t>
      </w:r>
      <w:r>
        <w:rPr>
          <w:rFonts w:asciiTheme="minorHAnsi" w:hAnsiTheme="minorHAnsi"/>
        </w:rPr>
        <w:t xml:space="preserve"> </w:t>
      </w:r>
      <w:r w:rsidRPr="00CB1803">
        <w:rPr>
          <w:rFonts w:asciiTheme="minorHAnsi" w:hAnsiTheme="minorHAnsi"/>
        </w:rPr>
        <w:t>se i rendimenti attesi delle</w:t>
      </w:r>
      <w:r>
        <w:rPr>
          <w:rFonts w:asciiTheme="minorHAnsi" w:hAnsiTheme="minorHAnsi"/>
        </w:rPr>
        <w:t xml:space="preserve"> </w:t>
      </w:r>
      <w:r w:rsidRPr="00CB1803">
        <w:rPr>
          <w:rFonts w:asciiTheme="minorHAnsi" w:hAnsiTheme="minorHAnsi"/>
          <w:i/>
        </w:rPr>
        <w:t>asset class</w:t>
      </w:r>
      <w:r w:rsidRPr="00CB1803">
        <w:rPr>
          <w:rFonts w:asciiTheme="minorHAnsi" w:hAnsiTheme="minorHAnsi"/>
        </w:rPr>
        <w:t xml:space="preserve"> seguono una distribuzione normale multivariata con parametri ignoti</w:t>
      </w:r>
      <w:r w:rsidRPr="00FD2616">
        <w:rPr>
          <w:rFonts w:ascii="Symbol" w:hAnsi="Symbol"/>
          <w:i/>
        </w:rPr>
        <w:t></w:t>
      </w:r>
      <w:r>
        <w:rPr>
          <w:rFonts w:ascii="Symbol" w:hAnsi="Symbol"/>
          <w:i/>
        </w:rPr>
        <w:t></w:t>
      </w:r>
      <w:r w:rsidRPr="00CB1803">
        <w:rPr>
          <w:rFonts w:asciiTheme="minorHAnsi" w:hAnsiTheme="minorHAnsi"/>
        </w:rPr>
        <w:t>e</w:t>
      </w:r>
      <w:r w:rsidRPr="00FD2616">
        <w:rPr>
          <w:rFonts w:ascii="Symbol" w:hAnsi="Symbol"/>
        </w:rPr>
        <w:t></w:t>
      </w:r>
      <w:r w:rsidRPr="00FD2616">
        <w:t>:</w:t>
      </w:r>
    </w:p>
    <w:p w:rsidR="00C5468C" w:rsidRPr="00FD2616" w:rsidRDefault="00C5468C" w:rsidP="006E334B">
      <w:pPr>
        <w:widowControl w:val="0"/>
        <w:jc w:val="center"/>
      </w:pPr>
      <w:r w:rsidRPr="00FD2616">
        <w:rPr>
          <w:position w:val="-10"/>
        </w:rPr>
        <w:object w:dxaOrig="1020" w:dyaOrig="279">
          <v:shape id="_x0000_i1033" type="#_x0000_t75" style="width:52pt;height:13.35pt" o:ole="">
            <v:imagedata r:id="rId1" o:title=""/>
          </v:shape>
          <o:OLEObject Type="Embed" ProgID="Equation.3" ShapeID="_x0000_i1033" DrawAspect="Content" ObjectID="_1614572942" r:id="rId2"/>
        </w:object>
      </w:r>
    </w:p>
    <w:p w:rsidR="00C5468C" w:rsidRPr="00FD2616" w:rsidRDefault="00C5468C" w:rsidP="006E334B">
      <w:pPr>
        <w:widowControl w:val="0"/>
        <w:jc w:val="both"/>
      </w:pPr>
      <w:r w:rsidRPr="00CB1803">
        <w:rPr>
          <w:rFonts w:asciiTheme="minorHAnsi" w:hAnsiTheme="minorHAnsi"/>
        </w:rPr>
        <w:t xml:space="preserve">le medie campionarie delle </w:t>
      </w:r>
      <w:r w:rsidRPr="00CB1803">
        <w:rPr>
          <w:rFonts w:asciiTheme="minorHAnsi" w:hAnsiTheme="minorHAnsi"/>
          <w:i/>
        </w:rPr>
        <w:t>asset class</w:t>
      </w:r>
      <w:r w:rsidRPr="00CB1803">
        <w:rPr>
          <w:rFonts w:asciiTheme="minorHAnsi" w:hAnsiTheme="minorHAnsi"/>
        </w:rPr>
        <w:t xml:space="preserve"> (rappresentate dal vettore </w:t>
      </w:r>
      <w:r w:rsidRPr="00CB1803">
        <w:rPr>
          <w:rFonts w:asciiTheme="minorHAnsi" w:hAnsiTheme="minorHAnsi"/>
          <w:position w:val="-10"/>
        </w:rPr>
        <w:object w:dxaOrig="220" w:dyaOrig="300">
          <v:shape id="_x0000_i1034" type="#_x0000_t75" style="width:11.35pt;height:14pt" o:ole="">
            <v:imagedata r:id="rId3" o:title=""/>
          </v:shape>
          <o:OLEObject Type="Embed" ProgID="Equation.3" ShapeID="_x0000_i1034" DrawAspect="Content" ObjectID="_1614572943" r:id="rId4"/>
        </w:object>
      </w:r>
      <w:r w:rsidRPr="00CB1803">
        <w:rPr>
          <w:rFonts w:asciiTheme="minorHAnsi" w:hAnsiTheme="minorHAnsi"/>
        </w:rPr>
        <w:t>) estratte da un campione di ampiezza T sono anch’esse distribuite normalmente con parametri ignoti</w:t>
      </w:r>
      <w:r w:rsidRPr="00FD2616">
        <w:rPr>
          <w:rFonts w:ascii="Symbol" w:hAnsi="Symbol"/>
          <w:i/>
        </w:rPr>
        <w:t></w:t>
      </w:r>
      <w:r>
        <w:rPr>
          <w:rFonts w:ascii="Symbol" w:hAnsi="Symbol"/>
          <w:i/>
        </w:rPr>
        <w:t></w:t>
      </w:r>
      <w:r>
        <w:rPr>
          <w:rFonts w:ascii="Symbol" w:hAnsi="Symbol"/>
          <w:i/>
        </w:rPr>
        <w:t></w:t>
      </w:r>
      <w:r w:rsidRPr="00CB1803">
        <w:rPr>
          <w:rFonts w:asciiTheme="minorHAnsi" w:hAnsiTheme="minorHAnsi"/>
        </w:rPr>
        <w:t>e</w:t>
      </w:r>
      <w:r w:rsidRPr="00FD2616">
        <w:rPr>
          <w:rFonts w:ascii="Symbol" w:hAnsi="Symbol"/>
        </w:rPr>
        <w:t></w:t>
      </w:r>
      <w:r w:rsidRPr="00FD2616">
        <w:rPr>
          <w:rFonts w:ascii="Symbol" w:hAnsi="Symbol"/>
        </w:rPr>
        <w:t></w:t>
      </w:r>
      <w:r w:rsidRPr="00FD2616">
        <w:rPr>
          <w:rFonts w:ascii="Symbol" w:hAnsi="Symbol"/>
          <w:i/>
        </w:rPr>
        <w:t></w:t>
      </w:r>
      <w:r w:rsidRPr="00FD2616">
        <w:rPr>
          <w:rFonts w:ascii="Symbol" w:hAnsi="Symbol"/>
        </w:rPr>
        <w:t></w:t>
      </w:r>
    </w:p>
    <w:p w:rsidR="00C5468C" w:rsidRPr="00FD2616" w:rsidRDefault="00C5468C" w:rsidP="006E334B">
      <w:pPr>
        <w:widowControl w:val="0"/>
        <w:jc w:val="center"/>
      </w:pPr>
      <w:r w:rsidRPr="00FD2616">
        <w:rPr>
          <w:position w:val="-20"/>
        </w:rPr>
        <w:object w:dxaOrig="1120" w:dyaOrig="520">
          <v:shape id="_x0000_i1035" type="#_x0000_t75" style="width:56pt;height:26pt" o:ole="">
            <v:imagedata r:id="rId5" o:title=""/>
          </v:shape>
          <o:OLEObject Type="Embed" ProgID="Equation.3" ShapeID="_x0000_i1035" DrawAspect="Content" ObjectID="_1614572944" r:id="rId6"/>
        </w:object>
      </w:r>
    </w:p>
    <w:p w:rsidR="00C5468C" w:rsidRDefault="00C5468C" w:rsidP="006E334B">
      <w:pPr>
        <w:pStyle w:val="Testonotaapidipagina"/>
      </w:pPr>
    </w:p>
  </w:footnote>
  <w:footnote w:id="9">
    <w:p w:rsidR="00C5468C" w:rsidRDefault="00C5468C" w:rsidP="00EE1009">
      <w:pPr>
        <w:pStyle w:val="Testonotaapidipagina"/>
        <w:jc w:val="both"/>
      </w:pPr>
      <w:r>
        <w:rPr>
          <w:rStyle w:val="Rimandonotaapidipagina"/>
        </w:rPr>
        <w:footnoteRef/>
      </w:r>
      <w:r>
        <w:t xml:space="preserve"> Ad una analisi preliminare si potrebbe ipotizzare che i rendimenti </w:t>
      </w:r>
      <w:r w:rsidRPr="00EE1009">
        <w:rPr>
          <w:i/>
        </w:rPr>
        <w:t>strategic neutral</w:t>
      </w:r>
      <w:r>
        <w:t xml:space="preserve"> siano i rendimenti attesi alla Black-Litterman stimati nella fase di costruzione dei portafogli strategici. In realtà, a causa del fatto che l’ottimizzazione strategica include dei vincoli extra rispetto a quelli previsti per l’ottimizzazione alla Markowitz, tali rendimenti attesi non si prestano a fungere da rendimenti attesi strategic neutral. Pertanto ai fini della stima di questi ultimi occorre replicare il processo di reverse optimization, utilizzando però il portafoglio strategico (anziché quello neutrale).</w:t>
      </w:r>
    </w:p>
  </w:footnote>
  <w:footnote w:id="10">
    <w:p w:rsidR="00C5468C" w:rsidRDefault="00C5468C" w:rsidP="008C3A6C">
      <w:pPr>
        <w:pStyle w:val="Testonotaapidipagina"/>
        <w:jc w:val="both"/>
      </w:pPr>
      <w:r>
        <w:rPr>
          <w:rStyle w:val="Rimandonotaapidipagina"/>
        </w:rPr>
        <w:footnoteRef/>
      </w:r>
      <w:r>
        <w:t xml:space="preserve"> La matrice varianze-covarianze non subisce variazioni.</w:t>
      </w:r>
    </w:p>
  </w:footnote>
  <w:footnote w:id="11">
    <w:p w:rsidR="00C5468C" w:rsidRPr="00714910" w:rsidRDefault="00C5468C" w:rsidP="008E5C3C">
      <w:pPr>
        <w:rPr>
          <w:rFonts w:asciiTheme="minorHAnsi" w:hAnsiTheme="minorHAnsi"/>
          <w:lang w:val="en-US" w:eastAsia="it-IT"/>
        </w:rPr>
      </w:pPr>
      <w:r>
        <w:rPr>
          <w:rStyle w:val="Rimandonotaapidipagina"/>
        </w:rPr>
        <w:footnoteRef/>
      </w:r>
      <w:r w:rsidRPr="00714910">
        <w:rPr>
          <w:rFonts w:asciiTheme="minorHAnsi" w:hAnsiTheme="minorHAnsi"/>
          <w:lang w:val="en-US" w:eastAsia="it-IT"/>
        </w:rPr>
        <w:t xml:space="preserve">W. Sharpe, Asset allocation: Management style and performance measurement," </w:t>
      </w:r>
      <w:r w:rsidRPr="00714910">
        <w:rPr>
          <w:rFonts w:asciiTheme="minorHAnsi" w:hAnsiTheme="minorHAnsi"/>
          <w:i/>
          <w:iCs/>
          <w:lang w:val="en-US" w:eastAsia="it-IT"/>
        </w:rPr>
        <w:t>Journal of Portfolio Management</w:t>
      </w:r>
      <w:r w:rsidRPr="00714910">
        <w:rPr>
          <w:rFonts w:asciiTheme="minorHAnsi" w:hAnsiTheme="minorHAnsi"/>
          <w:lang w:val="en-US" w:eastAsia="it-IT"/>
        </w:rPr>
        <w:t xml:space="preserve">, Winter 1992. </w:t>
      </w:r>
    </w:p>
    <w:p w:rsidR="00C5468C" w:rsidRPr="00714910" w:rsidRDefault="00C5468C" w:rsidP="008E5C3C">
      <w:pPr>
        <w:pStyle w:val="Testonotaapidipagina"/>
        <w:rPr>
          <w:lang w:val="en-US"/>
        </w:rPr>
      </w:pPr>
    </w:p>
  </w:footnote>
  <w:footnote w:id="12">
    <w:p w:rsidR="00C5468C" w:rsidRDefault="00C5468C" w:rsidP="008E5C3C">
      <w:pPr>
        <w:pStyle w:val="Testonotaapidipagina"/>
      </w:pPr>
      <w:r>
        <w:rPr>
          <w:rStyle w:val="Rimandonotaapidipagina"/>
        </w:rPr>
        <w:footnoteRef/>
      </w:r>
      <w:r w:rsidRPr="00261323">
        <w:rPr>
          <w:rFonts w:asciiTheme="minorHAnsi" w:hAnsiTheme="minorHAnsi"/>
          <w:lang w:eastAsia="it-IT"/>
        </w:rPr>
        <w:t>Per una descrizione più puntuale degli indicatori di rendimento corretto per il rischio si rimanda a P.A. Cucurachi, La valutazione della performance e la selezione dei gestori, in P. Musile Tanzi, Il Manuale del Private Banker, Egea,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DE5"/>
    <w:multiLevelType w:val="hybridMultilevel"/>
    <w:tmpl w:val="93E89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BB6C5C"/>
    <w:multiLevelType w:val="hybridMultilevel"/>
    <w:tmpl w:val="15E44520"/>
    <w:lvl w:ilvl="0" w:tplc="04100001">
      <w:start w:val="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E6478F"/>
    <w:multiLevelType w:val="hybridMultilevel"/>
    <w:tmpl w:val="14C06724"/>
    <w:lvl w:ilvl="0" w:tplc="447A7F7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94A6E06"/>
    <w:multiLevelType w:val="hybridMultilevel"/>
    <w:tmpl w:val="6254CDE2"/>
    <w:lvl w:ilvl="0" w:tplc="04629160">
      <w:start w:val="1"/>
      <w:numFmt w:val="bullet"/>
      <w:lvlText w:val=""/>
      <w:lvlJc w:val="left"/>
      <w:pPr>
        <w:tabs>
          <w:tab w:val="num" w:pos="720"/>
        </w:tabs>
        <w:ind w:left="720" w:hanging="360"/>
      </w:pPr>
      <w:rPr>
        <w:rFonts w:ascii="Wingdings" w:hAnsi="Wingdings" w:hint="default"/>
      </w:rPr>
    </w:lvl>
    <w:lvl w:ilvl="1" w:tplc="8D14D3AE" w:tentative="1">
      <w:start w:val="1"/>
      <w:numFmt w:val="bullet"/>
      <w:lvlText w:val=""/>
      <w:lvlJc w:val="left"/>
      <w:pPr>
        <w:tabs>
          <w:tab w:val="num" w:pos="1440"/>
        </w:tabs>
        <w:ind w:left="1440" w:hanging="360"/>
      </w:pPr>
      <w:rPr>
        <w:rFonts w:ascii="Wingdings" w:hAnsi="Wingdings" w:hint="default"/>
      </w:rPr>
    </w:lvl>
    <w:lvl w:ilvl="2" w:tplc="648EF192" w:tentative="1">
      <w:start w:val="1"/>
      <w:numFmt w:val="bullet"/>
      <w:lvlText w:val=""/>
      <w:lvlJc w:val="left"/>
      <w:pPr>
        <w:tabs>
          <w:tab w:val="num" w:pos="2160"/>
        </w:tabs>
        <w:ind w:left="2160" w:hanging="360"/>
      </w:pPr>
      <w:rPr>
        <w:rFonts w:ascii="Wingdings" w:hAnsi="Wingdings" w:hint="default"/>
      </w:rPr>
    </w:lvl>
    <w:lvl w:ilvl="3" w:tplc="F58CC162" w:tentative="1">
      <w:start w:val="1"/>
      <w:numFmt w:val="bullet"/>
      <w:lvlText w:val=""/>
      <w:lvlJc w:val="left"/>
      <w:pPr>
        <w:tabs>
          <w:tab w:val="num" w:pos="2880"/>
        </w:tabs>
        <w:ind w:left="2880" w:hanging="360"/>
      </w:pPr>
      <w:rPr>
        <w:rFonts w:ascii="Wingdings" w:hAnsi="Wingdings" w:hint="default"/>
      </w:rPr>
    </w:lvl>
    <w:lvl w:ilvl="4" w:tplc="76F87206" w:tentative="1">
      <w:start w:val="1"/>
      <w:numFmt w:val="bullet"/>
      <w:lvlText w:val=""/>
      <w:lvlJc w:val="left"/>
      <w:pPr>
        <w:tabs>
          <w:tab w:val="num" w:pos="3600"/>
        </w:tabs>
        <w:ind w:left="3600" w:hanging="360"/>
      </w:pPr>
      <w:rPr>
        <w:rFonts w:ascii="Wingdings" w:hAnsi="Wingdings" w:hint="default"/>
      </w:rPr>
    </w:lvl>
    <w:lvl w:ilvl="5" w:tplc="E12839CA" w:tentative="1">
      <w:start w:val="1"/>
      <w:numFmt w:val="bullet"/>
      <w:lvlText w:val=""/>
      <w:lvlJc w:val="left"/>
      <w:pPr>
        <w:tabs>
          <w:tab w:val="num" w:pos="4320"/>
        </w:tabs>
        <w:ind w:left="4320" w:hanging="360"/>
      </w:pPr>
      <w:rPr>
        <w:rFonts w:ascii="Wingdings" w:hAnsi="Wingdings" w:hint="default"/>
      </w:rPr>
    </w:lvl>
    <w:lvl w:ilvl="6" w:tplc="7A4AEE5C" w:tentative="1">
      <w:start w:val="1"/>
      <w:numFmt w:val="bullet"/>
      <w:lvlText w:val=""/>
      <w:lvlJc w:val="left"/>
      <w:pPr>
        <w:tabs>
          <w:tab w:val="num" w:pos="5040"/>
        </w:tabs>
        <w:ind w:left="5040" w:hanging="360"/>
      </w:pPr>
      <w:rPr>
        <w:rFonts w:ascii="Wingdings" w:hAnsi="Wingdings" w:hint="default"/>
      </w:rPr>
    </w:lvl>
    <w:lvl w:ilvl="7" w:tplc="03680428" w:tentative="1">
      <w:start w:val="1"/>
      <w:numFmt w:val="bullet"/>
      <w:lvlText w:val=""/>
      <w:lvlJc w:val="left"/>
      <w:pPr>
        <w:tabs>
          <w:tab w:val="num" w:pos="5760"/>
        </w:tabs>
        <w:ind w:left="5760" w:hanging="360"/>
      </w:pPr>
      <w:rPr>
        <w:rFonts w:ascii="Wingdings" w:hAnsi="Wingdings" w:hint="default"/>
      </w:rPr>
    </w:lvl>
    <w:lvl w:ilvl="8" w:tplc="C0B2E0B4" w:tentative="1">
      <w:start w:val="1"/>
      <w:numFmt w:val="bullet"/>
      <w:lvlText w:val=""/>
      <w:lvlJc w:val="left"/>
      <w:pPr>
        <w:tabs>
          <w:tab w:val="num" w:pos="6480"/>
        </w:tabs>
        <w:ind w:left="6480" w:hanging="360"/>
      </w:pPr>
      <w:rPr>
        <w:rFonts w:ascii="Wingdings" w:hAnsi="Wingdings" w:hint="default"/>
      </w:rPr>
    </w:lvl>
  </w:abstractNum>
  <w:abstractNum w:abstractNumId="4">
    <w:nsid w:val="27A35125"/>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nsid w:val="2AD852F7"/>
    <w:multiLevelType w:val="multilevel"/>
    <w:tmpl w:val="B028A5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1BD5E5F"/>
    <w:multiLevelType w:val="hybridMultilevel"/>
    <w:tmpl w:val="6FFA3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44D1D39"/>
    <w:multiLevelType w:val="hybridMultilevel"/>
    <w:tmpl w:val="47666F92"/>
    <w:lvl w:ilvl="0" w:tplc="E47ADC0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1255EB6"/>
    <w:multiLevelType w:val="hybridMultilevel"/>
    <w:tmpl w:val="B18E4904"/>
    <w:lvl w:ilvl="0" w:tplc="04100011">
      <w:start w:val="1"/>
      <w:numFmt w:val="decimal"/>
      <w:lvlText w:val="%1)"/>
      <w:lvlJc w:val="left"/>
      <w:pPr>
        <w:tabs>
          <w:tab w:val="num" w:pos="720"/>
        </w:tabs>
        <w:ind w:left="720" w:hanging="360"/>
      </w:pPr>
    </w:lvl>
    <w:lvl w:ilvl="1" w:tplc="92AA064C">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AAF6999"/>
    <w:multiLevelType w:val="multilevel"/>
    <w:tmpl w:val="BA76D43E"/>
    <w:lvl w:ilvl="0">
      <w:start w:val="4"/>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1B30DE8"/>
    <w:multiLevelType w:val="multilevel"/>
    <w:tmpl w:val="AE5E0130"/>
    <w:lvl w:ilvl="0">
      <w:start w:val="1"/>
      <w:numFmt w:val="decimal"/>
      <w:lvlText w:val="%1."/>
      <w:lvlJc w:val="left"/>
      <w:pPr>
        <w:tabs>
          <w:tab w:val="num" w:pos="360"/>
        </w:tabs>
        <w:ind w:left="360" w:hanging="360"/>
      </w:pPr>
      <w:rPr>
        <w:rFonts w:ascii="Gill Sans MT" w:hAnsi="Gill Sans MT" w:hint="default"/>
        <w:sz w:val="28"/>
        <w:szCs w:val="28"/>
      </w:rPr>
    </w:lvl>
    <w:lvl w:ilvl="1">
      <w:start w:val="1"/>
      <w:numFmt w:val="decimal"/>
      <w:lvlText w:val="%1.%2."/>
      <w:lvlJc w:val="left"/>
      <w:pPr>
        <w:tabs>
          <w:tab w:val="num" w:pos="716"/>
        </w:tabs>
        <w:ind w:left="716" w:hanging="432"/>
      </w:pPr>
      <w:rPr>
        <w:rFonts w:ascii="Gill Sans MT" w:hAnsi="Gill Sans MT" w:hint="default"/>
        <w:sz w:val="26"/>
        <w:szCs w:val="26"/>
      </w:rPr>
    </w:lvl>
    <w:lvl w:ilvl="2">
      <w:start w:val="1"/>
      <w:numFmt w:val="decimal"/>
      <w:lvlText w:val="%1.%2.%3."/>
      <w:lvlJc w:val="left"/>
      <w:pPr>
        <w:tabs>
          <w:tab w:val="num" w:pos="1224"/>
        </w:tabs>
        <w:ind w:left="1224" w:hanging="504"/>
      </w:pPr>
    </w:lvl>
    <w:lvl w:ilvl="3">
      <w:start w:val="1"/>
      <w:numFmt w:val="decimal"/>
      <w:pStyle w:val="Stile3"/>
      <w:lvlText w:val="%1.%2.%3.%4."/>
      <w:lvlJc w:val="left"/>
      <w:pPr>
        <w:tabs>
          <w:tab w:val="num" w:pos="1288"/>
        </w:tabs>
        <w:ind w:left="1216"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54F33584"/>
    <w:multiLevelType w:val="hybridMultilevel"/>
    <w:tmpl w:val="128CEAD8"/>
    <w:lvl w:ilvl="0" w:tplc="0410000F">
      <w:start w:val="1"/>
      <w:numFmt w:val="decimal"/>
      <w:lvlText w:val="%1."/>
      <w:lvlJc w:val="left"/>
      <w:pPr>
        <w:ind w:left="3600" w:hanging="360"/>
      </w:pPr>
    </w:lvl>
    <w:lvl w:ilvl="1" w:tplc="04100019">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2">
    <w:nsid w:val="59165E7F"/>
    <w:multiLevelType w:val="multilevel"/>
    <w:tmpl w:val="F3F4784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AA53B83"/>
    <w:multiLevelType w:val="hybridMultilevel"/>
    <w:tmpl w:val="83E09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34E02CF"/>
    <w:multiLevelType w:val="hybridMultilevel"/>
    <w:tmpl w:val="13A05BD2"/>
    <w:lvl w:ilvl="0" w:tplc="477A7752">
      <w:numFmt w:val="bullet"/>
      <w:lvlText w:val=""/>
      <w:lvlJc w:val="left"/>
      <w:pPr>
        <w:ind w:left="720" w:hanging="360"/>
      </w:pPr>
      <w:rPr>
        <w:rFonts w:ascii="Symbol" w:eastAsia="Calibri" w:hAnsi="Symbol" w:cs="Times New Roman"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525047E"/>
    <w:multiLevelType w:val="hybridMultilevel"/>
    <w:tmpl w:val="1DB03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593129A"/>
    <w:multiLevelType w:val="hybridMultilevel"/>
    <w:tmpl w:val="8788EA76"/>
    <w:lvl w:ilvl="0" w:tplc="FFFFFFFF">
      <w:start w:val="1"/>
      <w:numFmt w:val="bullet"/>
      <w:lvlText w:val=""/>
      <w:lvlJc w:val="left"/>
      <w:pPr>
        <w:tabs>
          <w:tab w:val="num" w:pos="765"/>
        </w:tabs>
        <w:ind w:left="765" w:hanging="360"/>
      </w:pPr>
      <w:rPr>
        <w:rFonts w:ascii="Symbol" w:hAnsi="Symbol" w:hint="default"/>
      </w:rPr>
    </w:lvl>
    <w:lvl w:ilvl="1" w:tplc="FFFFFFFF" w:tentative="1">
      <w:start w:val="1"/>
      <w:numFmt w:val="bullet"/>
      <w:lvlText w:val="o"/>
      <w:lvlJc w:val="left"/>
      <w:pPr>
        <w:tabs>
          <w:tab w:val="num" w:pos="1485"/>
        </w:tabs>
        <w:ind w:left="1485" w:hanging="360"/>
      </w:pPr>
      <w:rPr>
        <w:rFonts w:ascii="Courier New" w:hAnsi="Courier New" w:cs="Courier New" w:hint="default"/>
      </w:rPr>
    </w:lvl>
    <w:lvl w:ilvl="2" w:tplc="FFFFFFFF" w:tentative="1">
      <w:start w:val="1"/>
      <w:numFmt w:val="bullet"/>
      <w:lvlText w:val=""/>
      <w:lvlJc w:val="left"/>
      <w:pPr>
        <w:tabs>
          <w:tab w:val="num" w:pos="2205"/>
        </w:tabs>
        <w:ind w:left="2205" w:hanging="360"/>
      </w:pPr>
      <w:rPr>
        <w:rFonts w:ascii="Wingdings" w:hAnsi="Wingdings" w:hint="default"/>
      </w:rPr>
    </w:lvl>
    <w:lvl w:ilvl="3" w:tplc="FFFFFFFF" w:tentative="1">
      <w:start w:val="1"/>
      <w:numFmt w:val="bullet"/>
      <w:lvlText w:val=""/>
      <w:lvlJc w:val="left"/>
      <w:pPr>
        <w:tabs>
          <w:tab w:val="num" w:pos="2925"/>
        </w:tabs>
        <w:ind w:left="2925" w:hanging="360"/>
      </w:pPr>
      <w:rPr>
        <w:rFonts w:ascii="Symbol" w:hAnsi="Symbol" w:hint="default"/>
      </w:rPr>
    </w:lvl>
    <w:lvl w:ilvl="4" w:tplc="FFFFFFFF" w:tentative="1">
      <w:start w:val="1"/>
      <w:numFmt w:val="bullet"/>
      <w:lvlText w:val="o"/>
      <w:lvlJc w:val="left"/>
      <w:pPr>
        <w:tabs>
          <w:tab w:val="num" w:pos="3645"/>
        </w:tabs>
        <w:ind w:left="3645" w:hanging="360"/>
      </w:pPr>
      <w:rPr>
        <w:rFonts w:ascii="Courier New" w:hAnsi="Courier New" w:cs="Courier New" w:hint="default"/>
      </w:rPr>
    </w:lvl>
    <w:lvl w:ilvl="5" w:tplc="FFFFFFFF" w:tentative="1">
      <w:start w:val="1"/>
      <w:numFmt w:val="bullet"/>
      <w:lvlText w:val=""/>
      <w:lvlJc w:val="left"/>
      <w:pPr>
        <w:tabs>
          <w:tab w:val="num" w:pos="4365"/>
        </w:tabs>
        <w:ind w:left="4365" w:hanging="360"/>
      </w:pPr>
      <w:rPr>
        <w:rFonts w:ascii="Wingdings" w:hAnsi="Wingdings" w:hint="default"/>
      </w:rPr>
    </w:lvl>
    <w:lvl w:ilvl="6" w:tplc="FFFFFFFF" w:tentative="1">
      <w:start w:val="1"/>
      <w:numFmt w:val="bullet"/>
      <w:lvlText w:val=""/>
      <w:lvlJc w:val="left"/>
      <w:pPr>
        <w:tabs>
          <w:tab w:val="num" w:pos="5085"/>
        </w:tabs>
        <w:ind w:left="5085" w:hanging="360"/>
      </w:pPr>
      <w:rPr>
        <w:rFonts w:ascii="Symbol" w:hAnsi="Symbol" w:hint="default"/>
      </w:rPr>
    </w:lvl>
    <w:lvl w:ilvl="7" w:tplc="FFFFFFFF" w:tentative="1">
      <w:start w:val="1"/>
      <w:numFmt w:val="bullet"/>
      <w:lvlText w:val="o"/>
      <w:lvlJc w:val="left"/>
      <w:pPr>
        <w:tabs>
          <w:tab w:val="num" w:pos="5805"/>
        </w:tabs>
        <w:ind w:left="5805" w:hanging="360"/>
      </w:pPr>
      <w:rPr>
        <w:rFonts w:ascii="Courier New" w:hAnsi="Courier New" w:cs="Courier New" w:hint="default"/>
      </w:rPr>
    </w:lvl>
    <w:lvl w:ilvl="8" w:tplc="FFFFFFFF" w:tentative="1">
      <w:start w:val="1"/>
      <w:numFmt w:val="bullet"/>
      <w:lvlText w:val=""/>
      <w:lvlJc w:val="left"/>
      <w:pPr>
        <w:tabs>
          <w:tab w:val="num" w:pos="6525"/>
        </w:tabs>
        <w:ind w:left="6525" w:hanging="360"/>
      </w:pPr>
      <w:rPr>
        <w:rFonts w:ascii="Wingdings" w:hAnsi="Wingdings" w:hint="default"/>
      </w:rPr>
    </w:lvl>
  </w:abstractNum>
  <w:abstractNum w:abstractNumId="17">
    <w:nsid w:val="66ED6D31"/>
    <w:multiLevelType w:val="hybridMultilevel"/>
    <w:tmpl w:val="99283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A434847"/>
    <w:multiLevelType w:val="hybridMultilevel"/>
    <w:tmpl w:val="180020DA"/>
    <w:lvl w:ilvl="0" w:tplc="BB288A68">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71BD2F1D"/>
    <w:multiLevelType w:val="hybridMultilevel"/>
    <w:tmpl w:val="5B8C6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8715878"/>
    <w:multiLevelType w:val="hybridMultilevel"/>
    <w:tmpl w:val="9DD8F700"/>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1">
    <w:nsid w:val="7B385BD3"/>
    <w:multiLevelType w:val="hybridMultilevel"/>
    <w:tmpl w:val="D8A0ED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DDC3475"/>
    <w:multiLevelType w:val="hybridMultilevel"/>
    <w:tmpl w:val="3460A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0"/>
  </w:num>
  <w:num w:numId="4">
    <w:abstractNumId w:val="4"/>
  </w:num>
  <w:num w:numId="5">
    <w:abstractNumId w:val="10"/>
  </w:num>
  <w:num w:numId="6">
    <w:abstractNumId w:val="10"/>
  </w:num>
  <w:num w:numId="7">
    <w:abstractNumId w:val="10"/>
  </w:num>
  <w:num w:numId="8">
    <w:abstractNumId w:val="10"/>
  </w:num>
  <w:num w:numId="9">
    <w:abstractNumId w:val="18"/>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11"/>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5"/>
  </w:num>
  <w:num w:numId="30">
    <w:abstractNumId w:val="3"/>
  </w:num>
  <w:num w:numId="31">
    <w:abstractNumId w:val="4"/>
  </w:num>
  <w:num w:numId="32">
    <w:abstractNumId w:val="15"/>
  </w:num>
  <w:num w:numId="33">
    <w:abstractNumId w:val="4"/>
  </w:num>
  <w:num w:numId="34">
    <w:abstractNumId w:val="13"/>
  </w:num>
  <w:num w:numId="35">
    <w:abstractNumId w:val="0"/>
  </w:num>
  <w:num w:numId="36">
    <w:abstractNumId w:val="4"/>
  </w:num>
  <w:num w:numId="37">
    <w:abstractNumId w:val="4"/>
  </w:num>
  <w:num w:numId="38">
    <w:abstractNumId w:val="21"/>
  </w:num>
  <w:num w:numId="39">
    <w:abstractNumId w:val="19"/>
  </w:num>
  <w:num w:numId="40">
    <w:abstractNumId w:val="16"/>
  </w:num>
  <w:num w:numId="41">
    <w:abstractNumId w:val="14"/>
  </w:num>
  <w:num w:numId="42">
    <w:abstractNumId w:val="1"/>
  </w:num>
  <w:num w:numId="43">
    <w:abstractNumId w:val="6"/>
  </w:num>
  <w:num w:numId="44">
    <w:abstractNumId w:val="2"/>
  </w:num>
  <w:num w:numId="45">
    <w:abstractNumId w:val="9"/>
  </w:num>
  <w:num w:numId="46">
    <w:abstractNumId w:val="12"/>
  </w:num>
  <w:num w:numId="47">
    <w:abstractNumId w:val="22"/>
  </w:num>
  <w:num w:numId="48">
    <w:abstractNumId w:val="1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7B4"/>
    <w:rsid w:val="00003A1D"/>
    <w:rsid w:val="0000662F"/>
    <w:rsid w:val="0001541D"/>
    <w:rsid w:val="00020B13"/>
    <w:rsid w:val="00027B71"/>
    <w:rsid w:val="00031B7F"/>
    <w:rsid w:val="000328F5"/>
    <w:rsid w:val="000376E5"/>
    <w:rsid w:val="00055887"/>
    <w:rsid w:val="00057BDB"/>
    <w:rsid w:val="00064507"/>
    <w:rsid w:val="0006520F"/>
    <w:rsid w:val="000A7FF3"/>
    <w:rsid w:val="000B2628"/>
    <w:rsid w:val="000B5643"/>
    <w:rsid w:val="000B58D6"/>
    <w:rsid w:val="000B6315"/>
    <w:rsid w:val="000C01DC"/>
    <w:rsid w:val="000F1321"/>
    <w:rsid w:val="001177E0"/>
    <w:rsid w:val="0012264C"/>
    <w:rsid w:val="00136E0D"/>
    <w:rsid w:val="0016192C"/>
    <w:rsid w:val="0016712C"/>
    <w:rsid w:val="00175F12"/>
    <w:rsid w:val="001A7E6B"/>
    <w:rsid w:val="001E33E3"/>
    <w:rsid w:val="001F494F"/>
    <w:rsid w:val="001F7E2E"/>
    <w:rsid w:val="0021656C"/>
    <w:rsid w:val="00224306"/>
    <w:rsid w:val="00224F24"/>
    <w:rsid w:val="0024771A"/>
    <w:rsid w:val="00252E08"/>
    <w:rsid w:val="002539F7"/>
    <w:rsid w:val="002546EB"/>
    <w:rsid w:val="002606A6"/>
    <w:rsid w:val="002738B9"/>
    <w:rsid w:val="002A76FD"/>
    <w:rsid w:val="002B4509"/>
    <w:rsid w:val="002B712F"/>
    <w:rsid w:val="002C12B6"/>
    <w:rsid w:val="002E47C5"/>
    <w:rsid w:val="002E4F5C"/>
    <w:rsid w:val="002E715B"/>
    <w:rsid w:val="002F0386"/>
    <w:rsid w:val="002F45A6"/>
    <w:rsid w:val="002F4F69"/>
    <w:rsid w:val="002F7DFF"/>
    <w:rsid w:val="00306056"/>
    <w:rsid w:val="003072D1"/>
    <w:rsid w:val="00322EA3"/>
    <w:rsid w:val="003357F9"/>
    <w:rsid w:val="00352EAD"/>
    <w:rsid w:val="003629F8"/>
    <w:rsid w:val="003652F5"/>
    <w:rsid w:val="003710BD"/>
    <w:rsid w:val="00396493"/>
    <w:rsid w:val="003B1038"/>
    <w:rsid w:val="003B48A7"/>
    <w:rsid w:val="003B4CCB"/>
    <w:rsid w:val="003D2BBB"/>
    <w:rsid w:val="003E1971"/>
    <w:rsid w:val="003E519C"/>
    <w:rsid w:val="003E5C7E"/>
    <w:rsid w:val="003F6CF1"/>
    <w:rsid w:val="00417F3A"/>
    <w:rsid w:val="0043245E"/>
    <w:rsid w:val="00432C1F"/>
    <w:rsid w:val="00433452"/>
    <w:rsid w:val="00433F5A"/>
    <w:rsid w:val="00450985"/>
    <w:rsid w:val="00462057"/>
    <w:rsid w:val="00465642"/>
    <w:rsid w:val="00467CAF"/>
    <w:rsid w:val="004A6FAA"/>
    <w:rsid w:val="004A79CA"/>
    <w:rsid w:val="004B0044"/>
    <w:rsid w:val="004B2848"/>
    <w:rsid w:val="004B5A7D"/>
    <w:rsid w:val="004B7266"/>
    <w:rsid w:val="004C15CB"/>
    <w:rsid w:val="004C2252"/>
    <w:rsid w:val="004E01DF"/>
    <w:rsid w:val="004E1E05"/>
    <w:rsid w:val="00505399"/>
    <w:rsid w:val="0055353C"/>
    <w:rsid w:val="005661C6"/>
    <w:rsid w:val="005743FA"/>
    <w:rsid w:val="0059232A"/>
    <w:rsid w:val="00595B92"/>
    <w:rsid w:val="005A5E4B"/>
    <w:rsid w:val="005C2BEB"/>
    <w:rsid w:val="005D071A"/>
    <w:rsid w:val="005D19B5"/>
    <w:rsid w:val="005D7BA1"/>
    <w:rsid w:val="005E500B"/>
    <w:rsid w:val="00601BCD"/>
    <w:rsid w:val="006045A7"/>
    <w:rsid w:val="0060652E"/>
    <w:rsid w:val="0061076C"/>
    <w:rsid w:val="0061336D"/>
    <w:rsid w:val="006134DB"/>
    <w:rsid w:val="0061533F"/>
    <w:rsid w:val="006205AC"/>
    <w:rsid w:val="00621AF0"/>
    <w:rsid w:val="00625D1F"/>
    <w:rsid w:val="00631832"/>
    <w:rsid w:val="0065064B"/>
    <w:rsid w:val="00653AF5"/>
    <w:rsid w:val="00654C75"/>
    <w:rsid w:val="00657DB6"/>
    <w:rsid w:val="0067053A"/>
    <w:rsid w:val="006719A1"/>
    <w:rsid w:val="0067571B"/>
    <w:rsid w:val="0067606A"/>
    <w:rsid w:val="0069771C"/>
    <w:rsid w:val="006B28FF"/>
    <w:rsid w:val="006B4225"/>
    <w:rsid w:val="006B4C24"/>
    <w:rsid w:val="006B6409"/>
    <w:rsid w:val="006B7620"/>
    <w:rsid w:val="006C0C6A"/>
    <w:rsid w:val="006E1163"/>
    <w:rsid w:val="006E22B6"/>
    <w:rsid w:val="006E334B"/>
    <w:rsid w:val="00725EC3"/>
    <w:rsid w:val="007642C0"/>
    <w:rsid w:val="00765E8B"/>
    <w:rsid w:val="00767D04"/>
    <w:rsid w:val="00786111"/>
    <w:rsid w:val="007979F4"/>
    <w:rsid w:val="007B3BC0"/>
    <w:rsid w:val="007B6A50"/>
    <w:rsid w:val="007C0803"/>
    <w:rsid w:val="007E4C9F"/>
    <w:rsid w:val="00800406"/>
    <w:rsid w:val="008050A9"/>
    <w:rsid w:val="00812CFB"/>
    <w:rsid w:val="0083303D"/>
    <w:rsid w:val="00845C61"/>
    <w:rsid w:val="0085351E"/>
    <w:rsid w:val="00876568"/>
    <w:rsid w:val="00884377"/>
    <w:rsid w:val="00885F81"/>
    <w:rsid w:val="0089652E"/>
    <w:rsid w:val="008A2514"/>
    <w:rsid w:val="008C3A6C"/>
    <w:rsid w:val="008D24C4"/>
    <w:rsid w:val="008D3BC6"/>
    <w:rsid w:val="008D48E1"/>
    <w:rsid w:val="008E5C3C"/>
    <w:rsid w:val="008F5F56"/>
    <w:rsid w:val="00911DB6"/>
    <w:rsid w:val="009125DF"/>
    <w:rsid w:val="009165AD"/>
    <w:rsid w:val="00934232"/>
    <w:rsid w:val="0093714F"/>
    <w:rsid w:val="0093723F"/>
    <w:rsid w:val="009476C8"/>
    <w:rsid w:val="009532CE"/>
    <w:rsid w:val="00957AAE"/>
    <w:rsid w:val="00963437"/>
    <w:rsid w:val="00964256"/>
    <w:rsid w:val="0096512F"/>
    <w:rsid w:val="00971FEC"/>
    <w:rsid w:val="009839FB"/>
    <w:rsid w:val="00990B8A"/>
    <w:rsid w:val="00993A90"/>
    <w:rsid w:val="009A31F5"/>
    <w:rsid w:val="009A45D7"/>
    <w:rsid w:val="009B6BA5"/>
    <w:rsid w:val="009C0955"/>
    <w:rsid w:val="009C1051"/>
    <w:rsid w:val="009D3418"/>
    <w:rsid w:val="009D614E"/>
    <w:rsid w:val="009F1913"/>
    <w:rsid w:val="00A038AF"/>
    <w:rsid w:val="00A0791E"/>
    <w:rsid w:val="00A15D3B"/>
    <w:rsid w:val="00A2764C"/>
    <w:rsid w:val="00A327AA"/>
    <w:rsid w:val="00A520D1"/>
    <w:rsid w:val="00A55DCC"/>
    <w:rsid w:val="00A56045"/>
    <w:rsid w:val="00A77B9E"/>
    <w:rsid w:val="00A821E8"/>
    <w:rsid w:val="00AA7689"/>
    <w:rsid w:val="00AB7CAC"/>
    <w:rsid w:val="00AC2570"/>
    <w:rsid w:val="00AD3790"/>
    <w:rsid w:val="00AE0156"/>
    <w:rsid w:val="00AF0FFB"/>
    <w:rsid w:val="00AF2535"/>
    <w:rsid w:val="00B03967"/>
    <w:rsid w:val="00B44CE2"/>
    <w:rsid w:val="00B51B6A"/>
    <w:rsid w:val="00B57FC8"/>
    <w:rsid w:val="00B6530E"/>
    <w:rsid w:val="00B66079"/>
    <w:rsid w:val="00BA31F1"/>
    <w:rsid w:val="00BB0DEB"/>
    <w:rsid w:val="00BB4E25"/>
    <w:rsid w:val="00BD5507"/>
    <w:rsid w:val="00BF413A"/>
    <w:rsid w:val="00BF6D3A"/>
    <w:rsid w:val="00C01195"/>
    <w:rsid w:val="00C53B69"/>
    <w:rsid w:val="00C5468C"/>
    <w:rsid w:val="00C557B4"/>
    <w:rsid w:val="00C804FA"/>
    <w:rsid w:val="00C831F0"/>
    <w:rsid w:val="00C84430"/>
    <w:rsid w:val="00C85453"/>
    <w:rsid w:val="00CA4C55"/>
    <w:rsid w:val="00CB1803"/>
    <w:rsid w:val="00CE2913"/>
    <w:rsid w:val="00CE3D18"/>
    <w:rsid w:val="00CE76A2"/>
    <w:rsid w:val="00CF215E"/>
    <w:rsid w:val="00D03D59"/>
    <w:rsid w:val="00D11C78"/>
    <w:rsid w:val="00D20056"/>
    <w:rsid w:val="00D22346"/>
    <w:rsid w:val="00D22445"/>
    <w:rsid w:val="00D22F49"/>
    <w:rsid w:val="00D513DB"/>
    <w:rsid w:val="00D54843"/>
    <w:rsid w:val="00D8057B"/>
    <w:rsid w:val="00D87D7C"/>
    <w:rsid w:val="00D97D04"/>
    <w:rsid w:val="00DC0AF2"/>
    <w:rsid w:val="00DC3219"/>
    <w:rsid w:val="00DF33CE"/>
    <w:rsid w:val="00DF33DC"/>
    <w:rsid w:val="00E000D0"/>
    <w:rsid w:val="00E07A9E"/>
    <w:rsid w:val="00E22FBC"/>
    <w:rsid w:val="00E23191"/>
    <w:rsid w:val="00E30EE2"/>
    <w:rsid w:val="00E37B96"/>
    <w:rsid w:val="00E57F03"/>
    <w:rsid w:val="00E63DA2"/>
    <w:rsid w:val="00E64598"/>
    <w:rsid w:val="00E6766E"/>
    <w:rsid w:val="00E947AD"/>
    <w:rsid w:val="00E96083"/>
    <w:rsid w:val="00EA3A77"/>
    <w:rsid w:val="00EA7657"/>
    <w:rsid w:val="00EB2D41"/>
    <w:rsid w:val="00EB6B4E"/>
    <w:rsid w:val="00EB77A6"/>
    <w:rsid w:val="00EE1009"/>
    <w:rsid w:val="00EE34D0"/>
    <w:rsid w:val="00EE6DCB"/>
    <w:rsid w:val="00F03FE4"/>
    <w:rsid w:val="00F269F6"/>
    <w:rsid w:val="00F52399"/>
    <w:rsid w:val="00F66795"/>
    <w:rsid w:val="00F73F72"/>
    <w:rsid w:val="00F91E07"/>
    <w:rsid w:val="00F950C8"/>
    <w:rsid w:val="00FA765F"/>
    <w:rsid w:val="00FD29C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B2D41"/>
    <w:pPr>
      <w:autoSpaceDE w:val="0"/>
      <w:autoSpaceDN w:val="0"/>
      <w:adjustRightInd w:val="0"/>
      <w:spacing w:after="0" w:line="240" w:lineRule="auto"/>
    </w:pPr>
    <w:rPr>
      <w:rFonts w:ascii="Bembo" w:eastAsia="Times New Roman" w:hAnsi="Bembo" w:cs="Times New Roman"/>
      <w:sz w:val="20"/>
      <w:szCs w:val="20"/>
    </w:rPr>
  </w:style>
  <w:style w:type="paragraph" w:styleId="Titolo1">
    <w:name w:val="heading 1"/>
    <w:basedOn w:val="Normale"/>
    <w:link w:val="Titolo1Carattere"/>
    <w:qFormat/>
    <w:rsid w:val="00C557B4"/>
    <w:pPr>
      <w:numPr>
        <w:numId w:val="4"/>
      </w:numPr>
      <w:outlineLvl w:val="0"/>
    </w:pPr>
    <w:rPr>
      <w:rFonts w:ascii="Gill Sans MT" w:hAnsi="Gill Sans MT"/>
      <w:b/>
      <w:bCs/>
      <w:sz w:val="28"/>
      <w:szCs w:val="28"/>
    </w:rPr>
  </w:style>
  <w:style w:type="paragraph" w:styleId="Titolo2">
    <w:name w:val="heading 2"/>
    <w:basedOn w:val="Normale"/>
    <w:link w:val="Titolo2Carattere"/>
    <w:qFormat/>
    <w:rsid w:val="00C557B4"/>
    <w:pPr>
      <w:numPr>
        <w:ilvl w:val="1"/>
        <w:numId w:val="4"/>
      </w:numPr>
      <w:outlineLvl w:val="1"/>
    </w:pPr>
    <w:rPr>
      <w:rFonts w:ascii="Gill Sans MT" w:hAnsi="Gill Sans MT"/>
      <w:b/>
      <w:bCs/>
      <w:sz w:val="26"/>
      <w:szCs w:val="26"/>
    </w:rPr>
  </w:style>
  <w:style w:type="paragraph" w:styleId="Titolo3">
    <w:name w:val="heading 3"/>
    <w:basedOn w:val="Normale"/>
    <w:next w:val="Normale"/>
    <w:link w:val="Titolo3Carattere"/>
    <w:uiPriority w:val="9"/>
    <w:unhideWhenUsed/>
    <w:qFormat/>
    <w:rsid w:val="00C557B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C557B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C557B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C557B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C557B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557B4"/>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Titolo9">
    <w:name w:val="heading 9"/>
    <w:basedOn w:val="Normale"/>
    <w:next w:val="Normale"/>
    <w:link w:val="Titolo9Carattere"/>
    <w:uiPriority w:val="9"/>
    <w:semiHidden/>
    <w:unhideWhenUsed/>
    <w:qFormat/>
    <w:rsid w:val="00C557B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C557B4"/>
    <w:rPr>
      <w:rFonts w:ascii="Gill Sans MT" w:eastAsia="Times New Roman" w:hAnsi="Gill Sans MT" w:cs="Times New Roman"/>
      <w:b/>
      <w:bCs/>
      <w:sz w:val="28"/>
      <w:szCs w:val="28"/>
    </w:rPr>
  </w:style>
  <w:style w:type="character" w:customStyle="1" w:styleId="Titolo2Carattere">
    <w:name w:val="Titolo 2 Carattere"/>
    <w:basedOn w:val="Carpredefinitoparagrafo"/>
    <w:link w:val="Titolo2"/>
    <w:rsid w:val="00C557B4"/>
    <w:rPr>
      <w:rFonts w:ascii="Gill Sans MT" w:eastAsia="Times New Roman" w:hAnsi="Gill Sans MT" w:cs="Times New Roman"/>
      <w:b/>
      <w:bCs/>
      <w:sz w:val="26"/>
      <w:szCs w:val="26"/>
    </w:rPr>
  </w:style>
  <w:style w:type="paragraph" w:styleId="Testonotaapidipagina">
    <w:name w:val="footnote text"/>
    <w:basedOn w:val="Normale"/>
    <w:link w:val="TestonotaapidipaginaCarattere"/>
    <w:semiHidden/>
    <w:rsid w:val="00C557B4"/>
  </w:style>
  <w:style w:type="character" w:customStyle="1" w:styleId="TestonotaapidipaginaCarattere">
    <w:name w:val="Testo nota a piè di pagina Carattere"/>
    <w:basedOn w:val="Carpredefinitoparagrafo"/>
    <w:link w:val="Testonotaapidipagina"/>
    <w:semiHidden/>
    <w:rsid w:val="00C557B4"/>
    <w:rPr>
      <w:rFonts w:ascii="Bembo" w:eastAsia="Times New Roman" w:hAnsi="Bembo" w:cs="Times New Roman"/>
      <w:sz w:val="20"/>
      <w:szCs w:val="20"/>
    </w:rPr>
  </w:style>
  <w:style w:type="character" w:styleId="Rimandonotaapidipagina">
    <w:name w:val="footnote reference"/>
    <w:basedOn w:val="Carpredefinitoparagrafo"/>
    <w:semiHidden/>
    <w:rsid w:val="00C557B4"/>
    <w:rPr>
      <w:vertAlign w:val="superscript"/>
    </w:rPr>
  </w:style>
  <w:style w:type="paragraph" w:customStyle="1" w:styleId="Stile3">
    <w:name w:val="Stile3"/>
    <w:basedOn w:val="Titolo2"/>
    <w:qFormat/>
    <w:rsid w:val="00C557B4"/>
    <w:pPr>
      <w:numPr>
        <w:ilvl w:val="3"/>
        <w:numId w:val="1"/>
      </w:numPr>
      <w:outlineLvl w:val="3"/>
    </w:pPr>
    <w:rPr>
      <w:sz w:val="24"/>
      <w:szCs w:val="24"/>
    </w:rPr>
  </w:style>
  <w:style w:type="paragraph" w:styleId="Didascalia">
    <w:name w:val="caption"/>
    <w:basedOn w:val="Normale"/>
    <w:next w:val="Normale"/>
    <w:qFormat/>
    <w:rsid w:val="00C557B4"/>
    <w:rPr>
      <w:b/>
      <w:bCs/>
    </w:rPr>
  </w:style>
  <w:style w:type="paragraph" w:styleId="Testofumetto">
    <w:name w:val="Balloon Text"/>
    <w:basedOn w:val="Normale"/>
    <w:link w:val="TestofumettoCarattere"/>
    <w:uiPriority w:val="99"/>
    <w:semiHidden/>
    <w:unhideWhenUsed/>
    <w:rsid w:val="00C557B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57B4"/>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C557B4"/>
    <w:rPr>
      <w:rFonts w:asciiTheme="majorHAnsi" w:eastAsiaTheme="majorEastAsia" w:hAnsiTheme="majorHAnsi" w:cstheme="majorBidi"/>
      <w:b/>
      <w:bCs/>
      <w:color w:val="4F81BD" w:themeColor="accent1"/>
      <w:sz w:val="20"/>
      <w:szCs w:val="20"/>
    </w:rPr>
  </w:style>
  <w:style w:type="character" w:customStyle="1" w:styleId="Titolo4Carattere">
    <w:name w:val="Titolo 4 Carattere"/>
    <w:basedOn w:val="Carpredefinitoparagrafo"/>
    <w:link w:val="Titolo4"/>
    <w:uiPriority w:val="9"/>
    <w:rsid w:val="00C557B4"/>
    <w:rPr>
      <w:rFonts w:asciiTheme="majorHAnsi" w:eastAsiaTheme="majorEastAsia" w:hAnsiTheme="majorHAnsi" w:cstheme="majorBidi"/>
      <w:b/>
      <w:bCs/>
      <w:i/>
      <w:iCs/>
      <w:color w:val="4F81BD" w:themeColor="accent1"/>
      <w:sz w:val="20"/>
      <w:szCs w:val="20"/>
    </w:rPr>
  </w:style>
  <w:style w:type="character" w:customStyle="1" w:styleId="Titolo5Carattere">
    <w:name w:val="Titolo 5 Carattere"/>
    <w:basedOn w:val="Carpredefinitoparagrafo"/>
    <w:link w:val="Titolo5"/>
    <w:uiPriority w:val="9"/>
    <w:semiHidden/>
    <w:rsid w:val="00C557B4"/>
    <w:rPr>
      <w:rFonts w:asciiTheme="majorHAnsi" w:eastAsiaTheme="majorEastAsia" w:hAnsiTheme="majorHAnsi" w:cstheme="majorBidi"/>
      <w:color w:val="243F60" w:themeColor="accent1" w:themeShade="7F"/>
      <w:sz w:val="20"/>
      <w:szCs w:val="20"/>
    </w:rPr>
  </w:style>
  <w:style w:type="character" w:customStyle="1" w:styleId="Titolo6Carattere">
    <w:name w:val="Titolo 6 Carattere"/>
    <w:basedOn w:val="Carpredefinitoparagrafo"/>
    <w:link w:val="Titolo6"/>
    <w:uiPriority w:val="9"/>
    <w:semiHidden/>
    <w:rsid w:val="00C557B4"/>
    <w:rPr>
      <w:rFonts w:asciiTheme="majorHAnsi" w:eastAsiaTheme="majorEastAsia" w:hAnsiTheme="majorHAnsi" w:cstheme="majorBidi"/>
      <w:i/>
      <w:iCs/>
      <w:color w:val="243F60" w:themeColor="accent1" w:themeShade="7F"/>
      <w:sz w:val="20"/>
      <w:szCs w:val="20"/>
    </w:rPr>
  </w:style>
  <w:style w:type="character" w:customStyle="1" w:styleId="Titolo7Carattere">
    <w:name w:val="Titolo 7 Carattere"/>
    <w:basedOn w:val="Carpredefinitoparagrafo"/>
    <w:link w:val="Titolo7"/>
    <w:uiPriority w:val="9"/>
    <w:semiHidden/>
    <w:rsid w:val="00C557B4"/>
    <w:rPr>
      <w:rFonts w:asciiTheme="majorHAnsi" w:eastAsiaTheme="majorEastAsia" w:hAnsiTheme="majorHAnsi" w:cstheme="majorBidi"/>
      <w:i/>
      <w:iCs/>
      <w:color w:val="404040" w:themeColor="text1" w:themeTint="BF"/>
      <w:sz w:val="20"/>
      <w:szCs w:val="20"/>
    </w:rPr>
  </w:style>
  <w:style w:type="character" w:customStyle="1" w:styleId="Titolo8Carattere">
    <w:name w:val="Titolo 8 Carattere"/>
    <w:basedOn w:val="Carpredefinitoparagrafo"/>
    <w:link w:val="Titolo8"/>
    <w:uiPriority w:val="9"/>
    <w:semiHidden/>
    <w:rsid w:val="00C557B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C557B4"/>
    <w:rPr>
      <w:rFonts w:asciiTheme="majorHAnsi" w:eastAsiaTheme="majorEastAsia" w:hAnsiTheme="majorHAnsi" w:cstheme="majorBidi"/>
      <w:i/>
      <w:iCs/>
      <w:color w:val="404040" w:themeColor="text1" w:themeTint="BF"/>
      <w:sz w:val="20"/>
      <w:szCs w:val="20"/>
    </w:rPr>
  </w:style>
  <w:style w:type="paragraph" w:styleId="Titolosommario">
    <w:name w:val="TOC Heading"/>
    <w:basedOn w:val="Titolo1"/>
    <w:next w:val="Normale"/>
    <w:uiPriority w:val="39"/>
    <w:semiHidden/>
    <w:unhideWhenUsed/>
    <w:qFormat/>
    <w:rsid w:val="006E1163"/>
    <w:pPr>
      <w:keepNext/>
      <w:keepLines/>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rPr>
  </w:style>
  <w:style w:type="paragraph" w:styleId="Sommario1">
    <w:name w:val="toc 1"/>
    <w:basedOn w:val="Normale"/>
    <w:next w:val="Normale"/>
    <w:autoRedefine/>
    <w:uiPriority w:val="39"/>
    <w:unhideWhenUsed/>
    <w:rsid w:val="006E1163"/>
    <w:pPr>
      <w:spacing w:after="100"/>
    </w:pPr>
  </w:style>
  <w:style w:type="paragraph" w:styleId="Sommario2">
    <w:name w:val="toc 2"/>
    <w:basedOn w:val="Normale"/>
    <w:next w:val="Normale"/>
    <w:autoRedefine/>
    <w:uiPriority w:val="39"/>
    <w:unhideWhenUsed/>
    <w:rsid w:val="00465642"/>
    <w:pPr>
      <w:tabs>
        <w:tab w:val="left" w:pos="709"/>
        <w:tab w:val="right" w:leader="dot" w:pos="9628"/>
      </w:tabs>
      <w:spacing w:after="100"/>
      <w:ind w:left="200"/>
    </w:pPr>
  </w:style>
  <w:style w:type="character" w:styleId="Collegamentoipertestuale">
    <w:name w:val="Hyperlink"/>
    <w:basedOn w:val="Carpredefinitoparagrafo"/>
    <w:uiPriority w:val="99"/>
    <w:unhideWhenUsed/>
    <w:rsid w:val="006E1163"/>
    <w:rPr>
      <w:color w:val="0000FF" w:themeColor="hyperlink"/>
      <w:u w:val="single"/>
    </w:rPr>
  </w:style>
  <w:style w:type="paragraph" w:styleId="Paragrafoelenco">
    <w:name w:val="List Paragraph"/>
    <w:basedOn w:val="Normale"/>
    <w:uiPriority w:val="34"/>
    <w:qFormat/>
    <w:rsid w:val="006E1163"/>
    <w:pPr>
      <w:autoSpaceDE/>
      <w:autoSpaceDN/>
      <w:adjustRightInd/>
      <w:ind w:left="720"/>
      <w:contextualSpacing/>
    </w:pPr>
    <w:rPr>
      <w:rFonts w:ascii="Times New Roman" w:hAnsi="Times New Roman"/>
      <w:sz w:val="24"/>
      <w:szCs w:val="24"/>
      <w:lang w:eastAsia="it-IT"/>
    </w:rPr>
  </w:style>
  <w:style w:type="paragraph" w:styleId="Sommario3">
    <w:name w:val="toc 3"/>
    <w:basedOn w:val="Normale"/>
    <w:next w:val="Normale"/>
    <w:autoRedefine/>
    <w:uiPriority w:val="39"/>
    <w:unhideWhenUsed/>
    <w:rsid w:val="002546EB"/>
    <w:pPr>
      <w:spacing w:after="100"/>
      <w:ind w:left="400"/>
    </w:pPr>
  </w:style>
  <w:style w:type="character" w:styleId="Rimandocommento">
    <w:name w:val="annotation reference"/>
    <w:basedOn w:val="Carpredefinitoparagrafo"/>
    <w:unhideWhenUsed/>
    <w:rsid w:val="00027B71"/>
    <w:rPr>
      <w:sz w:val="16"/>
      <w:szCs w:val="16"/>
    </w:rPr>
  </w:style>
  <w:style w:type="paragraph" w:styleId="Testocommento">
    <w:name w:val="annotation text"/>
    <w:basedOn w:val="Normale"/>
    <w:link w:val="TestocommentoCarattere"/>
    <w:unhideWhenUsed/>
    <w:rsid w:val="00027B71"/>
  </w:style>
  <w:style w:type="character" w:customStyle="1" w:styleId="TestocommentoCarattere">
    <w:name w:val="Testo commento Carattere"/>
    <w:basedOn w:val="Carpredefinitoparagrafo"/>
    <w:link w:val="Testocommento"/>
    <w:rsid w:val="00027B71"/>
    <w:rPr>
      <w:rFonts w:ascii="Bembo" w:eastAsia="Times New Roman" w:hAnsi="Bembo" w:cs="Times New Roman"/>
      <w:sz w:val="20"/>
      <w:szCs w:val="20"/>
    </w:rPr>
  </w:style>
  <w:style w:type="paragraph" w:styleId="Soggettocommento">
    <w:name w:val="annotation subject"/>
    <w:basedOn w:val="Testocommento"/>
    <w:next w:val="Testocommento"/>
    <w:link w:val="SoggettocommentoCarattere"/>
    <w:uiPriority w:val="99"/>
    <w:semiHidden/>
    <w:unhideWhenUsed/>
    <w:rsid w:val="00027B71"/>
    <w:rPr>
      <w:b/>
      <w:bCs/>
    </w:rPr>
  </w:style>
  <w:style w:type="character" w:customStyle="1" w:styleId="SoggettocommentoCarattere">
    <w:name w:val="Soggetto commento Carattere"/>
    <w:basedOn w:val="TestocommentoCarattere"/>
    <w:link w:val="Soggettocommento"/>
    <w:uiPriority w:val="99"/>
    <w:semiHidden/>
    <w:rsid w:val="00027B71"/>
    <w:rPr>
      <w:rFonts w:ascii="Bembo" w:eastAsia="Times New Roman" w:hAnsi="Bembo" w:cs="Times New Roman"/>
      <w:b/>
      <w:bCs/>
      <w:sz w:val="20"/>
      <w:szCs w:val="20"/>
    </w:rPr>
  </w:style>
  <w:style w:type="paragraph" w:styleId="NormaleWeb">
    <w:name w:val="Normal (Web)"/>
    <w:basedOn w:val="Normale"/>
    <w:uiPriority w:val="99"/>
    <w:unhideWhenUsed/>
    <w:rsid w:val="009839FB"/>
    <w:pPr>
      <w:autoSpaceDE/>
      <w:autoSpaceDN/>
      <w:adjustRightInd/>
      <w:spacing w:before="100" w:beforeAutospacing="1" w:after="100" w:afterAutospacing="1"/>
    </w:pPr>
    <w:rPr>
      <w:rFonts w:ascii="Times New Roman" w:eastAsiaTheme="minorEastAsia" w:hAnsi="Times New Roman"/>
      <w:sz w:val="24"/>
      <w:szCs w:val="24"/>
      <w:lang w:eastAsia="it-IT"/>
    </w:rPr>
  </w:style>
  <w:style w:type="table" w:styleId="Grigliatabella">
    <w:name w:val="Table Grid"/>
    <w:basedOn w:val="Tabellanormale"/>
    <w:uiPriority w:val="59"/>
    <w:rsid w:val="00F6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465642"/>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465642"/>
    <w:rPr>
      <w:rFonts w:ascii="Bembo" w:eastAsia="Times New Roman" w:hAnsi="Bembo" w:cs="Times New Roman"/>
      <w:sz w:val="20"/>
      <w:szCs w:val="20"/>
    </w:rPr>
  </w:style>
  <w:style w:type="paragraph" w:styleId="Pidipagina">
    <w:name w:val="footer"/>
    <w:basedOn w:val="Normale"/>
    <w:link w:val="PidipaginaCarattere"/>
    <w:uiPriority w:val="99"/>
    <w:unhideWhenUsed/>
    <w:rsid w:val="00465642"/>
    <w:pPr>
      <w:tabs>
        <w:tab w:val="center" w:pos="4819"/>
        <w:tab w:val="right" w:pos="9638"/>
      </w:tabs>
    </w:pPr>
  </w:style>
  <w:style w:type="character" w:customStyle="1" w:styleId="PidipaginaCarattere">
    <w:name w:val="Piè di pagina Carattere"/>
    <w:basedOn w:val="Carpredefinitoparagrafo"/>
    <w:link w:val="Pidipagina"/>
    <w:uiPriority w:val="99"/>
    <w:rsid w:val="00465642"/>
    <w:rPr>
      <w:rFonts w:ascii="Bembo" w:eastAsia="Times New Roman" w:hAnsi="Bembo" w:cs="Times New Roman"/>
      <w:sz w:val="20"/>
      <w:szCs w:val="20"/>
    </w:rPr>
  </w:style>
  <w:style w:type="character" w:styleId="Testosegnaposto">
    <w:name w:val="Placeholder Text"/>
    <w:basedOn w:val="Carpredefinitoparagrafo"/>
    <w:uiPriority w:val="99"/>
    <w:semiHidden/>
    <w:rsid w:val="008E5C3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B2D41"/>
    <w:pPr>
      <w:autoSpaceDE w:val="0"/>
      <w:autoSpaceDN w:val="0"/>
      <w:adjustRightInd w:val="0"/>
      <w:spacing w:after="0" w:line="240" w:lineRule="auto"/>
    </w:pPr>
    <w:rPr>
      <w:rFonts w:ascii="Bembo" w:eastAsia="Times New Roman" w:hAnsi="Bembo" w:cs="Times New Roman"/>
      <w:sz w:val="20"/>
      <w:szCs w:val="20"/>
    </w:rPr>
  </w:style>
  <w:style w:type="paragraph" w:styleId="Titolo1">
    <w:name w:val="heading 1"/>
    <w:basedOn w:val="Normale"/>
    <w:link w:val="Titolo1Carattere"/>
    <w:qFormat/>
    <w:rsid w:val="00C557B4"/>
    <w:pPr>
      <w:numPr>
        <w:numId w:val="4"/>
      </w:numPr>
      <w:outlineLvl w:val="0"/>
    </w:pPr>
    <w:rPr>
      <w:rFonts w:ascii="Gill Sans MT" w:hAnsi="Gill Sans MT"/>
      <w:b/>
      <w:bCs/>
      <w:sz w:val="28"/>
      <w:szCs w:val="28"/>
    </w:rPr>
  </w:style>
  <w:style w:type="paragraph" w:styleId="Titolo2">
    <w:name w:val="heading 2"/>
    <w:basedOn w:val="Normale"/>
    <w:link w:val="Titolo2Carattere"/>
    <w:qFormat/>
    <w:rsid w:val="00C557B4"/>
    <w:pPr>
      <w:numPr>
        <w:ilvl w:val="1"/>
        <w:numId w:val="4"/>
      </w:numPr>
      <w:outlineLvl w:val="1"/>
    </w:pPr>
    <w:rPr>
      <w:rFonts w:ascii="Gill Sans MT" w:hAnsi="Gill Sans MT"/>
      <w:b/>
      <w:bCs/>
      <w:sz w:val="26"/>
      <w:szCs w:val="26"/>
    </w:rPr>
  </w:style>
  <w:style w:type="paragraph" w:styleId="Titolo3">
    <w:name w:val="heading 3"/>
    <w:basedOn w:val="Normale"/>
    <w:next w:val="Normale"/>
    <w:link w:val="Titolo3Carattere"/>
    <w:uiPriority w:val="9"/>
    <w:unhideWhenUsed/>
    <w:qFormat/>
    <w:rsid w:val="00C557B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C557B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C557B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C557B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C557B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557B4"/>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Titolo9">
    <w:name w:val="heading 9"/>
    <w:basedOn w:val="Normale"/>
    <w:next w:val="Normale"/>
    <w:link w:val="Titolo9Carattere"/>
    <w:uiPriority w:val="9"/>
    <w:semiHidden/>
    <w:unhideWhenUsed/>
    <w:qFormat/>
    <w:rsid w:val="00C557B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C557B4"/>
    <w:rPr>
      <w:rFonts w:ascii="Gill Sans MT" w:eastAsia="Times New Roman" w:hAnsi="Gill Sans MT" w:cs="Times New Roman"/>
      <w:b/>
      <w:bCs/>
      <w:sz w:val="28"/>
      <w:szCs w:val="28"/>
    </w:rPr>
  </w:style>
  <w:style w:type="character" w:customStyle="1" w:styleId="Titolo2Carattere">
    <w:name w:val="Titolo 2 Carattere"/>
    <w:basedOn w:val="Carpredefinitoparagrafo"/>
    <w:link w:val="Titolo2"/>
    <w:rsid w:val="00C557B4"/>
    <w:rPr>
      <w:rFonts w:ascii="Gill Sans MT" w:eastAsia="Times New Roman" w:hAnsi="Gill Sans MT" w:cs="Times New Roman"/>
      <w:b/>
      <w:bCs/>
      <w:sz w:val="26"/>
      <w:szCs w:val="26"/>
    </w:rPr>
  </w:style>
  <w:style w:type="paragraph" w:styleId="Testonotaapidipagina">
    <w:name w:val="footnote text"/>
    <w:basedOn w:val="Normale"/>
    <w:link w:val="TestonotaapidipaginaCarattere"/>
    <w:semiHidden/>
    <w:rsid w:val="00C557B4"/>
  </w:style>
  <w:style w:type="character" w:customStyle="1" w:styleId="TestonotaapidipaginaCarattere">
    <w:name w:val="Testo nota a piè di pagina Carattere"/>
    <w:basedOn w:val="Carpredefinitoparagrafo"/>
    <w:link w:val="Testonotaapidipagina"/>
    <w:semiHidden/>
    <w:rsid w:val="00C557B4"/>
    <w:rPr>
      <w:rFonts w:ascii="Bembo" w:eastAsia="Times New Roman" w:hAnsi="Bembo" w:cs="Times New Roman"/>
      <w:sz w:val="20"/>
      <w:szCs w:val="20"/>
    </w:rPr>
  </w:style>
  <w:style w:type="character" w:styleId="Rimandonotaapidipagina">
    <w:name w:val="footnote reference"/>
    <w:basedOn w:val="Carpredefinitoparagrafo"/>
    <w:semiHidden/>
    <w:rsid w:val="00C557B4"/>
    <w:rPr>
      <w:vertAlign w:val="superscript"/>
    </w:rPr>
  </w:style>
  <w:style w:type="paragraph" w:customStyle="1" w:styleId="Stile3">
    <w:name w:val="Stile3"/>
    <w:basedOn w:val="Titolo2"/>
    <w:qFormat/>
    <w:rsid w:val="00C557B4"/>
    <w:pPr>
      <w:numPr>
        <w:ilvl w:val="3"/>
        <w:numId w:val="1"/>
      </w:numPr>
      <w:outlineLvl w:val="3"/>
    </w:pPr>
    <w:rPr>
      <w:sz w:val="24"/>
      <w:szCs w:val="24"/>
    </w:rPr>
  </w:style>
  <w:style w:type="paragraph" w:styleId="Didascalia">
    <w:name w:val="caption"/>
    <w:basedOn w:val="Normale"/>
    <w:next w:val="Normale"/>
    <w:qFormat/>
    <w:rsid w:val="00C557B4"/>
    <w:rPr>
      <w:b/>
      <w:bCs/>
    </w:rPr>
  </w:style>
  <w:style w:type="paragraph" w:styleId="Testofumetto">
    <w:name w:val="Balloon Text"/>
    <w:basedOn w:val="Normale"/>
    <w:link w:val="TestofumettoCarattere"/>
    <w:uiPriority w:val="99"/>
    <w:semiHidden/>
    <w:unhideWhenUsed/>
    <w:rsid w:val="00C557B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57B4"/>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C557B4"/>
    <w:rPr>
      <w:rFonts w:asciiTheme="majorHAnsi" w:eastAsiaTheme="majorEastAsia" w:hAnsiTheme="majorHAnsi" w:cstheme="majorBidi"/>
      <w:b/>
      <w:bCs/>
      <w:color w:val="4F81BD" w:themeColor="accent1"/>
      <w:sz w:val="20"/>
      <w:szCs w:val="20"/>
    </w:rPr>
  </w:style>
  <w:style w:type="character" w:customStyle="1" w:styleId="Titolo4Carattere">
    <w:name w:val="Titolo 4 Carattere"/>
    <w:basedOn w:val="Carpredefinitoparagrafo"/>
    <w:link w:val="Titolo4"/>
    <w:uiPriority w:val="9"/>
    <w:rsid w:val="00C557B4"/>
    <w:rPr>
      <w:rFonts w:asciiTheme="majorHAnsi" w:eastAsiaTheme="majorEastAsia" w:hAnsiTheme="majorHAnsi" w:cstheme="majorBidi"/>
      <w:b/>
      <w:bCs/>
      <w:i/>
      <w:iCs/>
      <w:color w:val="4F81BD" w:themeColor="accent1"/>
      <w:sz w:val="20"/>
      <w:szCs w:val="20"/>
    </w:rPr>
  </w:style>
  <w:style w:type="character" w:customStyle="1" w:styleId="Titolo5Carattere">
    <w:name w:val="Titolo 5 Carattere"/>
    <w:basedOn w:val="Carpredefinitoparagrafo"/>
    <w:link w:val="Titolo5"/>
    <w:uiPriority w:val="9"/>
    <w:semiHidden/>
    <w:rsid w:val="00C557B4"/>
    <w:rPr>
      <w:rFonts w:asciiTheme="majorHAnsi" w:eastAsiaTheme="majorEastAsia" w:hAnsiTheme="majorHAnsi" w:cstheme="majorBidi"/>
      <w:color w:val="243F60" w:themeColor="accent1" w:themeShade="7F"/>
      <w:sz w:val="20"/>
      <w:szCs w:val="20"/>
    </w:rPr>
  </w:style>
  <w:style w:type="character" w:customStyle="1" w:styleId="Titolo6Carattere">
    <w:name w:val="Titolo 6 Carattere"/>
    <w:basedOn w:val="Carpredefinitoparagrafo"/>
    <w:link w:val="Titolo6"/>
    <w:uiPriority w:val="9"/>
    <w:semiHidden/>
    <w:rsid w:val="00C557B4"/>
    <w:rPr>
      <w:rFonts w:asciiTheme="majorHAnsi" w:eastAsiaTheme="majorEastAsia" w:hAnsiTheme="majorHAnsi" w:cstheme="majorBidi"/>
      <w:i/>
      <w:iCs/>
      <w:color w:val="243F60" w:themeColor="accent1" w:themeShade="7F"/>
      <w:sz w:val="20"/>
      <w:szCs w:val="20"/>
    </w:rPr>
  </w:style>
  <w:style w:type="character" w:customStyle="1" w:styleId="Titolo7Carattere">
    <w:name w:val="Titolo 7 Carattere"/>
    <w:basedOn w:val="Carpredefinitoparagrafo"/>
    <w:link w:val="Titolo7"/>
    <w:uiPriority w:val="9"/>
    <w:semiHidden/>
    <w:rsid w:val="00C557B4"/>
    <w:rPr>
      <w:rFonts w:asciiTheme="majorHAnsi" w:eastAsiaTheme="majorEastAsia" w:hAnsiTheme="majorHAnsi" w:cstheme="majorBidi"/>
      <w:i/>
      <w:iCs/>
      <w:color w:val="404040" w:themeColor="text1" w:themeTint="BF"/>
      <w:sz w:val="20"/>
      <w:szCs w:val="20"/>
    </w:rPr>
  </w:style>
  <w:style w:type="character" w:customStyle="1" w:styleId="Titolo8Carattere">
    <w:name w:val="Titolo 8 Carattere"/>
    <w:basedOn w:val="Carpredefinitoparagrafo"/>
    <w:link w:val="Titolo8"/>
    <w:uiPriority w:val="9"/>
    <w:semiHidden/>
    <w:rsid w:val="00C557B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C557B4"/>
    <w:rPr>
      <w:rFonts w:asciiTheme="majorHAnsi" w:eastAsiaTheme="majorEastAsia" w:hAnsiTheme="majorHAnsi" w:cstheme="majorBidi"/>
      <w:i/>
      <w:iCs/>
      <w:color w:val="404040" w:themeColor="text1" w:themeTint="BF"/>
      <w:sz w:val="20"/>
      <w:szCs w:val="20"/>
    </w:rPr>
  </w:style>
  <w:style w:type="paragraph" w:styleId="Titolosommario">
    <w:name w:val="TOC Heading"/>
    <w:basedOn w:val="Titolo1"/>
    <w:next w:val="Normale"/>
    <w:uiPriority w:val="39"/>
    <w:semiHidden/>
    <w:unhideWhenUsed/>
    <w:qFormat/>
    <w:rsid w:val="006E1163"/>
    <w:pPr>
      <w:keepNext/>
      <w:keepLines/>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rPr>
  </w:style>
  <w:style w:type="paragraph" w:styleId="Sommario1">
    <w:name w:val="toc 1"/>
    <w:basedOn w:val="Normale"/>
    <w:next w:val="Normale"/>
    <w:autoRedefine/>
    <w:uiPriority w:val="39"/>
    <w:unhideWhenUsed/>
    <w:rsid w:val="006E1163"/>
    <w:pPr>
      <w:spacing w:after="100"/>
    </w:pPr>
  </w:style>
  <w:style w:type="paragraph" w:styleId="Sommario2">
    <w:name w:val="toc 2"/>
    <w:basedOn w:val="Normale"/>
    <w:next w:val="Normale"/>
    <w:autoRedefine/>
    <w:uiPriority w:val="39"/>
    <w:unhideWhenUsed/>
    <w:rsid w:val="00465642"/>
    <w:pPr>
      <w:tabs>
        <w:tab w:val="left" w:pos="709"/>
        <w:tab w:val="right" w:leader="dot" w:pos="9628"/>
      </w:tabs>
      <w:spacing w:after="100"/>
      <w:ind w:left="200"/>
    </w:pPr>
  </w:style>
  <w:style w:type="character" w:styleId="Collegamentoipertestuale">
    <w:name w:val="Hyperlink"/>
    <w:basedOn w:val="Carpredefinitoparagrafo"/>
    <w:uiPriority w:val="99"/>
    <w:unhideWhenUsed/>
    <w:rsid w:val="006E1163"/>
    <w:rPr>
      <w:color w:val="0000FF" w:themeColor="hyperlink"/>
      <w:u w:val="single"/>
    </w:rPr>
  </w:style>
  <w:style w:type="paragraph" w:styleId="Paragrafoelenco">
    <w:name w:val="List Paragraph"/>
    <w:basedOn w:val="Normale"/>
    <w:uiPriority w:val="34"/>
    <w:qFormat/>
    <w:rsid w:val="006E1163"/>
    <w:pPr>
      <w:autoSpaceDE/>
      <w:autoSpaceDN/>
      <w:adjustRightInd/>
      <w:ind w:left="720"/>
      <w:contextualSpacing/>
    </w:pPr>
    <w:rPr>
      <w:rFonts w:ascii="Times New Roman" w:hAnsi="Times New Roman"/>
      <w:sz w:val="24"/>
      <w:szCs w:val="24"/>
      <w:lang w:eastAsia="it-IT"/>
    </w:rPr>
  </w:style>
  <w:style w:type="paragraph" w:styleId="Sommario3">
    <w:name w:val="toc 3"/>
    <w:basedOn w:val="Normale"/>
    <w:next w:val="Normale"/>
    <w:autoRedefine/>
    <w:uiPriority w:val="39"/>
    <w:unhideWhenUsed/>
    <w:rsid w:val="002546EB"/>
    <w:pPr>
      <w:spacing w:after="100"/>
      <w:ind w:left="400"/>
    </w:pPr>
  </w:style>
  <w:style w:type="character" w:styleId="Rimandocommento">
    <w:name w:val="annotation reference"/>
    <w:basedOn w:val="Carpredefinitoparagrafo"/>
    <w:unhideWhenUsed/>
    <w:rsid w:val="00027B71"/>
    <w:rPr>
      <w:sz w:val="16"/>
      <w:szCs w:val="16"/>
    </w:rPr>
  </w:style>
  <w:style w:type="paragraph" w:styleId="Testocommento">
    <w:name w:val="annotation text"/>
    <w:basedOn w:val="Normale"/>
    <w:link w:val="TestocommentoCarattere"/>
    <w:unhideWhenUsed/>
    <w:rsid w:val="00027B71"/>
  </w:style>
  <w:style w:type="character" w:customStyle="1" w:styleId="TestocommentoCarattere">
    <w:name w:val="Testo commento Carattere"/>
    <w:basedOn w:val="Carpredefinitoparagrafo"/>
    <w:link w:val="Testocommento"/>
    <w:rsid w:val="00027B71"/>
    <w:rPr>
      <w:rFonts w:ascii="Bembo" w:eastAsia="Times New Roman" w:hAnsi="Bembo" w:cs="Times New Roman"/>
      <w:sz w:val="20"/>
      <w:szCs w:val="20"/>
    </w:rPr>
  </w:style>
  <w:style w:type="paragraph" w:styleId="Soggettocommento">
    <w:name w:val="annotation subject"/>
    <w:basedOn w:val="Testocommento"/>
    <w:next w:val="Testocommento"/>
    <w:link w:val="SoggettocommentoCarattere"/>
    <w:uiPriority w:val="99"/>
    <w:semiHidden/>
    <w:unhideWhenUsed/>
    <w:rsid w:val="00027B71"/>
    <w:rPr>
      <w:b/>
      <w:bCs/>
    </w:rPr>
  </w:style>
  <w:style w:type="character" w:customStyle="1" w:styleId="SoggettocommentoCarattere">
    <w:name w:val="Soggetto commento Carattere"/>
    <w:basedOn w:val="TestocommentoCarattere"/>
    <w:link w:val="Soggettocommento"/>
    <w:uiPriority w:val="99"/>
    <w:semiHidden/>
    <w:rsid w:val="00027B71"/>
    <w:rPr>
      <w:rFonts w:ascii="Bembo" w:eastAsia="Times New Roman" w:hAnsi="Bembo" w:cs="Times New Roman"/>
      <w:b/>
      <w:bCs/>
      <w:sz w:val="20"/>
      <w:szCs w:val="20"/>
    </w:rPr>
  </w:style>
  <w:style w:type="paragraph" w:styleId="NormaleWeb">
    <w:name w:val="Normal (Web)"/>
    <w:basedOn w:val="Normale"/>
    <w:uiPriority w:val="99"/>
    <w:unhideWhenUsed/>
    <w:rsid w:val="009839FB"/>
    <w:pPr>
      <w:autoSpaceDE/>
      <w:autoSpaceDN/>
      <w:adjustRightInd/>
      <w:spacing w:before="100" w:beforeAutospacing="1" w:after="100" w:afterAutospacing="1"/>
    </w:pPr>
    <w:rPr>
      <w:rFonts w:ascii="Times New Roman" w:eastAsiaTheme="minorEastAsia" w:hAnsi="Times New Roman"/>
      <w:sz w:val="24"/>
      <w:szCs w:val="24"/>
      <w:lang w:eastAsia="it-IT"/>
    </w:rPr>
  </w:style>
  <w:style w:type="table" w:styleId="Grigliatabella">
    <w:name w:val="Table Grid"/>
    <w:basedOn w:val="Tabellanormale"/>
    <w:uiPriority w:val="59"/>
    <w:rsid w:val="00F6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465642"/>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465642"/>
    <w:rPr>
      <w:rFonts w:ascii="Bembo" w:eastAsia="Times New Roman" w:hAnsi="Bembo" w:cs="Times New Roman"/>
      <w:sz w:val="20"/>
      <w:szCs w:val="20"/>
    </w:rPr>
  </w:style>
  <w:style w:type="paragraph" w:styleId="Pidipagina">
    <w:name w:val="footer"/>
    <w:basedOn w:val="Normale"/>
    <w:link w:val="PidipaginaCarattere"/>
    <w:uiPriority w:val="99"/>
    <w:unhideWhenUsed/>
    <w:rsid w:val="00465642"/>
    <w:pPr>
      <w:tabs>
        <w:tab w:val="center" w:pos="4819"/>
        <w:tab w:val="right" w:pos="9638"/>
      </w:tabs>
    </w:pPr>
  </w:style>
  <w:style w:type="character" w:customStyle="1" w:styleId="PidipaginaCarattere">
    <w:name w:val="Piè di pagina Carattere"/>
    <w:basedOn w:val="Carpredefinitoparagrafo"/>
    <w:link w:val="Pidipagina"/>
    <w:uiPriority w:val="99"/>
    <w:rsid w:val="00465642"/>
    <w:rPr>
      <w:rFonts w:ascii="Bembo" w:eastAsia="Times New Roman" w:hAnsi="Bembo" w:cs="Times New Roman"/>
      <w:sz w:val="20"/>
      <w:szCs w:val="20"/>
    </w:rPr>
  </w:style>
  <w:style w:type="character" w:styleId="Testosegnaposto">
    <w:name w:val="Placeholder Text"/>
    <w:basedOn w:val="Carpredefinitoparagrafo"/>
    <w:uiPriority w:val="99"/>
    <w:semiHidden/>
    <w:rsid w:val="008E5C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6299">
      <w:bodyDiv w:val="1"/>
      <w:marLeft w:val="0"/>
      <w:marRight w:val="0"/>
      <w:marTop w:val="0"/>
      <w:marBottom w:val="0"/>
      <w:divBdr>
        <w:top w:val="none" w:sz="0" w:space="0" w:color="auto"/>
        <w:left w:val="none" w:sz="0" w:space="0" w:color="auto"/>
        <w:bottom w:val="none" w:sz="0" w:space="0" w:color="auto"/>
        <w:right w:val="none" w:sz="0" w:space="0" w:color="auto"/>
      </w:divBdr>
    </w:div>
    <w:div w:id="314721018">
      <w:bodyDiv w:val="1"/>
      <w:marLeft w:val="0"/>
      <w:marRight w:val="0"/>
      <w:marTop w:val="0"/>
      <w:marBottom w:val="0"/>
      <w:divBdr>
        <w:top w:val="none" w:sz="0" w:space="0" w:color="auto"/>
        <w:left w:val="none" w:sz="0" w:space="0" w:color="auto"/>
        <w:bottom w:val="none" w:sz="0" w:space="0" w:color="auto"/>
        <w:right w:val="none" w:sz="0" w:space="0" w:color="auto"/>
      </w:divBdr>
    </w:div>
    <w:div w:id="904725390">
      <w:bodyDiv w:val="1"/>
      <w:marLeft w:val="0"/>
      <w:marRight w:val="0"/>
      <w:marTop w:val="0"/>
      <w:marBottom w:val="0"/>
      <w:divBdr>
        <w:top w:val="none" w:sz="0" w:space="0" w:color="auto"/>
        <w:left w:val="none" w:sz="0" w:space="0" w:color="auto"/>
        <w:bottom w:val="none" w:sz="0" w:space="0" w:color="auto"/>
        <w:right w:val="none" w:sz="0" w:space="0" w:color="auto"/>
      </w:divBdr>
    </w:div>
    <w:div w:id="978412499">
      <w:bodyDiv w:val="1"/>
      <w:marLeft w:val="0"/>
      <w:marRight w:val="0"/>
      <w:marTop w:val="0"/>
      <w:marBottom w:val="0"/>
      <w:divBdr>
        <w:top w:val="none" w:sz="0" w:space="0" w:color="auto"/>
        <w:left w:val="none" w:sz="0" w:space="0" w:color="auto"/>
        <w:bottom w:val="none" w:sz="0" w:space="0" w:color="auto"/>
        <w:right w:val="none" w:sz="0" w:space="0" w:color="auto"/>
      </w:divBdr>
    </w:div>
    <w:div w:id="1119759536">
      <w:bodyDiv w:val="1"/>
      <w:marLeft w:val="0"/>
      <w:marRight w:val="0"/>
      <w:marTop w:val="0"/>
      <w:marBottom w:val="0"/>
      <w:divBdr>
        <w:top w:val="none" w:sz="0" w:space="0" w:color="auto"/>
        <w:left w:val="none" w:sz="0" w:space="0" w:color="auto"/>
        <w:bottom w:val="none" w:sz="0" w:space="0" w:color="auto"/>
        <w:right w:val="none" w:sz="0" w:space="0" w:color="auto"/>
      </w:divBdr>
    </w:div>
    <w:div w:id="1262683944">
      <w:bodyDiv w:val="1"/>
      <w:marLeft w:val="0"/>
      <w:marRight w:val="0"/>
      <w:marTop w:val="0"/>
      <w:marBottom w:val="0"/>
      <w:divBdr>
        <w:top w:val="none" w:sz="0" w:space="0" w:color="auto"/>
        <w:left w:val="none" w:sz="0" w:space="0" w:color="auto"/>
        <w:bottom w:val="none" w:sz="0" w:space="0" w:color="auto"/>
        <w:right w:val="none" w:sz="0" w:space="0" w:color="auto"/>
      </w:divBdr>
    </w:div>
    <w:div w:id="1305158810">
      <w:bodyDiv w:val="1"/>
      <w:marLeft w:val="0"/>
      <w:marRight w:val="0"/>
      <w:marTop w:val="0"/>
      <w:marBottom w:val="0"/>
      <w:divBdr>
        <w:top w:val="none" w:sz="0" w:space="0" w:color="auto"/>
        <w:left w:val="none" w:sz="0" w:space="0" w:color="auto"/>
        <w:bottom w:val="none" w:sz="0" w:space="0" w:color="auto"/>
        <w:right w:val="none" w:sz="0" w:space="0" w:color="auto"/>
      </w:divBdr>
    </w:div>
    <w:div w:id="1367147038">
      <w:bodyDiv w:val="1"/>
      <w:marLeft w:val="0"/>
      <w:marRight w:val="0"/>
      <w:marTop w:val="0"/>
      <w:marBottom w:val="0"/>
      <w:divBdr>
        <w:top w:val="none" w:sz="0" w:space="0" w:color="auto"/>
        <w:left w:val="none" w:sz="0" w:space="0" w:color="auto"/>
        <w:bottom w:val="none" w:sz="0" w:space="0" w:color="auto"/>
        <w:right w:val="none" w:sz="0" w:space="0" w:color="auto"/>
      </w:divBdr>
    </w:div>
    <w:div w:id="1594706070">
      <w:bodyDiv w:val="1"/>
      <w:marLeft w:val="0"/>
      <w:marRight w:val="0"/>
      <w:marTop w:val="0"/>
      <w:marBottom w:val="0"/>
      <w:divBdr>
        <w:top w:val="none" w:sz="0" w:space="0" w:color="auto"/>
        <w:left w:val="none" w:sz="0" w:space="0" w:color="auto"/>
        <w:bottom w:val="none" w:sz="0" w:space="0" w:color="auto"/>
        <w:right w:val="none" w:sz="0" w:space="0" w:color="auto"/>
      </w:divBdr>
      <w:divsChild>
        <w:div w:id="1561482864">
          <w:marLeft w:val="720"/>
          <w:marRight w:val="0"/>
          <w:marTop w:val="168"/>
          <w:marBottom w:val="0"/>
          <w:divBdr>
            <w:top w:val="none" w:sz="0" w:space="0" w:color="auto"/>
            <w:left w:val="none" w:sz="0" w:space="0" w:color="auto"/>
            <w:bottom w:val="none" w:sz="0" w:space="0" w:color="auto"/>
            <w:right w:val="none" w:sz="0" w:space="0" w:color="auto"/>
          </w:divBdr>
        </w:div>
        <w:div w:id="771706781">
          <w:marLeft w:val="720"/>
          <w:marRight w:val="0"/>
          <w:marTop w:val="168"/>
          <w:marBottom w:val="0"/>
          <w:divBdr>
            <w:top w:val="none" w:sz="0" w:space="0" w:color="auto"/>
            <w:left w:val="none" w:sz="0" w:space="0" w:color="auto"/>
            <w:bottom w:val="none" w:sz="0" w:space="0" w:color="auto"/>
            <w:right w:val="none" w:sz="0" w:space="0" w:color="auto"/>
          </w:divBdr>
        </w:div>
        <w:div w:id="1767382960">
          <w:marLeft w:val="720"/>
          <w:marRight w:val="0"/>
          <w:marTop w:val="168"/>
          <w:marBottom w:val="0"/>
          <w:divBdr>
            <w:top w:val="none" w:sz="0" w:space="0" w:color="auto"/>
            <w:left w:val="none" w:sz="0" w:space="0" w:color="auto"/>
            <w:bottom w:val="none" w:sz="0" w:space="0" w:color="auto"/>
            <w:right w:val="none" w:sz="0" w:space="0" w:color="auto"/>
          </w:divBdr>
        </w:div>
        <w:div w:id="1012024247">
          <w:marLeft w:val="720"/>
          <w:marRight w:val="0"/>
          <w:marTop w:val="168"/>
          <w:marBottom w:val="0"/>
          <w:divBdr>
            <w:top w:val="none" w:sz="0" w:space="0" w:color="auto"/>
            <w:left w:val="none" w:sz="0" w:space="0" w:color="auto"/>
            <w:bottom w:val="none" w:sz="0" w:space="0" w:color="auto"/>
            <w:right w:val="none" w:sz="0" w:space="0" w:color="auto"/>
          </w:divBdr>
        </w:div>
      </w:divsChild>
    </w:div>
    <w:div w:id="1799834372">
      <w:bodyDiv w:val="1"/>
      <w:marLeft w:val="0"/>
      <w:marRight w:val="0"/>
      <w:marTop w:val="0"/>
      <w:marBottom w:val="0"/>
      <w:divBdr>
        <w:top w:val="none" w:sz="0" w:space="0" w:color="auto"/>
        <w:left w:val="none" w:sz="0" w:space="0" w:color="auto"/>
        <w:bottom w:val="none" w:sz="0" w:space="0" w:color="auto"/>
        <w:right w:val="none" w:sz="0" w:space="0" w:color="auto"/>
      </w:divBdr>
    </w:div>
    <w:div w:id="1839880555">
      <w:bodyDiv w:val="1"/>
      <w:marLeft w:val="0"/>
      <w:marRight w:val="0"/>
      <w:marTop w:val="0"/>
      <w:marBottom w:val="0"/>
      <w:divBdr>
        <w:top w:val="none" w:sz="0" w:space="0" w:color="auto"/>
        <w:left w:val="none" w:sz="0" w:space="0" w:color="auto"/>
        <w:bottom w:val="none" w:sz="0" w:space="0" w:color="auto"/>
        <w:right w:val="none" w:sz="0" w:space="0" w:color="auto"/>
      </w:divBdr>
    </w:div>
    <w:div w:id="1911840111">
      <w:bodyDiv w:val="1"/>
      <w:marLeft w:val="0"/>
      <w:marRight w:val="0"/>
      <w:marTop w:val="0"/>
      <w:marBottom w:val="0"/>
      <w:divBdr>
        <w:top w:val="none" w:sz="0" w:space="0" w:color="auto"/>
        <w:left w:val="none" w:sz="0" w:space="0" w:color="auto"/>
        <w:bottom w:val="none" w:sz="0" w:space="0" w:color="auto"/>
        <w:right w:val="none" w:sz="0" w:space="0" w:color="auto"/>
      </w:divBdr>
    </w:div>
    <w:div w:id="1936285457">
      <w:bodyDiv w:val="1"/>
      <w:marLeft w:val="0"/>
      <w:marRight w:val="0"/>
      <w:marTop w:val="0"/>
      <w:marBottom w:val="0"/>
      <w:divBdr>
        <w:top w:val="none" w:sz="0" w:space="0" w:color="auto"/>
        <w:left w:val="none" w:sz="0" w:space="0" w:color="auto"/>
        <w:bottom w:val="none" w:sz="0" w:space="0" w:color="auto"/>
        <w:right w:val="none" w:sz="0" w:space="0" w:color="auto"/>
      </w:divBdr>
    </w:div>
    <w:div w:id="1967391641">
      <w:bodyDiv w:val="1"/>
      <w:marLeft w:val="0"/>
      <w:marRight w:val="0"/>
      <w:marTop w:val="0"/>
      <w:marBottom w:val="0"/>
      <w:divBdr>
        <w:top w:val="none" w:sz="0" w:space="0" w:color="auto"/>
        <w:left w:val="none" w:sz="0" w:space="0" w:color="auto"/>
        <w:bottom w:val="none" w:sz="0" w:space="0" w:color="auto"/>
        <w:right w:val="none" w:sz="0" w:space="0" w:color="auto"/>
      </w:divBdr>
    </w:div>
    <w:div w:id="2048944862">
      <w:bodyDiv w:val="1"/>
      <w:marLeft w:val="0"/>
      <w:marRight w:val="0"/>
      <w:marTop w:val="0"/>
      <w:marBottom w:val="0"/>
      <w:divBdr>
        <w:top w:val="none" w:sz="0" w:space="0" w:color="auto"/>
        <w:left w:val="none" w:sz="0" w:space="0" w:color="auto"/>
        <w:bottom w:val="none" w:sz="0" w:space="0" w:color="auto"/>
        <w:right w:val="none" w:sz="0" w:space="0" w:color="auto"/>
      </w:divBdr>
    </w:div>
    <w:div w:id="204894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21.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image" Target="media/image20.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image" Target="media/image23.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image" Target="media/image17.emf"/><Relationship Id="rId35" Type="http://schemas.openxmlformats.org/officeDocument/2006/relationships/image" Target="media/image22.emf"/></Relationships>
</file>

<file path=word/_rels/footnotes.xml.rels><?xml version="1.0" encoding="UTF-8" standalone="yes"?>
<Relationships xmlns="http://schemas.openxmlformats.org/package/2006/relationships"><Relationship Id="rId3" Type="http://schemas.openxmlformats.org/officeDocument/2006/relationships/image" Target="media/image15.wmf"/><Relationship Id="rId2" Type="http://schemas.openxmlformats.org/officeDocument/2006/relationships/oleObject" Target="embeddings/oleObject9.bin"/><Relationship Id="rId1" Type="http://schemas.openxmlformats.org/officeDocument/2006/relationships/image" Target="media/image14.wmf"/><Relationship Id="rId6" Type="http://schemas.openxmlformats.org/officeDocument/2006/relationships/oleObject" Target="embeddings/oleObject11.bin"/><Relationship Id="rId5" Type="http://schemas.openxmlformats.org/officeDocument/2006/relationships/image" Target="media/image16.wmf"/><Relationship Id="rId4" Type="http://schemas.openxmlformats.org/officeDocument/2006/relationships/oleObject" Target="embeddings/oleObject10.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025A0-A314-41DE-A349-59F8E903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12623</Words>
  <Characters>71955</Characters>
  <Application>Microsoft Office Word</Application>
  <DocSecurity>0</DocSecurity>
  <Lines>599</Lines>
  <Paragraphs>168</Paragraphs>
  <ScaleCrop>false</ScaleCrop>
  <HeadingPairs>
    <vt:vector size="2" baseType="variant">
      <vt:variant>
        <vt:lpstr>Titolo</vt:lpstr>
      </vt:variant>
      <vt:variant>
        <vt:i4>1</vt:i4>
      </vt:variant>
    </vt:vector>
  </HeadingPairs>
  <TitlesOfParts>
    <vt:vector size="1" baseType="lpstr">
      <vt:lpstr/>
    </vt:vector>
  </TitlesOfParts>
  <Company>CheBanca! s.p.a.</Company>
  <LinksUpToDate>false</LinksUpToDate>
  <CharactersWithSpaces>84410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 Compagnoni</dc:creator>
  <cp:lastModifiedBy>Emanuele</cp:lastModifiedBy>
  <cp:revision>2</cp:revision>
  <cp:lastPrinted>2015-07-16T09:47:00Z</cp:lastPrinted>
  <dcterms:created xsi:type="dcterms:W3CDTF">2019-03-20T06:42:00Z</dcterms:created>
  <dcterms:modified xsi:type="dcterms:W3CDTF">2019-03-20T06:42:00Z</dcterms:modified>
</cp:coreProperties>
</file>