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9FB0D" w14:textId="77777777" w:rsidR="00EE16B0" w:rsidRPr="009B2555" w:rsidRDefault="009B2555" w:rsidP="001744CC">
      <w:pPr>
        <w:spacing w:after="0" w:line="360" w:lineRule="auto"/>
        <w:jc w:val="center"/>
        <w:rPr>
          <w:rFonts w:ascii="Times New Roman" w:hAnsi="Times New Roman" w:cs="Times New Roman"/>
          <w:b/>
          <w:sz w:val="36"/>
          <w:szCs w:val="26"/>
          <w:lang w:val="en-US"/>
        </w:rPr>
      </w:pPr>
      <w:proofErr w:type="spellStart"/>
      <w:r w:rsidRPr="009B2555">
        <w:rPr>
          <w:rFonts w:ascii="Times New Roman" w:hAnsi="Times New Roman" w:cs="Times New Roman"/>
          <w:b/>
          <w:sz w:val="36"/>
          <w:szCs w:val="26"/>
          <w:lang w:val="en-US"/>
        </w:rPr>
        <w:t>Fondi</w:t>
      </w:r>
      <w:proofErr w:type="spellEnd"/>
      <w:r w:rsidRPr="009B2555">
        <w:rPr>
          <w:rFonts w:ascii="Times New Roman" w:hAnsi="Times New Roman" w:cs="Times New Roman"/>
          <w:b/>
          <w:sz w:val="36"/>
          <w:szCs w:val="26"/>
          <w:lang w:val="en-US"/>
        </w:rPr>
        <w:t xml:space="preserve"> </w:t>
      </w:r>
      <w:proofErr w:type="spellStart"/>
      <w:r w:rsidRPr="009B2555">
        <w:rPr>
          <w:rFonts w:ascii="Times New Roman" w:hAnsi="Times New Roman" w:cs="Times New Roman"/>
          <w:b/>
          <w:sz w:val="36"/>
          <w:szCs w:val="26"/>
          <w:lang w:val="en-US"/>
        </w:rPr>
        <w:t>Flessibili</w:t>
      </w:r>
      <w:proofErr w:type="spellEnd"/>
      <w:r w:rsidRPr="009B2555">
        <w:rPr>
          <w:rFonts w:ascii="Times New Roman" w:hAnsi="Times New Roman" w:cs="Times New Roman"/>
          <w:b/>
          <w:sz w:val="36"/>
          <w:szCs w:val="26"/>
          <w:lang w:val="en-US"/>
        </w:rPr>
        <w:t xml:space="preserve">: the beauty </w:t>
      </w:r>
      <w:r w:rsidR="004A5523">
        <w:rPr>
          <w:rFonts w:ascii="Times New Roman" w:hAnsi="Times New Roman" w:cs="Times New Roman"/>
          <w:b/>
          <w:sz w:val="36"/>
          <w:szCs w:val="26"/>
          <w:lang w:val="en-US"/>
        </w:rPr>
        <w:t>or</w:t>
      </w:r>
      <w:r w:rsidRPr="009B2555">
        <w:rPr>
          <w:rFonts w:ascii="Times New Roman" w:hAnsi="Times New Roman" w:cs="Times New Roman"/>
          <w:b/>
          <w:sz w:val="36"/>
          <w:szCs w:val="26"/>
          <w:lang w:val="en-US"/>
        </w:rPr>
        <w:t xml:space="preserve"> the </w:t>
      </w:r>
      <w:r>
        <w:rPr>
          <w:rFonts w:ascii="Times New Roman" w:hAnsi="Times New Roman" w:cs="Times New Roman"/>
          <w:b/>
          <w:sz w:val="36"/>
          <w:szCs w:val="26"/>
          <w:lang w:val="en-US"/>
        </w:rPr>
        <w:t>b</w:t>
      </w:r>
      <w:r w:rsidRPr="009B2555">
        <w:rPr>
          <w:rFonts w:ascii="Times New Roman" w:hAnsi="Times New Roman" w:cs="Times New Roman"/>
          <w:b/>
          <w:sz w:val="36"/>
          <w:szCs w:val="26"/>
          <w:lang w:val="en-US"/>
        </w:rPr>
        <w:t>east</w:t>
      </w:r>
      <w:r>
        <w:rPr>
          <w:rFonts w:ascii="Times New Roman" w:hAnsi="Times New Roman" w:cs="Times New Roman"/>
          <w:b/>
          <w:sz w:val="36"/>
          <w:szCs w:val="26"/>
          <w:lang w:val="en-US"/>
        </w:rPr>
        <w:t>?</w:t>
      </w:r>
    </w:p>
    <w:p w14:paraId="2180DA39" w14:textId="77777777" w:rsidR="003E2A58" w:rsidRPr="00310F53" w:rsidRDefault="001744CC" w:rsidP="001744CC">
      <w:pPr>
        <w:spacing w:after="0"/>
        <w:jc w:val="center"/>
        <w:rPr>
          <w:rFonts w:ascii="Times New Roman" w:hAnsi="Times New Roman" w:cs="Times New Roman"/>
          <w:sz w:val="20"/>
          <w:szCs w:val="20"/>
        </w:rPr>
      </w:pPr>
      <w:r w:rsidRPr="00310F53">
        <w:rPr>
          <w:rFonts w:ascii="Times New Roman" w:hAnsi="Times New Roman" w:cs="Times New Roman"/>
          <w:sz w:val="20"/>
          <w:szCs w:val="20"/>
        </w:rPr>
        <w:t xml:space="preserve">Emanuele Maria Carluccio – Ugo </w:t>
      </w:r>
      <w:proofErr w:type="spellStart"/>
      <w:r w:rsidRPr="00310F53">
        <w:rPr>
          <w:rFonts w:ascii="Times New Roman" w:hAnsi="Times New Roman" w:cs="Times New Roman"/>
          <w:sz w:val="20"/>
          <w:szCs w:val="20"/>
        </w:rPr>
        <w:t>Pomante</w:t>
      </w:r>
      <w:proofErr w:type="spellEnd"/>
    </w:p>
    <w:p w14:paraId="67406E88" w14:textId="77777777" w:rsidR="00C029BD" w:rsidRPr="00310F53" w:rsidRDefault="00C029BD" w:rsidP="00095829">
      <w:pPr>
        <w:spacing w:after="0"/>
        <w:rPr>
          <w:rFonts w:ascii="Times New Roman" w:hAnsi="Times New Roman" w:cs="Times New Roman"/>
          <w:sz w:val="26"/>
          <w:szCs w:val="26"/>
        </w:rPr>
      </w:pPr>
    </w:p>
    <w:sdt>
      <w:sdtPr>
        <w:rPr>
          <w:rFonts w:asciiTheme="minorHAnsi" w:eastAsiaTheme="minorHAnsi" w:hAnsiTheme="minorHAnsi" w:cstheme="minorBidi"/>
          <w:b w:val="0"/>
          <w:bCs w:val="0"/>
          <w:color w:val="auto"/>
          <w:sz w:val="22"/>
          <w:szCs w:val="22"/>
          <w:lang w:eastAsia="en-US"/>
        </w:rPr>
        <w:id w:val="-1983076612"/>
        <w:docPartObj>
          <w:docPartGallery w:val="Table of Contents"/>
          <w:docPartUnique/>
        </w:docPartObj>
      </w:sdtPr>
      <w:sdtEndPr/>
      <w:sdtContent>
        <w:p w14:paraId="2DDD4F98" w14:textId="77777777" w:rsidR="004A5523" w:rsidRDefault="004A5523">
          <w:pPr>
            <w:pStyle w:val="Titolosommario"/>
          </w:pPr>
          <w:r>
            <w:t>Sommario</w:t>
          </w:r>
        </w:p>
        <w:p w14:paraId="1E433B2F" w14:textId="77777777" w:rsidR="00922AD8" w:rsidRDefault="004A5523">
          <w:pPr>
            <w:pStyle w:val="Sommario1"/>
            <w:tabs>
              <w:tab w:val="left" w:pos="440"/>
              <w:tab w:val="right" w:leader="dot" w:pos="8494"/>
            </w:tabs>
            <w:rPr>
              <w:rFonts w:eastAsiaTheme="minorEastAsia"/>
              <w:noProof/>
              <w:lang w:eastAsia="it-IT"/>
            </w:rPr>
          </w:pPr>
          <w:r>
            <w:fldChar w:fldCharType="begin"/>
          </w:r>
          <w:r>
            <w:instrText xml:space="preserve"> TOC \o "1-3" \h \z \u </w:instrText>
          </w:r>
          <w:r>
            <w:fldChar w:fldCharType="separate"/>
          </w:r>
          <w:hyperlink w:anchor="_Toc30702196" w:history="1">
            <w:r w:rsidR="00922AD8" w:rsidRPr="002F535B">
              <w:rPr>
                <w:rStyle w:val="Collegamentoipertestuale"/>
                <w:rFonts w:ascii="Times New Roman" w:hAnsi="Times New Roman" w:cs="Times New Roman"/>
                <w:noProof/>
              </w:rPr>
              <w:t>1.</w:t>
            </w:r>
            <w:r w:rsidR="00922AD8">
              <w:rPr>
                <w:rFonts w:eastAsiaTheme="minorEastAsia"/>
                <w:noProof/>
                <w:lang w:eastAsia="it-IT"/>
              </w:rPr>
              <w:tab/>
            </w:r>
            <w:r w:rsidR="00922AD8" w:rsidRPr="002F535B">
              <w:rPr>
                <w:rStyle w:val="Collegamentoipertestuale"/>
                <w:rFonts w:ascii="Times New Roman" w:hAnsi="Times New Roman" w:cs="Times New Roman"/>
                <w:noProof/>
              </w:rPr>
              <w:t>Premessa</w:t>
            </w:r>
            <w:r w:rsidR="00922AD8">
              <w:rPr>
                <w:noProof/>
                <w:webHidden/>
              </w:rPr>
              <w:tab/>
            </w:r>
            <w:r w:rsidR="00922AD8">
              <w:rPr>
                <w:noProof/>
                <w:webHidden/>
              </w:rPr>
              <w:fldChar w:fldCharType="begin"/>
            </w:r>
            <w:r w:rsidR="00922AD8">
              <w:rPr>
                <w:noProof/>
                <w:webHidden/>
              </w:rPr>
              <w:instrText xml:space="preserve"> PAGEREF _Toc30702196 \h </w:instrText>
            </w:r>
            <w:r w:rsidR="00922AD8">
              <w:rPr>
                <w:noProof/>
                <w:webHidden/>
              </w:rPr>
            </w:r>
            <w:r w:rsidR="00922AD8">
              <w:rPr>
                <w:noProof/>
                <w:webHidden/>
              </w:rPr>
              <w:fldChar w:fldCharType="separate"/>
            </w:r>
            <w:r w:rsidR="00D94976">
              <w:rPr>
                <w:noProof/>
                <w:webHidden/>
              </w:rPr>
              <w:t>1</w:t>
            </w:r>
            <w:r w:rsidR="00922AD8">
              <w:rPr>
                <w:noProof/>
                <w:webHidden/>
              </w:rPr>
              <w:fldChar w:fldCharType="end"/>
            </w:r>
          </w:hyperlink>
        </w:p>
        <w:p w14:paraId="1442400F" w14:textId="77777777" w:rsidR="00922AD8" w:rsidRDefault="00966D3D">
          <w:pPr>
            <w:pStyle w:val="Sommario1"/>
            <w:tabs>
              <w:tab w:val="left" w:pos="440"/>
              <w:tab w:val="right" w:leader="dot" w:pos="8494"/>
            </w:tabs>
            <w:rPr>
              <w:rFonts w:eastAsiaTheme="minorEastAsia"/>
              <w:noProof/>
              <w:lang w:eastAsia="it-IT"/>
            </w:rPr>
          </w:pPr>
          <w:hyperlink w:anchor="_Toc30702197" w:history="1">
            <w:r w:rsidR="00922AD8" w:rsidRPr="002F535B">
              <w:rPr>
                <w:rStyle w:val="Collegamentoipertestuale"/>
                <w:rFonts w:ascii="Times New Roman" w:hAnsi="Times New Roman" w:cs="Times New Roman"/>
                <w:noProof/>
              </w:rPr>
              <w:t>2.</w:t>
            </w:r>
            <w:r w:rsidR="00922AD8">
              <w:rPr>
                <w:rFonts w:eastAsiaTheme="minorEastAsia"/>
                <w:noProof/>
                <w:lang w:eastAsia="it-IT"/>
              </w:rPr>
              <w:tab/>
            </w:r>
            <w:r w:rsidR="00922AD8" w:rsidRPr="002F535B">
              <w:rPr>
                <w:rStyle w:val="Collegamentoipertestuale"/>
                <w:rFonts w:ascii="Times New Roman" w:hAnsi="Times New Roman" w:cs="Times New Roman"/>
                <w:noProof/>
              </w:rPr>
              <w:t>Un “mare magnum” chiamato Fondi Flessibili</w:t>
            </w:r>
            <w:r w:rsidR="00922AD8">
              <w:rPr>
                <w:noProof/>
                <w:webHidden/>
              </w:rPr>
              <w:tab/>
            </w:r>
            <w:r w:rsidR="00922AD8">
              <w:rPr>
                <w:noProof/>
                <w:webHidden/>
              </w:rPr>
              <w:fldChar w:fldCharType="begin"/>
            </w:r>
            <w:r w:rsidR="00922AD8">
              <w:rPr>
                <w:noProof/>
                <w:webHidden/>
              </w:rPr>
              <w:instrText xml:space="preserve"> PAGEREF _Toc30702197 \h </w:instrText>
            </w:r>
            <w:r w:rsidR="00922AD8">
              <w:rPr>
                <w:noProof/>
                <w:webHidden/>
              </w:rPr>
            </w:r>
            <w:r w:rsidR="00922AD8">
              <w:rPr>
                <w:noProof/>
                <w:webHidden/>
              </w:rPr>
              <w:fldChar w:fldCharType="separate"/>
            </w:r>
            <w:r w:rsidR="00D94976">
              <w:rPr>
                <w:noProof/>
                <w:webHidden/>
              </w:rPr>
              <w:t>5</w:t>
            </w:r>
            <w:r w:rsidR="00922AD8">
              <w:rPr>
                <w:noProof/>
                <w:webHidden/>
              </w:rPr>
              <w:fldChar w:fldCharType="end"/>
            </w:r>
          </w:hyperlink>
        </w:p>
        <w:p w14:paraId="4CA04BF3" w14:textId="77777777" w:rsidR="00922AD8" w:rsidRDefault="00966D3D">
          <w:pPr>
            <w:pStyle w:val="Sommario1"/>
            <w:tabs>
              <w:tab w:val="left" w:pos="440"/>
              <w:tab w:val="right" w:leader="dot" w:pos="8494"/>
            </w:tabs>
            <w:rPr>
              <w:rFonts w:eastAsiaTheme="minorEastAsia"/>
              <w:noProof/>
              <w:lang w:eastAsia="it-IT"/>
            </w:rPr>
          </w:pPr>
          <w:hyperlink w:anchor="_Toc30702198" w:history="1">
            <w:r w:rsidR="00922AD8" w:rsidRPr="002F535B">
              <w:rPr>
                <w:rStyle w:val="Collegamentoipertestuale"/>
                <w:rFonts w:ascii="Times New Roman" w:hAnsi="Times New Roman" w:cs="Times New Roman"/>
                <w:noProof/>
              </w:rPr>
              <w:t>3.</w:t>
            </w:r>
            <w:r w:rsidR="00922AD8">
              <w:rPr>
                <w:rFonts w:eastAsiaTheme="minorEastAsia"/>
                <w:noProof/>
                <w:lang w:eastAsia="it-IT"/>
              </w:rPr>
              <w:tab/>
            </w:r>
            <w:r w:rsidR="00922AD8" w:rsidRPr="002F535B">
              <w:rPr>
                <w:rStyle w:val="Collegamentoipertestuale"/>
                <w:rFonts w:ascii="Times New Roman" w:hAnsi="Times New Roman" w:cs="Times New Roman"/>
                <w:noProof/>
              </w:rPr>
              <w:t xml:space="preserve">Fondi flessibili e </w:t>
            </w:r>
            <w:r w:rsidR="00922AD8" w:rsidRPr="002F535B">
              <w:rPr>
                <w:rStyle w:val="Collegamentoipertestuale"/>
                <w:rFonts w:ascii="Times New Roman" w:hAnsi="Times New Roman" w:cs="Times New Roman"/>
                <w:i/>
                <w:noProof/>
              </w:rPr>
              <w:t>portfolio construction</w:t>
            </w:r>
            <w:r w:rsidR="00922AD8">
              <w:rPr>
                <w:noProof/>
                <w:webHidden/>
              </w:rPr>
              <w:tab/>
            </w:r>
            <w:r w:rsidR="00922AD8">
              <w:rPr>
                <w:noProof/>
                <w:webHidden/>
              </w:rPr>
              <w:fldChar w:fldCharType="begin"/>
            </w:r>
            <w:r w:rsidR="00922AD8">
              <w:rPr>
                <w:noProof/>
                <w:webHidden/>
              </w:rPr>
              <w:instrText xml:space="preserve"> PAGEREF _Toc30702198 \h </w:instrText>
            </w:r>
            <w:r w:rsidR="00922AD8">
              <w:rPr>
                <w:noProof/>
                <w:webHidden/>
              </w:rPr>
            </w:r>
            <w:r w:rsidR="00922AD8">
              <w:rPr>
                <w:noProof/>
                <w:webHidden/>
              </w:rPr>
              <w:fldChar w:fldCharType="separate"/>
            </w:r>
            <w:r w:rsidR="00D94976">
              <w:rPr>
                <w:noProof/>
                <w:webHidden/>
              </w:rPr>
              <w:t>9</w:t>
            </w:r>
            <w:r w:rsidR="00922AD8">
              <w:rPr>
                <w:noProof/>
                <w:webHidden/>
              </w:rPr>
              <w:fldChar w:fldCharType="end"/>
            </w:r>
          </w:hyperlink>
        </w:p>
        <w:p w14:paraId="3C8E9493" w14:textId="77777777" w:rsidR="00922AD8" w:rsidRDefault="00966D3D">
          <w:pPr>
            <w:pStyle w:val="Sommario1"/>
            <w:tabs>
              <w:tab w:val="left" w:pos="440"/>
              <w:tab w:val="right" w:leader="dot" w:pos="8494"/>
            </w:tabs>
            <w:rPr>
              <w:rFonts w:eastAsiaTheme="minorEastAsia"/>
              <w:noProof/>
              <w:lang w:eastAsia="it-IT"/>
            </w:rPr>
          </w:pPr>
          <w:hyperlink w:anchor="_Toc30702199" w:history="1">
            <w:r w:rsidR="00922AD8" w:rsidRPr="002F535B">
              <w:rPr>
                <w:rStyle w:val="Collegamentoipertestuale"/>
                <w:rFonts w:ascii="Times New Roman" w:hAnsi="Times New Roman" w:cs="Times New Roman"/>
                <w:noProof/>
              </w:rPr>
              <w:t>4.</w:t>
            </w:r>
            <w:r w:rsidR="00922AD8">
              <w:rPr>
                <w:rFonts w:eastAsiaTheme="minorEastAsia"/>
                <w:noProof/>
                <w:lang w:eastAsia="it-IT"/>
              </w:rPr>
              <w:tab/>
            </w:r>
            <w:r w:rsidR="00922AD8" w:rsidRPr="002F535B">
              <w:rPr>
                <w:rStyle w:val="Collegamentoipertestuale"/>
                <w:rFonts w:ascii="Times New Roman" w:hAnsi="Times New Roman" w:cs="Times New Roman"/>
                <w:noProof/>
              </w:rPr>
              <w:t xml:space="preserve">I fondi flessibili a confronto con i portafogli </w:t>
            </w:r>
            <w:r w:rsidR="00922AD8" w:rsidRPr="002F535B">
              <w:rPr>
                <w:rStyle w:val="Collegamentoipertestuale"/>
                <w:rFonts w:ascii="Times New Roman" w:hAnsi="Times New Roman" w:cs="Times New Roman"/>
                <w:i/>
                <w:noProof/>
              </w:rPr>
              <w:t>market neutral home bias adjusted</w:t>
            </w:r>
            <w:r w:rsidR="00922AD8">
              <w:rPr>
                <w:noProof/>
                <w:webHidden/>
              </w:rPr>
              <w:tab/>
            </w:r>
            <w:r w:rsidR="00922AD8">
              <w:rPr>
                <w:noProof/>
                <w:webHidden/>
              </w:rPr>
              <w:fldChar w:fldCharType="begin"/>
            </w:r>
            <w:r w:rsidR="00922AD8">
              <w:rPr>
                <w:noProof/>
                <w:webHidden/>
              </w:rPr>
              <w:instrText xml:space="preserve"> PAGEREF _Toc30702199 \h </w:instrText>
            </w:r>
            <w:r w:rsidR="00922AD8">
              <w:rPr>
                <w:noProof/>
                <w:webHidden/>
              </w:rPr>
            </w:r>
            <w:r w:rsidR="00922AD8">
              <w:rPr>
                <w:noProof/>
                <w:webHidden/>
              </w:rPr>
              <w:fldChar w:fldCharType="separate"/>
            </w:r>
            <w:r w:rsidR="00D94976">
              <w:rPr>
                <w:noProof/>
                <w:webHidden/>
              </w:rPr>
              <w:t>15</w:t>
            </w:r>
            <w:r w:rsidR="00922AD8">
              <w:rPr>
                <w:noProof/>
                <w:webHidden/>
              </w:rPr>
              <w:fldChar w:fldCharType="end"/>
            </w:r>
          </w:hyperlink>
        </w:p>
        <w:p w14:paraId="44E6A970" w14:textId="77777777" w:rsidR="00922AD8" w:rsidRDefault="00966D3D">
          <w:pPr>
            <w:pStyle w:val="Sommario1"/>
            <w:tabs>
              <w:tab w:val="left" w:pos="440"/>
              <w:tab w:val="right" w:leader="dot" w:pos="8494"/>
            </w:tabs>
            <w:rPr>
              <w:rFonts w:eastAsiaTheme="minorEastAsia"/>
              <w:noProof/>
              <w:lang w:eastAsia="it-IT"/>
            </w:rPr>
          </w:pPr>
          <w:hyperlink w:anchor="_Toc30702200" w:history="1">
            <w:r w:rsidR="00922AD8" w:rsidRPr="002F535B">
              <w:rPr>
                <w:rStyle w:val="Collegamentoipertestuale"/>
                <w:rFonts w:ascii="Times New Roman" w:hAnsi="Times New Roman" w:cs="Times New Roman"/>
                <w:noProof/>
              </w:rPr>
              <w:t>5.</w:t>
            </w:r>
            <w:r w:rsidR="00922AD8">
              <w:rPr>
                <w:rFonts w:eastAsiaTheme="minorEastAsia"/>
                <w:noProof/>
                <w:lang w:eastAsia="it-IT"/>
              </w:rPr>
              <w:tab/>
            </w:r>
            <w:r w:rsidR="00922AD8" w:rsidRPr="002F535B">
              <w:rPr>
                <w:rStyle w:val="Collegamentoipertestuale"/>
                <w:rFonts w:ascii="Times New Roman" w:hAnsi="Times New Roman" w:cs="Times New Roman"/>
                <w:noProof/>
              </w:rPr>
              <w:t>Una proposta di classificazione</w:t>
            </w:r>
            <w:r w:rsidR="00922AD8">
              <w:rPr>
                <w:noProof/>
                <w:webHidden/>
              </w:rPr>
              <w:tab/>
            </w:r>
            <w:r w:rsidR="00922AD8">
              <w:rPr>
                <w:noProof/>
                <w:webHidden/>
              </w:rPr>
              <w:fldChar w:fldCharType="begin"/>
            </w:r>
            <w:r w:rsidR="00922AD8">
              <w:rPr>
                <w:noProof/>
                <w:webHidden/>
              </w:rPr>
              <w:instrText xml:space="preserve"> PAGEREF _Toc30702200 \h </w:instrText>
            </w:r>
            <w:r w:rsidR="00922AD8">
              <w:rPr>
                <w:noProof/>
                <w:webHidden/>
              </w:rPr>
            </w:r>
            <w:r w:rsidR="00922AD8">
              <w:rPr>
                <w:noProof/>
                <w:webHidden/>
              </w:rPr>
              <w:fldChar w:fldCharType="separate"/>
            </w:r>
            <w:r w:rsidR="00D94976">
              <w:rPr>
                <w:noProof/>
                <w:webHidden/>
              </w:rPr>
              <w:t>18</w:t>
            </w:r>
            <w:r w:rsidR="00922AD8">
              <w:rPr>
                <w:noProof/>
                <w:webHidden/>
              </w:rPr>
              <w:fldChar w:fldCharType="end"/>
            </w:r>
          </w:hyperlink>
        </w:p>
        <w:p w14:paraId="5FFF05F4" w14:textId="77777777" w:rsidR="00922AD8" w:rsidRDefault="00966D3D">
          <w:pPr>
            <w:pStyle w:val="Sommario1"/>
            <w:tabs>
              <w:tab w:val="left" w:pos="440"/>
              <w:tab w:val="right" w:leader="dot" w:pos="8494"/>
            </w:tabs>
            <w:rPr>
              <w:rFonts w:eastAsiaTheme="minorEastAsia"/>
              <w:noProof/>
              <w:lang w:eastAsia="it-IT"/>
            </w:rPr>
          </w:pPr>
          <w:hyperlink w:anchor="_Toc30702201" w:history="1">
            <w:r w:rsidR="00922AD8" w:rsidRPr="00501CFF">
              <w:rPr>
                <w:rStyle w:val="Collegamentoipertestuale"/>
                <w:rFonts w:ascii="Times New Roman" w:hAnsi="Times New Roman" w:cs="Times New Roman"/>
                <w:noProof/>
              </w:rPr>
              <w:t>6.</w:t>
            </w:r>
            <w:r w:rsidR="00922AD8" w:rsidRPr="00501CFF">
              <w:rPr>
                <w:rFonts w:eastAsiaTheme="minorEastAsia"/>
                <w:noProof/>
                <w:lang w:eastAsia="it-IT"/>
              </w:rPr>
              <w:tab/>
            </w:r>
            <w:r w:rsidR="00922AD8" w:rsidRPr="00501CFF">
              <w:rPr>
                <w:rStyle w:val="Collegamentoipertestuale"/>
                <w:rFonts w:ascii="Times New Roman" w:hAnsi="Times New Roman" w:cs="Times New Roman"/>
                <w:noProof/>
              </w:rPr>
              <w:t>Conclusioni</w:t>
            </w:r>
            <w:r w:rsidR="00922AD8" w:rsidRPr="00501CFF">
              <w:rPr>
                <w:noProof/>
                <w:webHidden/>
              </w:rPr>
              <w:tab/>
            </w:r>
            <w:r w:rsidR="00922AD8" w:rsidRPr="00501CFF">
              <w:rPr>
                <w:noProof/>
                <w:webHidden/>
              </w:rPr>
              <w:fldChar w:fldCharType="begin"/>
            </w:r>
            <w:r w:rsidR="00922AD8" w:rsidRPr="00501CFF">
              <w:rPr>
                <w:noProof/>
                <w:webHidden/>
              </w:rPr>
              <w:instrText xml:space="preserve"> PAGEREF _Toc30702201 \h </w:instrText>
            </w:r>
            <w:r w:rsidR="00922AD8" w:rsidRPr="00501CFF">
              <w:rPr>
                <w:noProof/>
                <w:webHidden/>
              </w:rPr>
            </w:r>
            <w:r w:rsidR="00922AD8" w:rsidRPr="00501CFF">
              <w:rPr>
                <w:noProof/>
                <w:webHidden/>
              </w:rPr>
              <w:fldChar w:fldCharType="separate"/>
            </w:r>
            <w:r w:rsidR="00D94976" w:rsidRPr="00501CFF">
              <w:rPr>
                <w:noProof/>
                <w:webHidden/>
              </w:rPr>
              <w:t>21</w:t>
            </w:r>
            <w:r w:rsidR="00922AD8" w:rsidRPr="00501CFF">
              <w:rPr>
                <w:noProof/>
                <w:webHidden/>
              </w:rPr>
              <w:fldChar w:fldCharType="end"/>
            </w:r>
          </w:hyperlink>
        </w:p>
        <w:p w14:paraId="55943A6E" w14:textId="77777777" w:rsidR="004A5523" w:rsidRDefault="004A5523">
          <w:r>
            <w:rPr>
              <w:b/>
              <w:bCs/>
            </w:rPr>
            <w:fldChar w:fldCharType="end"/>
          </w:r>
        </w:p>
      </w:sdtContent>
    </w:sdt>
    <w:p w14:paraId="3292712B" w14:textId="77777777" w:rsidR="00C029BD" w:rsidRPr="009B2555" w:rsidRDefault="00C029BD" w:rsidP="00095829">
      <w:pPr>
        <w:spacing w:after="0"/>
        <w:rPr>
          <w:rFonts w:ascii="Times New Roman" w:hAnsi="Times New Roman" w:cs="Times New Roman"/>
          <w:sz w:val="26"/>
          <w:szCs w:val="26"/>
          <w:lang w:val="en-US"/>
        </w:rPr>
      </w:pPr>
    </w:p>
    <w:p w14:paraId="370C44FB" w14:textId="77777777" w:rsidR="000B11B3" w:rsidRPr="00CC4B64" w:rsidRDefault="00827779" w:rsidP="00120B5D">
      <w:pPr>
        <w:pStyle w:val="Titolo1"/>
        <w:numPr>
          <w:ilvl w:val="0"/>
          <w:numId w:val="3"/>
        </w:numPr>
        <w:spacing w:after="120"/>
        <w:ind w:left="425" w:hanging="425"/>
        <w:rPr>
          <w:rFonts w:ascii="Times New Roman" w:hAnsi="Times New Roman" w:cs="Times New Roman"/>
          <w:color w:val="auto"/>
          <w:sz w:val="26"/>
          <w:szCs w:val="26"/>
        </w:rPr>
      </w:pPr>
      <w:bookmarkStart w:id="0" w:name="_Toc30702196"/>
      <w:r w:rsidRPr="00CC4B64">
        <w:rPr>
          <w:rFonts w:ascii="Times New Roman" w:hAnsi="Times New Roman" w:cs="Times New Roman"/>
          <w:color w:val="auto"/>
          <w:sz w:val="26"/>
          <w:szCs w:val="26"/>
        </w:rPr>
        <w:t>Premessa</w:t>
      </w:r>
      <w:bookmarkEnd w:id="0"/>
    </w:p>
    <w:p w14:paraId="6CBF1A29" w14:textId="77777777" w:rsidR="003E2A58" w:rsidRDefault="006B68A2" w:rsidP="00095829">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La</w:t>
      </w:r>
      <w:r w:rsidR="000B11B3">
        <w:rPr>
          <w:rFonts w:ascii="Times New Roman" w:hAnsi="Times New Roman" w:cs="Times New Roman"/>
          <w:sz w:val="26"/>
          <w:szCs w:val="26"/>
        </w:rPr>
        <w:t xml:space="preserve"> costruzione di un portafoglio </w:t>
      </w:r>
      <w:r w:rsidR="00DD20CC">
        <w:rPr>
          <w:rFonts w:ascii="Times New Roman" w:hAnsi="Times New Roman" w:cs="Times New Roman"/>
          <w:sz w:val="26"/>
          <w:szCs w:val="26"/>
        </w:rPr>
        <w:t>è governata da alcune</w:t>
      </w:r>
      <w:r w:rsidR="000B11B3">
        <w:rPr>
          <w:rFonts w:ascii="Times New Roman" w:hAnsi="Times New Roman" w:cs="Times New Roman"/>
          <w:sz w:val="26"/>
          <w:szCs w:val="26"/>
        </w:rPr>
        <w:t xml:space="preserve"> regole “auree” </w:t>
      </w:r>
      <w:r>
        <w:rPr>
          <w:rFonts w:ascii="Times New Roman" w:hAnsi="Times New Roman" w:cs="Times New Roman"/>
          <w:sz w:val="26"/>
          <w:szCs w:val="26"/>
        </w:rPr>
        <w:t>il cui mancato rispetto mina irrimediabilmente l’efficacia del</w:t>
      </w:r>
      <w:r w:rsidR="00DD20CC">
        <w:rPr>
          <w:rFonts w:ascii="Times New Roman" w:hAnsi="Times New Roman" w:cs="Times New Roman"/>
          <w:sz w:val="26"/>
          <w:szCs w:val="26"/>
        </w:rPr>
        <w:t xml:space="preserve"> processo di </w:t>
      </w:r>
      <w:r>
        <w:rPr>
          <w:rFonts w:ascii="Times New Roman" w:hAnsi="Times New Roman" w:cs="Times New Roman"/>
          <w:sz w:val="26"/>
          <w:szCs w:val="26"/>
        </w:rPr>
        <w:t xml:space="preserve">investimento. </w:t>
      </w:r>
      <w:r w:rsidR="00DD20CC">
        <w:rPr>
          <w:rFonts w:ascii="Times New Roman" w:hAnsi="Times New Roman" w:cs="Times New Roman"/>
          <w:sz w:val="26"/>
          <w:szCs w:val="26"/>
        </w:rPr>
        <w:t>Esistono</w:t>
      </w:r>
      <w:r w:rsidR="00310F53">
        <w:rPr>
          <w:rFonts w:ascii="Times New Roman" w:hAnsi="Times New Roman" w:cs="Times New Roman"/>
          <w:sz w:val="26"/>
          <w:szCs w:val="26"/>
        </w:rPr>
        <w:t>,</w:t>
      </w:r>
      <w:r w:rsidR="00DD20CC">
        <w:rPr>
          <w:rFonts w:ascii="Times New Roman" w:hAnsi="Times New Roman" w:cs="Times New Roman"/>
          <w:sz w:val="26"/>
          <w:szCs w:val="26"/>
        </w:rPr>
        <w:t xml:space="preserve"> cioè</w:t>
      </w:r>
      <w:r w:rsidR="00310F53">
        <w:rPr>
          <w:rFonts w:ascii="Times New Roman" w:hAnsi="Times New Roman" w:cs="Times New Roman"/>
          <w:sz w:val="26"/>
          <w:szCs w:val="26"/>
        </w:rPr>
        <w:t>,</w:t>
      </w:r>
      <w:r w:rsidR="00DD20CC">
        <w:rPr>
          <w:rFonts w:ascii="Times New Roman" w:hAnsi="Times New Roman" w:cs="Times New Roman"/>
          <w:sz w:val="26"/>
          <w:szCs w:val="26"/>
        </w:rPr>
        <w:t xml:space="preserve"> principi imprescindibili che assumono la funzione di veri e propri “comandamenti” in grado di orientare le scelte di portafoglio verso la razionalità e </w:t>
      </w:r>
      <w:r w:rsidR="003E2A58">
        <w:rPr>
          <w:rFonts w:ascii="Times New Roman" w:hAnsi="Times New Roman" w:cs="Times New Roman"/>
          <w:sz w:val="26"/>
          <w:szCs w:val="26"/>
        </w:rPr>
        <w:t xml:space="preserve">la </w:t>
      </w:r>
      <w:r w:rsidR="00DD20CC">
        <w:rPr>
          <w:rFonts w:ascii="Times New Roman" w:hAnsi="Times New Roman" w:cs="Times New Roman"/>
          <w:sz w:val="26"/>
          <w:szCs w:val="26"/>
        </w:rPr>
        <w:t>ragionevolezza finanziaria</w:t>
      </w:r>
      <w:r w:rsidR="003E2A58">
        <w:rPr>
          <w:rFonts w:ascii="Times New Roman" w:hAnsi="Times New Roman" w:cs="Times New Roman"/>
          <w:sz w:val="26"/>
          <w:szCs w:val="26"/>
        </w:rPr>
        <w:t>:</w:t>
      </w:r>
    </w:p>
    <w:p w14:paraId="7A5B93F2" w14:textId="77777777" w:rsidR="003E2A58" w:rsidRDefault="003E2A58" w:rsidP="00095829">
      <w:pPr>
        <w:pStyle w:val="Paragrafoelenco"/>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il portafoglio deve essere adeguatamente diversificato</w:t>
      </w:r>
      <w:r w:rsidR="00310F53">
        <w:rPr>
          <w:rFonts w:ascii="Times New Roman" w:hAnsi="Times New Roman" w:cs="Times New Roman"/>
          <w:sz w:val="26"/>
          <w:szCs w:val="26"/>
        </w:rPr>
        <w:t>,</w:t>
      </w:r>
      <w:r>
        <w:rPr>
          <w:rFonts w:ascii="Times New Roman" w:hAnsi="Times New Roman" w:cs="Times New Roman"/>
          <w:sz w:val="26"/>
          <w:szCs w:val="26"/>
        </w:rPr>
        <w:t xml:space="preserve"> in modo </w:t>
      </w:r>
      <w:r w:rsidR="00310F53">
        <w:rPr>
          <w:rFonts w:ascii="Times New Roman" w:hAnsi="Times New Roman" w:cs="Times New Roman"/>
          <w:sz w:val="26"/>
          <w:szCs w:val="26"/>
        </w:rPr>
        <w:t xml:space="preserve">tale </w:t>
      </w:r>
      <w:r>
        <w:rPr>
          <w:rFonts w:ascii="Times New Roman" w:hAnsi="Times New Roman" w:cs="Times New Roman"/>
          <w:sz w:val="26"/>
          <w:szCs w:val="26"/>
        </w:rPr>
        <w:t xml:space="preserve">da scongiurare che </w:t>
      </w:r>
      <w:r w:rsidR="00310F53">
        <w:rPr>
          <w:rFonts w:ascii="Times New Roman" w:hAnsi="Times New Roman" w:cs="Times New Roman"/>
          <w:sz w:val="26"/>
          <w:szCs w:val="26"/>
        </w:rPr>
        <w:t xml:space="preserve">le performance </w:t>
      </w:r>
      <w:r>
        <w:rPr>
          <w:rFonts w:ascii="Times New Roman" w:hAnsi="Times New Roman" w:cs="Times New Roman"/>
          <w:sz w:val="26"/>
          <w:szCs w:val="26"/>
        </w:rPr>
        <w:t>sia</w:t>
      </w:r>
      <w:r w:rsidR="00DE74C0">
        <w:rPr>
          <w:rFonts w:ascii="Times New Roman" w:hAnsi="Times New Roman" w:cs="Times New Roman"/>
          <w:sz w:val="26"/>
          <w:szCs w:val="26"/>
        </w:rPr>
        <w:t>no</w:t>
      </w:r>
      <w:r>
        <w:rPr>
          <w:rFonts w:ascii="Times New Roman" w:hAnsi="Times New Roman" w:cs="Times New Roman"/>
          <w:sz w:val="26"/>
          <w:szCs w:val="26"/>
        </w:rPr>
        <w:t xml:space="preserve"> influenzat</w:t>
      </w:r>
      <w:r w:rsidR="00310F53">
        <w:rPr>
          <w:rFonts w:ascii="Times New Roman" w:hAnsi="Times New Roman" w:cs="Times New Roman"/>
          <w:sz w:val="26"/>
          <w:szCs w:val="26"/>
        </w:rPr>
        <w:t>e</w:t>
      </w:r>
      <w:r>
        <w:rPr>
          <w:rFonts w:ascii="Times New Roman" w:hAnsi="Times New Roman" w:cs="Times New Roman"/>
          <w:sz w:val="26"/>
          <w:szCs w:val="26"/>
        </w:rPr>
        <w:t xml:space="preserve"> da un numero limitato di </w:t>
      </w:r>
      <w:r>
        <w:rPr>
          <w:rFonts w:ascii="Times New Roman" w:hAnsi="Times New Roman" w:cs="Times New Roman"/>
          <w:i/>
          <w:sz w:val="26"/>
          <w:szCs w:val="26"/>
        </w:rPr>
        <w:t xml:space="preserve">risk </w:t>
      </w:r>
      <w:proofErr w:type="spellStart"/>
      <w:r>
        <w:rPr>
          <w:rFonts w:ascii="Times New Roman" w:hAnsi="Times New Roman" w:cs="Times New Roman"/>
          <w:i/>
          <w:sz w:val="26"/>
          <w:szCs w:val="26"/>
        </w:rPr>
        <w:t>factor</w:t>
      </w:r>
      <w:proofErr w:type="spellEnd"/>
      <w:r w:rsidR="00DE74C0">
        <w:rPr>
          <w:rFonts w:ascii="Times New Roman" w:hAnsi="Times New Roman" w:cs="Times New Roman"/>
          <w:sz w:val="26"/>
          <w:szCs w:val="26"/>
        </w:rPr>
        <w:t xml:space="preserve"> (la storia dei mercati finanziari insegna</w:t>
      </w:r>
      <w:r w:rsidR="00310F53">
        <w:rPr>
          <w:rFonts w:ascii="Times New Roman" w:hAnsi="Times New Roman" w:cs="Times New Roman"/>
          <w:sz w:val="26"/>
          <w:szCs w:val="26"/>
        </w:rPr>
        <w:t xml:space="preserve">, infatti, </w:t>
      </w:r>
      <w:r w:rsidR="001744CC">
        <w:rPr>
          <w:rFonts w:ascii="Times New Roman" w:hAnsi="Times New Roman" w:cs="Times New Roman"/>
          <w:sz w:val="26"/>
          <w:szCs w:val="26"/>
        </w:rPr>
        <w:t xml:space="preserve">che </w:t>
      </w:r>
      <w:r w:rsidR="00772E4F">
        <w:rPr>
          <w:rFonts w:ascii="Times New Roman" w:hAnsi="Times New Roman" w:cs="Times New Roman"/>
          <w:sz w:val="26"/>
          <w:szCs w:val="26"/>
        </w:rPr>
        <w:t>i</w:t>
      </w:r>
      <w:r w:rsidR="00DE74C0">
        <w:rPr>
          <w:rFonts w:ascii="Times New Roman" w:hAnsi="Times New Roman" w:cs="Times New Roman"/>
          <w:sz w:val="26"/>
          <w:szCs w:val="26"/>
        </w:rPr>
        <w:t xml:space="preserve"> casi più clamorosi di default </w:t>
      </w:r>
      <w:r w:rsidR="001744CC">
        <w:rPr>
          <w:rFonts w:ascii="Times New Roman" w:hAnsi="Times New Roman" w:cs="Times New Roman"/>
          <w:sz w:val="26"/>
          <w:szCs w:val="26"/>
        </w:rPr>
        <w:t>sono</w:t>
      </w:r>
      <w:r w:rsidR="00167A3A">
        <w:rPr>
          <w:rFonts w:ascii="Times New Roman" w:hAnsi="Times New Roman" w:cs="Times New Roman"/>
          <w:sz w:val="26"/>
          <w:szCs w:val="26"/>
        </w:rPr>
        <w:t xml:space="preserve"> quasi sempre</w:t>
      </w:r>
      <w:r w:rsidR="001744CC">
        <w:rPr>
          <w:rFonts w:ascii="Times New Roman" w:hAnsi="Times New Roman" w:cs="Times New Roman"/>
          <w:sz w:val="26"/>
          <w:szCs w:val="26"/>
        </w:rPr>
        <w:t xml:space="preserve"> dovut</w:t>
      </w:r>
      <w:r w:rsidR="00310F53">
        <w:rPr>
          <w:rFonts w:ascii="Times New Roman" w:hAnsi="Times New Roman" w:cs="Times New Roman"/>
          <w:sz w:val="26"/>
          <w:szCs w:val="26"/>
        </w:rPr>
        <w:t>i</w:t>
      </w:r>
      <w:r w:rsidR="00167A3A">
        <w:rPr>
          <w:rFonts w:ascii="Times New Roman" w:hAnsi="Times New Roman" w:cs="Times New Roman"/>
          <w:sz w:val="26"/>
          <w:szCs w:val="26"/>
        </w:rPr>
        <w:t xml:space="preserve"> </w:t>
      </w:r>
      <w:r w:rsidR="001744CC">
        <w:rPr>
          <w:rFonts w:ascii="Times New Roman" w:hAnsi="Times New Roman" w:cs="Times New Roman"/>
          <w:sz w:val="26"/>
          <w:szCs w:val="26"/>
        </w:rPr>
        <w:t>al</w:t>
      </w:r>
      <w:r w:rsidR="00167A3A">
        <w:rPr>
          <w:rFonts w:ascii="Times New Roman" w:hAnsi="Times New Roman" w:cs="Times New Roman"/>
          <w:sz w:val="26"/>
          <w:szCs w:val="26"/>
        </w:rPr>
        <w:t>la</w:t>
      </w:r>
      <w:r w:rsidR="00DE74C0">
        <w:rPr>
          <w:rFonts w:ascii="Times New Roman" w:hAnsi="Times New Roman" w:cs="Times New Roman"/>
          <w:sz w:val="26"/>
          <w:szCs w:val="26"/>
        </w:rPr>
        <w:t xml:space="preserve"> combinazione </w:t>
      </w:r>
      <w:r w:rsidR="00167A3A">
        <w:rPr>
          <w:rFonts w:ascii="Times New Roman" w:hAnsi="Times New Roman" w:cs="Times New Roman"/>
          <w:sz w:val="26"/>
          <w:szCs w:val="26"/>
        </w:rPr>
        <w:t>di</w:t>
      </w:r>
      <w:r w:rsidR="00DE74C0">
        <w:rPr>
          <w:rFonts w:ascii="Times New Roman" w:hAnsi="Times New Roman" w:cs="Times New Roman"/>
          <w:sz w:val="26"/>
          <w:szCs w:val="26"/>
        </w:rPr>
        <w:t xml:space="preserve"> concentrazione e sfortuna: </w:t>
      </w:r>
      <w:r w:rsidR="00310F53">
        <w:rPr>
          <w:rFonts w:ascii="Times New Roman" w:hAnsi="Times New Roman" w:cs="Times New Roman"/>
          <w:sz w:val="26"/>
          <w:szCs w:val="26"/>
        </w:rPr>
        <w:t xml:space="preserve">dal momento che </w:t>
      </w:r>
      <w:r w:rsidR="00DE74C0">
        <w:rPr>
          <w:rFonts w:ascii="Times New Roman" w:hAnsi="Times New Roman" w:cs="Times New Roman"/>
          <w:sz w:val="26"/>
          <w:szCs w:val="26"/>
        </w:rPr>
        <w:t xml:space="preserve">quest’ultima non può essere governata, </w:t>
      </w:r>
      <w:r w:rsidR="00310F53">
        <w:rPr>
          <w:rFonts w:ascii="Times New Roman" w:hAnsi="Times New Roman" w:cs="Times New Roman"/>
          <w:sz w:val="26"/>
          <w:szCs w:val="26"/>
        </w:rPr>
        <w:t xml:space="preserve">diventa cruciale </w:t>
      </w:r>
      <w:r w:rsidR="008230AA">
        <w:rPr>
          <w:rFonts w:ascii="Times New Roman" w:hAnsi="Times New Roman" w:cs="Times New Roman"/>
          <w:sz w:val="26"/>
          <w:szCs w:val="26"/>
        </w:rPr>
        <w:t>evitare la concentrazione</w:t>
      </w:r>
      <w:r w:rsidR="00DE74C0">
        <w:rPr>
          <w:rFonts w:ascii="Times New Roman" w:hAnsi="Times New Roman" w:cs="Times New Roman"/>
          <w:sz w:val="26"/>
          <w:szCs w:val="26"/>
        </w:rPr>
        <w:t>)</w:t>
      </w:r>
      <w:r>
        <w:rPr>
          <w:rFonts w:ascii="Times New Roman" w:hAnsi="Times New Roman" w:cs="Times New Roman"/>
          <w:sz w:val="26"/>
          <w:szCs w:val="26"/>
        </w:rPr>
        <w:t>;</w:t>
      </w:r>
    </w:p>
    <w:p w14:paraId="2647B143" w14:textId="77777777" w:rsidR="003E2A58" w:rsidRDefault="003E2A58" w:rsidP="00095829">
      <w:pPr>
        <w:pStyle w:val="Paragrafoelenco"/>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il portafoglio deve essere</w:t>
      </w:r>
      <w:r w:rsidR="00310F53">
        <w:rPr>
          <w:rFonts w:ascii="Times New Roman" w:hAnsi="Times New Roman" w:cs="Times New Roman"/>
          <w:sz w:val="26"/>
          <w:szCs w:val="26"/>
        </w:rPr>
        <w:t xml:space="preserve"> – e questo </w:t>
      </w:r>
      <w:r w:rsidR="00CE324D">
        <w:rPr>
          <w:rFonts w:ascii="Times New Roman" w:hAnsi="Times New Roman" w:cs="Times New Roman"/>
          <w:sz w:val="26"/>
          <w:szCs w:val="26"/>
        </w:rPr>
        <w:t xml:space="preserve">non certo per </w:t>
      </w:r>
      <w:r w:rsidR="00310F53">
        <w:rPr>
          <w:rFonts w:ascii="Times New Roman" w:hAnsi="Times New Roman" w:cs="Times New Roman"/>
          <w:sz w:val="26"/>
          <w:szCs w:val="26"/>
        </w:rPr>
        <w:t>i vincoli imposti dalla normativa -</w:t>
      </w:r>
      <w:r>
        <w:rPr>
          <w:rFonts w:ascii="Times New Roman" w:hAnsi="Times New Roman" w:cs="Times New Roman"/>
          <w:sz w:val="26"/>
          <w:szCs w:val="26"/>
        </w:rPr>
        <w:t xml:space="preserve"> </w:t>
      </w:r>
      <w:r w:rsidR="00DE74C0">
        <w:rPr>
          <w:rFonts w:ascii="Times New Roman" w:hAnsi="Times New Roman" w:cs="Times New Roman"/>
          <w:sz w:val="26"/>
          <w:szCs w:val="26"/>
        </w:rPr>
        <w:t xml:space="preserve">adeguato alle esigenze dell’investitore, riflettendo </w:t>
      </w:r>
      <w:r w:rsidR="00310F53">
        <w:rPr>
          <w:rFonts w:ascii="Times New Roman" w:hAnsi="Times New Roman" w:cs="Times New Roman"/>
          <w:sz w:val="26"/>
          <w:szCs w:val="26"/>
        </w:rPr>
        <w:t>di quest’ultimo sia l’</w:t>
      </w:r>
      <w:r w:rsidR="00DE74C0">
        <w:rPr>
          <w:rFonts w:ascii="Times New Roman" w:hAnsi="Times New Roman" w:cs="Times New Roman"/>
          <w:sz w:val="26"/>
          <w:szCs w:val="26"/>
        </w:rPr>
        <w:t>orizzonte temporale di investimento</w:t>
      </w:r>
      <w:r w:rsidR="00310F53">
        <w:rPr>
          <w:rFonts w:ascii="Times New Roman" w:hAnsi="Times New Roman" w:cs="Times New Roman"/>
          <w:sz w:val="26"/>
          <w:szCs w:val="26"/>
        </w:rPr>
        <w:t xml:space="preserve">, sia </w:t>
      </w:r>
      <w:r w:rsidR="00DE74C0">
        <w:rPr>
          <w:rFonts w:ascii="Times New Roman" w:hAnsi="Times New Roman" w:cs="Times New Roman"/>
          <w:sz w:val="26"/>
          <w:szCs w:val="26"/>
        </w:rPr>
        <w:t>la tolleranza al rischio (</w:t>
      </w:r>
      <w:r w:rsidR="00167A3A">
        <w:rPr>
          <w:rFonts w:ascii="Times New Roman" w:hAnsi="Times New Roman" w:cs="Times New Roman"/>
          <w:sz w:val="26"/>
          <w:szCs w:val="26"/>
        </w:rPr>
        <w:t>non esiste un buon portafoglio in assoluto, perché esso è tale solo quando soddisfa il profilo dell’investitore</w:t>
      </w:r>
      <w:r w:rsidR="00DE74C0">
        <w:rPr>
          <w:rFonts w:ascii="Times New Roman" w:hAnsi="Times New Roman" w:cs="Times New Roman"/>
          <w:sz w:val="26"/>
          <w:szCs w:val="26"/>
        </w:rPr>
        <w:t>)</w:t>
      </w:r>
      <w:r w:rsidR="00167A3A">
        <w:rPr>
          <w:rFonts w:ascii="Times New Roman" w:hAnsi="Times New Roman" w:cs="Times New Roman"/>
          <w:sz w:val="26"/>
          <w:szCs w:val="26"/>
        </w:rPr>
        <w:t>;</w:t>
      </w:r>
    </w:p>
    <w:p w14:paraId="2768250B" w14:textId="77777777" w:rsidR="00167A3A" w:rsidRDefault="00167A3A" w:rsidP="00095829">
      <w:pPr>
        <w:pStyle w:val="Paragrafoelenco"/>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un investitore non dovrebbe mai limitare le proprie scelte di investimento e dovrebbe essere</w:t>
      </w:r>
      <w:r w:rsidR="00310F53">
        <w:rPr>
          <w:rFonts w:ascii="Times New Roman" w:hAnsi="Times New Roman" w:cs="Times New Roman"/>
          <w:sz w:val="26"/>
          <w:szCs w:val="26"/>
        </w:rPr>
        <w:t>,</w:t>
      </w:r>
      <w:r>
        <w:rPr>
          <w:rFonts w:ascii="Times New Roman" w:hAnsi="Times New Roman" w:cs="Times New Roman"/>
          <w:sz w:val="26"/>
          <w:szCs w:val="26"/>
        </w:rPr>
        <w:t xml:space="preserve"> quindi</w:t>
      </w:r>
      <w:r w:rsidR="00310F53">
        <w:rPr>
          <w:rFonts w:ascii="Times New Roman" w:hAnsi="Times New Roman" w:cs="Times New Roman"/>
          <w:sz w:val="26"/>
          <w:szCs w:val="26"/>
        </w:rPr>
        <w:t>,</w:t>
      </w:r>
      <w:r>
        <w:rPr>
          <w:rFonts w:ascii="Times New Roman" w:hAnsi="Times New Roman" w:cs="Times New Roman"/>
          <w:sz w:val="26"/>
          <w:szCs w:val="26"/>
        </w:rPr>
        <w:t xml:space="preserve"> libero di investire </w:t>
      </w:r>
      <w:proofErr w:type="spellStart"/>
      <w:r>
        <w:rPr>
          <w:rFonts w:ascii="Times New Roman" w:hAnsi="Times New Roman" w:cs="Times New Roman"/>
          <w:i/>
          <w:sz w:val="26"/>
          <w:szCs w:val="26"/>
        </w:rPr>
        <w:t>worldwide</w:t>
      </w:r>
      <w:proofErr w:type="spellEnd"/>
      <w:r>
        <w:rPr>
          <w:rFonts w:ascii="Times New Roman" w:hAnsi="Times New Roman" w:cs="Times New Roman"/>
          <w:sz w:val="26"/>
          <w:szCs w:val="26"/>
        </w:rPr>
        <w:t>, senza</w:t>
      </w:r>
      <w:r w:rsidR="009F7BB1">
        <w:rPr>
          <w:rFonts w:ascii="Times New Roman" w:hAnsi="Times New Roman" w:cs="Times New Roman"/>
          <w:sz w:val="26"/>
          <w:szCs w:val="26"/>
        </w:rPr>
        <w:t xml:space="preserve"> </w:t>
      </w:r>
      <w:r>
        <w:rPr>
          <w:rFonts w:ascii="Times New Roman" w:hAnsi="Times New Roman" w:cs="Times New Roman"/>
          <w:sz w:val="26"/>
          <w:szCs w:val="26"/>
        </w:rPr>
        <w:t>escludere</w:t>
      </w:r>
      <w:r w:rsidR="009F7BB1">
        <w:rPr>
          <w:rFonts w:ascii="Times New Roman" w:hAnsi="Times New Roman" w:cs="Times New Roman"/>
          <w:sz w:val="26"/>
          <w:szCs w:val="26"/>
        </w:rPr>
        <w:t xml:space="preserve"> aprioristicamente</w:t>
      </w:r>
      <w:r>
        <w:rPr>
          <w:rFonts w:ascii="Times New Roman" w:hAnsi="Times New Roman" w:cs="Times New Roman"/>
          <w:sz w:val="26"/>
          <w:szCs w:val="26"/>
        </w:rPr>
        <w:t xml:space="preserve"> alcun mercato</w:t>
      </w:r>
      <w:r w:rsidR="009F7BB1">
        <w:rPr>
          <w:rFonts w:ascii="Times New Roman" w:hAnsi="Times New Roman" w:cs="Times New Roman"/>
          <w:sz w:val="26"/>
          <w:szCs w:val="26"/>
        </w:rPr>
        <w:t xml:space="preserve"> </w:t>
      </w:r>
      <w:r w:rsidR="00A81AB8">
        <w:rPr>
          <w:rFonts w:ascii="Times New Roman" w:hAnsi="Times New Roman" w:cs="Times New Roman"/>
          <w:sz w:val="26"/>
          <w:szCs w:val="26"/>
        </w:rPr>
        <w:t>(</w:t>
      </w:r>
      <w:r w:rsidR="009F7BB1">
        <w:rPr>
          <w:rFonts w:ascii="Times New Roman" w:hAnsi="Times New Roman" w:cs="Times New Roman"/>
          <w:sz w:val="26"/>
          <w:szCs w:val="26"/>
        </w:rPr>
        <w:t>o fattore di rischio</w:t>
      </w:r>
      <w:r w:rsidR="00A81AB8">
        <w:rPr>
          <w:rFonts w:ascii="Times New Roman" w:hAnsi="Times New Roman" w:cs="Times New Roman"/>
          <w:sz w:val="26"/>
          <w:szCs w:val="26"/>
        </w:rPr>
        <w:t>)</w:t>
      </w:r>
      <w:r w:rsidR="00661FCE">
        <w:rPr>
          <w:rStyle w:val="Rimandonotaapidipagina"/>
          <w:rFonts w:ascii="Times New Roman" w:hAnsi="Times New Roman" w:cs="Times New Roman"/>
          <w:sz w:val="26"/>
          <w:szCs w:val="26"/>
        </w:rPr>
        <w:footnoteReference w:id="1"/>
      </w:r>
      <w:r>
        <w:rPr>
          <w:rFonts w:ascii="Times New Roman" w:hAnsi="Times New Roman" w:cs="Times New Roman"/>
          <w:sz w:val="26"/>
          <w:szCs w:val="26"/>
        </w:rPr>
        <w:t>;</w:t>
      </w:r>
    </w:p>
    <w:p w14:paraId="6161D855" w14:textId="58EC26DA" w:rsidR="00167A3A" w:rsidRPr="003E2A58" w:rsidRDefault="00C700E6" w:rsidP="00095829">
      <w:pPr>
        <w:pStyle w:val="Paragrafoelenco"/>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il portafoglio non deve allontanarsi eccessivamente dal portafoglio </w:t>
      </w:r>
      <w:r>
        <w:rPr>
          <w:rFonts w:ascii="Times New Roman" w:hAnsi="Times New Roman" w:cs="Times New Roman"/>
          <w:i/>
          <w:sz w:val="26"/>
          <w:szCs w:val="26"/>
        </w:rPr>
        <w:t xml:space="preserve">market </w:t>
      </w:r>
      <w:proofErr w:type="spellStart"/>
      <w:r>
        <w:rPr>
          <w:rFonts w:ascii="Times New Roman" w:hAnsi="Times New Roman" w:cs="Times New Roman"/>
          <w:i/>
          <w:sz w:val="26"/>
          <w:szCs w:val="26"/>
        </w:rPr>
        <w:t>neutral</w:t>
      </w:r>
      <w:proofErr w:type="spellEnd"/>
      <w:r>
        <w:rPr>
          <w:rFonts w:ascii="Times New Roman" w:hAnsi="Times New Roman" w:cs="Times New Roman"/>
          <w:sz w:val="26"/>
          <w:szCs w:val="26"/>
        </w:rPr>
        <w:t xml:space="preserve"> (</w:t>
      </w:r>
      <w:r w:rsidR="00310F53">
        <w:rPr>
          <w:rFonts w:ascii="Times New Roman" w:hAnsi="Times New Roman" w:cs="Times New Roman"/>
          <w:sz w:val="26"/>
          <w:szCs w:val="26"/>
        </w:rPr>
        <w:t xml:space="preserve">ossia da quel </w:t>
      </w:r>
      <w:r>
        <w:rPr>
          <w:rFonts w:ascii="Times New Roman" w:hAnsi="Times New Roman" w:cs="Times New Roman"/>
          <w:sz w:val="26"/>
          <w:szCs w:val="26"/>
        </w:rPr>
        <w:t>portafoglio la cui composizione è fedele alla dimensione –</w:t>
      </w:r>
      <w:r w:rsidR="00310F53">
        <w:rPr>
          <w:rFonts w:ascii="Times New Roman" w:hAnsi="Times New Roman" w:cs="Times New Roman"/>
          <w:sz w:val="26"/>
          <w:szCs w:val="26"/>
        </w:rPr>
        <w:t xml:space="preserve"> </w:t>
      </w:r>
      <w:r w:rsidRPr="00C700E6">
        <w:rPr>
          <w:rFonts w:ascii="Times New Roman" w:hAnsi="Times New Roman" w:cs="Times New Roman"/>
          <w:i/>
          <w:sz w:val="26"/>
          <w:szCs w:val="26"/>
        </w:rPr>
        <w:t xml:space="preserve">market </w:t>
      </w:r>
      <w:proofErr w:type="spellStart"/>
      <w:r w:rsidRPr="00C700E6">
        <w:rPr>
          <w:rFonts w:ascii="Times New Roman" w:hAnsi="Times New Roman" w:cs="Times New Roman"/>
          <w:i/>
          <w:sz w:val="26"/>
          <w:szCs w:val="26"/>
        </w:rPr>
        <w:t>value</w:t>
      </w:r>
      <w:proofErr w:type="spellEnd"/>
      <w:r>
        <w:rPr>
          <w:rFonts w:ascii="Times New Roman" w:hAnsi="Times New Roman" w:cs="Times New Roman"/>
          <w:sz w:val="26"/>
          <w:szCs w:val="26"/>
        </w:rPr>
        <w:t xml:space="preserve"> – dei singoli mercati), perché un portafoglio molto diverso da quello neutrale </w:t>
      </w:r>
      <w:r w:rsidR="00310F53">
        <w:rPr>
          <w:rFonts w:ascii="Times New Roman" w:hAnsi="Times New Roman" w:cs="Times New Roman"/>
          <w:sz w:val="26"/>
          <w:szCs w:val="26"/>
        </w:rPr>
        <w:t>implica</w:t>
      </w:r>
      <w:r w:rsidR="00C65861">
        <w:rPr>
          <w:rFonts w:ascii="Times New Roman" w:hAnsi="Times New Roman" w:cs="Times New Roman"/>
          <w:sz w:val="26"/>
          <w:szCs w:val="26"/>
        </w:rPr>
        <w:t>,</w:t>
      </w:r>
      <w:r w:rsidR="00310F53">
        <w:rPr>
          <w:rFonts w:ascii="Times New Roman" w:hAnsi="Times New Roman" w:cs="Times New Roman"/>
          <w:sz w:val="26"/>
          <w:szCs w:val="26"/>
        </w:rPr>
        <w:t xml:space="preserve"> </w:t>
      </w:r>
      <w:r w:rsidR="006F7576">
        <w:rPr>
          <w:rFonts w:ascii="Times New Roman" w:hAnsi="Times New Roman" w:cs="Times New Roman"/>
          <w:sz w:val="26"/>
          <w:szCs w:val="26"/>
        </w:rPr>
        <w:t>per definizione</w:t>
      </w:r>
      <w:r w:rsidR="00C65861">
        <w:rPr>
          <w:rFonts w:ascii="Times New Roman" w:hAnsi="Times New Roman" w:cs="Times New Roman"/>
          <w:sz w:val="26"/>
          <w:szCs w:val="26"/>
        </w:rPr>
        <w:t>,</w:t>
      </w:r>
      <w:r w:rsidR="006F7576">
        <w:rPr>
          <w:rFonts w:ascii="Times New Roman" w:hAnsi="Times New Roman" w:cs="Times New Roman"/>
          <w:sz w:val="26"/>
          <w:szCs w:val="26"/>
        </w:rPr>
        <w:t xml:space="preserve"> la presenza </w:t>
      </w:r>
      <w:r w:rsidR="00310F53">
        <w:rPr>
          <w:rFonts w:ascii="Times New Roman" w:hAnsi="Times New Roman" w:cs="Times New Roman"/>
          <w:sz w:val="26"/>
          <w:szCs w:val="26"/>
        </w:rPr>
        <w:t>d</w:t>
      </w:r>
      <w:r w:rsidR="006F7576">
        <w:rPr>
          <w:rFonts w:ascii="Times New Roman" w:hAnsi="Times New Roman" w:cs="Times New Roman"/>
          <w:sz w:val="26"/>
          <w:szCs w:val="26"/>
        </w:rPr>
        <w:t>i</w:t>
      </w:r>
      <w:r w:rsidR="00310F53">
        <w:rPr>
          <w:rFonts w:ascii="Times New Roman" w:hAnsi="Times New Roman" w:cs="Times New Roman"/>
          <w:sz w:val="26"/>
          <w:szCs w:val="26"/>
        </w:rPr>
        <w:t xml:space="preserve"> scommesse che, a loro volta, </w:t>
      </w:r>
      <w:r>
        <w:rPr>
          <w:rFonts w:ascii="Times New Roman" w:hAnsi="Times New Roman" w:cs="Times New Roman"/>
          <w:sz w:val="26"/>
          <w:szCs w:val="26"/>
        </w:rPr>
        <w:t>presuppon</w:t>
      </w:r>
      <w:r w:rsidR="00310F53">
        <w:rPr>
          <w:rFonts w:ascii="Times New Roman" w:hAnsi="Times New Roman" w:cs="Times New Roman"/>
          <w:sz w:val="26"/>
          <w:szCs w:val="26"/>
        </w:rPr>
        <w:t xml:space="preserve">gono </w:t>
      </w:r>
      <w:r>
        <w:rPr>
          <w:rFonts w:ascii="Times New Roman" w:hAnsi="Times New Roman" w:cs="Times New Roman"/>
          <w:sz w:val="26"/>
          <w:szCs w:val="26"/>
        </w:rPr>
        <w:t>la presenza di una fiducia e</w:t>
      </w:r>
      <w:r w:rsidR="006F7576">
        <w:rPr>
          <w:rFonts w:ascii="Times New Roman" w:hAnsi="Times New Roman" w:cs="Times New Roman"/>
          <w:sz w:val="26"/>
          <w:szCs w:val="26"/>
        </w:rPr>
        <w:t xml:space="preserve">levata </w:t>
      </w:r>
      <w:r>
        <w:rPr>
          <w:rFonts w:ascii="Times New Roman" w:hAnsi="Times New Roman" w:cs="Times New Roman"/>
          <w:sz w:val="26"/>
          <w:szCs w:val="26"/>
        </w:rPr>
        <w:t>nella capacità di prevedere il futuro andamento dei mercati (l’</w:t>
      </w:r>
      <w:proofErr w:type="spellStart"/>
      <w:r w:rsidRPr="00C700E6">
        <w:rPr>
          <w:rFonts w:ascii="Times New Roman" w:hAnsi="Times New Roman" w:cs="Times New Roman"/>
          <w:i/>
          <w:sz w:val="26"/>
          <w:szCs w:val="26"/>
        </w:rPr>
        <w:t>overconfidence</w:t>
      </w:r>
      <w:proofErr w:type="spellEnd"/>
      <w:r>
        <w:rPr>
          <w:rFonts w:ascii="Times New Roman" w:hAnsi="Times New Roman" w:cs="Times New Roman"/>
          <w:sz w:val="26"/>
          <w:szCs w:val="26"/>
        </w:rPr>
        <w:t xml:space="preserve"> è uno degli errori più pericolosi e frequenti in ambito finanziario e va quindi governato </w:t>
      </w:r>
      <w:r w:rsidR="00A81AB8">
        <w:rPr>
          <w:rFonts w:ascii="Times New Roman" w:hAnsi="Times New Roman" w:cs="Times New Roman"/>
          <w:sz w:val="26"/>
          <w:szCs w:val="26"/>
        </w:rPr>
        <w:t>limitando la capacità delle</w:t>
      </w:r>
      <w:r>
        <w:rPr>
          <w:rFonts w:ascii="Times New Roman" w:hAnsi="Times New Roman" w:cs="Times New Roman"/>
          <w:sz w:val="26"/>
          <w:szCs w:val="26"/>
        </w:rPr>
        <w:t xml:space="preserve"> </w:t>
      </w:r>
      <w:proofErr w:type="spellStart"/>
      <w:r>
        <w:rPr>
          <w:rFonts w:ascii="Times New Roman" w:hAnsi="Times New Roman" w:cs="Times New Roman"/>
          <w:sz w:val="26"/>
          <w:szCs w:val="26"/>
        </w:rPr>
        <w:t>view</w:t>
      </w:r>
      <w:r w:rsidR="00310F53">
        <w:rPr>
          <w:rFonts w:ascii="Times New Roman" w:hAnsi="Times New Roman" w:cs="Times New Roman"/>
          <w:sz w:val="26"/>
          <w:szCs w:val="26"/>
        </w:rPr>
        <w:t>s</w:t>
      </w:r>
      <w:proofErr w:type="spellEnd"/>
      <w:r>
        <w:rPr>
          <w:rFonts w:ascii="Times New Roman" w:hAnsi="Times New Roman" w:cs="Times New Roman"/>
          <w:sz w:val="26"/>
          <w:szCs w:val="26"/>
        </w:rPr>
        <w:t xml:space="preserve"> di </w:t>
      </w:r>
      <w:r w:rsidR="00A81AB8">
        <w:rPr>
          <w:rFonts w:ascii="Times New Roman" w:hAnsi="Times New Roman" w:cs="Times New Roman"/>
          <w:sz w:val="26"/>
          <w:szCs w:val="26"/>
        </w:rPr>
        <w:t>divergere</w:t>
      </w:r>
      <w:r>
        <w:rPr>
          <w:rFonts w:ascii="Times New Roman" w:hAnsi="Times New Roman" w:cs="Times New Roman"/>
          <w:sz w:val="26"/>
          <w:szCs w:val="26"/>
        </w:rPr>
        <w:t xml:space="preserve"> </w:t>
      </w:r>
      <w:r w:rsidR="00A81AB8">
        <w:rPr>
          <w:rFonts w:ascii="Times New Roman" w:hAnsi="Times New Roman" w:cs="Times New Roman"/>
          <w:sz w:val="26"/>
          <w:szCs w:val="26"/>
        </w:rPr>
        <w:t>eccessivamente dalla</w:t>
      </w:r>
      <w:r>
        <w:rPr>
          <w:rFonts w:ascii="Times New Roman" w:hAnsi="Times New Roman" w:cs="Times New Roman"/>
          <w:sz w:val="26"/>
          <w:szCs w:val="26"/>
        </w:rPr>
        <w:t xml:space="preserve"> </w:t>
      </w:r>
      <w:r w:rsidR="00A81AB8" w:rsidRPr="00A81AB8">
        <w:rPr>
          <w:rFonts w:ascii="Times New Roman" w:hAnsi="Times New Roman" w:cs="Times New Roman"/>
          <w:i/>
          <w:sz w:val="26"/>
          <w:szCs w:val="26"/>
        </w:rPr>
        <w:t xml:space="preserve">market </w:t>
      </w:r>
      <w:proofErr w:type="spellStart"/>
      <w:r w:rsidRPr="00A81AB8">
        <w:rPr>
          <w:rFonts w:ascii="Times New Roman" w:hAnsi="Times New Roman" w:cs="Times New Roman"/>
          <w:i/>
          <w:sz w:val="26"/>
          <w:szCs w:val="26"/>
        </w:rPr>
        <w:t>neutral</w:t>
      </w:r>
      <w:r w:rsidR="00A81AB8" w:rsidRPr="00A81AB8">
        <w:rPr>
          <w:rFonts w:ascii="Times New Roman" w:hAnsi="Times New Roman" w:cs="Times New Roman"/>
          <w:i/>
          <w:sz w:val="26"/>
          <w:szCs w:val="26"/>
        </w:rPr>
        <w:t>ity</w:t>
      </w:r>
      <w:proofErr w:type="spellEnd"/>
      <w:r>
        <w:rPr>
          <w:rFonts w:ascii="Times New Roman" w:hAnsi="Times New Roman" w:cs="Times New Roman"/>
          <w:sz w:val="26"/>
          <w:szCs w:val="26"/>
        </w:rPr>
        <w:t>).</w:t>
      </w:r>
    </w:p>
    <w:p w14:paraId="01B51DB5" w14:textId="2AE8D76A" w:rsidR="00195078" w:rsidRDefault="00A81AB8" w:rsidP="00195078">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Per fare sì che questi principi siano efficacemente incorporati nel processo di costruzione del portafoglio, è indispensabile che tale processo sia organizzato in modo scientifico e</w:t>
      </w:r>
      <w:r w:rsidR="006F7576">
        <w:rPr>
          <w:rFonts w:ascii="Times New Roman" w:hAnsi="Times New Roman" w:cs="Times New Roman"/>
          <w:sz w:val="26"/>
          <w:szCs w:val="26"/>
        </w:rPr>
        <w:t>,</w:t>
      </w:r>
      <w:r>
        <w:rPr>
          <w:rFonts w:ascii="Times New Roman" w:hAnsi="Times New Roman" w:cs="Times New Roman"/>
          <w:sz w:val="26"/>
          <w:szCs w:val="26"/>
        </w:rPr>
        <w:t xml:space="preserve"> </w:t>
      </w:r>
      <w:r w:rsidR="008230AA">
        <w:rPr>
          <w:rFonts w:ascii="Times New Roman" w:hAnsi="Times New Roman" w:cs="Times New Roman"/>
          <w:sz w:val="26"/>
          <w:szCs w:val="26"/>
        </w:rPr>
        <w:t>quindi</w:t>
      </w:r>
      <w:r w:rsidR="006F7576">
        <w:rPr>
          <w:rFonts w:ascii="Times New Roman" w:hAnsi="Times New Roman" w:cs="Times New Roman"/>
          <w:sz w:val="26"/>
          <w:szCs w:val="26"/>
        </w:rPr>
        <w:t>,</w:t>
      </w:r>
      <w:r w:rsidR="008230AA">
        <w:rPr>
          <w:rFonts w:ascii="Times New Roman" w:hAnsi="Times New Roman" w:cs="Times New Roman"/>
          <w:sz w:val="26"/>
          <w:szCs w:val="26"/>
        </w:rPr>
        <w:t xml:space="preserve"> </w:t>
      </w:r>
      <w:r>
        <w:rPr>
          <w:rFonts w:ascii="Times New Roman" w:hAnsi="Times New Roman" w:cs="Times New Roman"/>
          <w:sz w:val="26"/>
          <w:szCs w:val="26"/>
        </w:rPr>
        <w:t>disciplinato. Anzi, l</w:t>
      </w:r>
      <w:r w:rsidR="00F93A43">
        <w:rPr>
          <w:rFonts w:ascii="Times New Roman" w:hAnsi="Times New Roman" w:cs="Times New Roman"/>
          <w:sz w:val="26"/>
          <w:szCs w:val="26"/>
        </w:rPr>
        <w:t>’organicità</w:t>
      </w:r>
      <w:r>
        <w:rPr>
          <w:rFonts w:ascii="Times New Roman" w:hAnsi="Times New Roman" w:cs="Times New Roman"/>
          <w:sz w:val="26"/>
          <w:szCs w:val="26"/>
        </w:rPr>
        <w:t xml:space="preserve"> del modello di </w:t>
      </w:r>
      <w:r>
        <w:rPr>
          <w:rFonts w:ascii="Times New Roman" w:hAnsi="Times New Roman" w:cs="Times New Roman"/>
          <w:i/>
          <w:sz w:val="26"/>
          <w:szCs w:val="26"/>
        </w:rPr>
        <w:t xml:space="preserve">portfolio </w:t>
      </w:r>
      <w:proofErr w:type="spellStart"/>
      <w:r>
        <w:rPr>
          <w:rFonts w:ascii="Times New Roman" w:hAnsi="Times New Roman" w:cs="Times New Roman"/>
          <w:i/>
          <w:sz w:val="26"/>
          <w:szCs w:val="26"/>
        </w:rPr>
        <w:t>construction</w:t>
      </w:r>
      <w:proofErr w:type="spellEnd"/>
      <w:r>
        <w:rPr>
          <w:rFonts w:ascii="Times New Roman" w:hAnsi="Times New Roman" w:cs="Times New Roman"/>
          <w:sz w:val="26"/>
          <w:szCs w:val="26"/>
        </w:rPr>
        <w:t xml:space="preserve"> </w:t>
      </w:r>
      <w:r w:rsidR="00F93A43">
        <w:rPr>
          <w:rFonts w:ascii="Times New Roman" w:hAnsi="Times New Roman" w:cs="Times New Roman"/>
          <w:sz w:val="26"/>
          <w:szCs w:val="26"/>
        </w:rPr>
        <w:t>è</w:t>
      </w:r>
      <w:r>
        <w:rPr>
          <w:rFonts w:ascii="Times New Roman" w:hAnsi="Times New Roman" w:cs="Times New Roman"/>
          <w:sz w:val="26"/>
          <w:szCs w:val="26"/>
        </w:rPr>
        <w:t xml:space="preserve"> </w:t>
      </w:r>
      <w:r w:rsidR="007C67BC">
        <w:rPr>
          <w:rFonts w:ascii="Times New Roman" w:hAnsi="Times New Roman" w:cs="Times New Roman"/>
          <w:sz w:val="26"/>
          <w:szCs w:val="26"/>
        </w:rPr>
        <w:t>tanto</w:t>
      </w:r>
      <w:r w:rsidR="00986949">
        <w:rPr>
          <w:rFonts w:ascii="Times New Roman" w:hAnsi="Times New Roman" w:cs="Times New Roman"/>
          <w:sz w:val="26"/>
          <w:szCs w:val="26"/>
        </w:rPr>
        <w:t xml:space="preserve"> rilevante</w:t>
      </w:r>
      <w:r>
        <w:rPr>
          <w:rFonts w:ascii="Times New Roman" w:hAnsi="Times New Roman" w:cs="Times New Roman"/>
          <w:sz w:val="26"/>
          <w:szCs w:val="26"/>
        </w:rPr>
        <w:t xml:space="preserve"> da </w:t>
      </w:r>
      <w:r w:rsidR="00827779">
        <w:rPr>
          <w:rFonts w:ascii="Times New Roman" w:hAnsi="Times New Roman" w:cs="Times New Roman"/>
          <w:sz w:val="26"/>
          <w:szCs w:val="26"/>
        </w:rPr>
        <w:t>fungere essa stessa da</w:t>
      </w:r>
      <w:r w:rsidR="00F93A43">
        <w:rPr>
          <w:rFonts w:ascii="Times New Roman" w:hAnsi="Times New Roman" w:cs="Times New Roman"/>
          <w:sz w:val="26"/>
          <w:szCs w:val="26"/>
        </w:rPr>
        <w:t xml:space="preserve"> </w:t>
      </w:r>
      <w:r w:rsidR="00E95970">
        <w:rPr>
          <w:rFonts w:ascii="Times New Roman" w:hAnsi="Times New Roman" w:cs="Times New Roman"/>
          <w:sz w:val="26"/>
          <w:szCs w:val="26"/>
        </w:rPr>
        <w:t>“</w:t>
      </w:r>
      <w:r w:rsidR="008230AA">
        <w:rPr>
          <w:rFonts w:ascii="Times New Roman" w:hAnsi="Times New Roman" w:cs="Times New Roman"/>
          <w:sz w:val="26"/>
          <w:szCs w:val="26"/>
        </w:rPr>
        <w:t>c</w:t>
      </w:r>
      <w:r w:rsidR="00F93A43">
        <w:rPr>
          <w:rFonts w:ascii="Times New Roman" w:hAnsi="Times New Roman" w:cs="Times New Roman"/>
          <w:sz w:val="26"/>
          <w:szCs w:val="26"/>
        </w:rPr>
        <w:t>omandament</w:t>
      </w:r>
      <w:r w:rsidR="00827779">
        <w:rPr>
          <w:rFonts w:ascii="Times New Roman" w:hAnsi="Times New Roman" w:cs="Times New Roman"/>
          <w:sz w:val="26"/>
          <w:szCs w:val="26"/>
        </w:rPr>
        <w:t>o</w:t>
      </w:r>
      <w:r w:rsidR="00E95970">
        <w:rPr>
          <w:rFonts w:ascii="Times New Roman" w:hAnsi="Times New Roman" w:cs="Times New Roman"/>
          <w:sz w:val="26"/>
          <w:szCs w:val="26"/>
        </w:rPr>
        <w:t>”</w:t>
      </w:r>
      <w:r w:rsidR="00F93A43">
        <w:rPr>
          <w:rFonts w:ascii="Times New Roman" w:hAnsi="Times New Roman" w:cs="Times New Roman"/>
          <w:sz w:val="26"/>
          <w:szCs w:val="26"/>
        </w:rPr>
        <w:t>.</w:t>
      </w:r>
      <w:r w:rsidR="00827779">
        <w:rPr>
          <w:rFonts w:ascii="Times New Roman" w:hAnsi="Times New Roman" w:cs="Times New Roman"/>
          <w:sz w:val="26"/>
          <w:szCs w:val="26"/>
        </w:rPr>
        <w:t xml:space="preserve"> </w:t>
      </w:r>
      <w:r w:rsidR="00772E4F">
        <w:rPr>
          <w:rFonts w:ascii="Times New Roman" w:hAnsi="Times New Roman" w:cs="Times New Roman"/>
          <w:sz w:val="26"/>
          <w:szCs w:val="26"/>
        </w:rPr>
        <w:t>Purtroppo</w:t>
      </w:r>
      <w:r w:rsidR="00310F53">
        <w:rPr>
          <w:rFonts w:ascii="Times New Roman" w:hAnsi="Times New Roman" w:cs="Times New Roman"/>
          <w:sz w:val="26"/>
          <w:szCs w:val="26"/>
        </w:rPr>
        <w:t>,</w:t>
      </w:r>
      <w:r w:rsidR="00772E4F">
        <w:rPr>
          <w:rFonts w:ascii="Times New Roman" w:hAnsi="Times New Roman" w:cs="Times New Roman"/>
          <w:sz w:val="26"/>
          <w:szCs w:val="26"/>
        </w:rPr>
        <w:t xml:space="preserve"> </w:t>
      </w:r>
      <w:r w:rsidR="00867069">
        <w:rPr>
          <w:rFonts w:ascii="Times New Roman" w:hAnsi="Times New Roman" w:cs="Times New Roman"/>
          <w:sz w:val="26"/>
          <w:szCs w:val="26"/>
        </w:rPr>
        <w:t>l’analisi del</w:t>
      </w:r>
      <w:r w:rsidR="00772E4F">
        <w:rPr>
          <w:rFonts w:ascii="Times New Roman" w:hAnsi="Times New Roman" w:cs="Times New Roman"/>
          <w:sz w:val="26"/>
          <w:szCs w:val="26"/>
        </w:rPr>
        <w:t xml:space="preserve"> comportamento degli attori finanziari </w:t>
      </w:r>
      <w:r w:rsidR="00867069">
        <w:rPr>
          <w:rFonts w:ascii="Times New Roman" w:hAnsi="Times New Roman" w:cs="Times New Roman"/>
          <w:sz w:val="26"/>
          <w:szCs w:val="26"/>
        </w:rPr>
        <w:t>insegna</w:t>
      </w:r>
      <w:r w:rsidR="00772E4F">
        <w:rPr>
          <w:rFonts w:ascii="Times New Roman" w:hAnsi="Times New Roman" w:cs="Times New Roman"/>
          <w:sz w:val="26"/>
          <w:szCs w:val="26"/>
        </w:rPr>
        <w:t xml:space="preserve"> che, n</w:t>
      </w:r>
      <w:r w:rsidR="00827779">
        <w:rPr>
          <w:rFonts w:ascii="Times New Roman" w:hAnsi="Times New Roman" w:cs="Times New Roman"/>
          <w:sz w:val="26"/>
          <w:szCs w:val="26"/>
        </w:rPr>
        <w:t xml:space="preserve">onostante </w:t>
      </w:r>
      <w:r w:rsidR="00310F53">
        <w:rPr>
          <w:rFonts w:ascii="Times New Roman" w:hAnsi="Times New Roman" w:cs="Times New Roman"/>
          <w:sz w:val="26"/>
          <w:szCs w:val="26"/>
        </w:rPr>
        <w:t>l’esistenza di</w:t>
      </w:r>
      <w:r w:rsidR="00827779">
        <w:rPr>
          <w:rFonts w:ascii="Times New Roman" w:hAnsi="Times New Roman" w:cs="Times New Roman"/>
          <w:sz w:val="26"/>
          <w:szCs w:val="26"/>
        </w:rPr>
        <w:t xml:space="preserve"> modelli finanziari </w:t>
      </w:r>
      <w:r w:rsidR="00834993">
        <w:rPr>
          <w:rFonts w:ascii="Times New Roman" w:hAnsi="Times New Roman" w:cs="Times New Roman"/>
          <w:sz w:val="26"/>
          <w:szCs w:val="26"/>
        </w:rPr>
        <w:t>sviluppati negli ultimi 70 anni</w:t>
      </w:r>
      <w:r w:rsidR="00661FCE">
        <w:rPr>
          <w:rStyle w:val="Rimandonotaapidipagina"/>
          <w:rFonts w:ascii="Times New Roman" w:hAnsi="Times New Roman" w:cs="Times New Roman"/>
          <w:sz w:val="26"/>
          <w:szCs w:val="26"/>
        </w:rPr>
        <w:footnoteReference w:id="2"/>
      </w:r>
      <w:r w:rsidR="00834993">
        <w:rPr>
          <w:rFonts w:ascii="Times New Roman" w:hAnsi="Times New Roman" w:cs="Times New Roman"/>
          <w:sz w:val="26"/>
          <w:szCs w:val="26"/>
        </w:rPr>
        <w:t xml:space="preserve"> e</w:t>
      </w:r>
      <w:r w:rsidR="006F7576">
        <w:rPr>
          <w:rFonts w:ascii="Times New Roman" w:hAnsi="Times New Roman" w:cs="Times New Roman"/>
          <w:sz w:val="26"/>
          <w:szCs w:val="26"/>
        </w:rPr>
        <w:t>d</w:t>
      </w:r>
      <w:r w:rsidR="00407F6D">
        <w:rPr>
          <w:rFonts w:ascii="Times New Roman" w:hAnsi="Times New Roman" w:cs="Times New Roman"/>
          <w:sz w:val="26"/>
          <w:szCs w:val="26"/>
        </w:rPr>
        <w:t xml:space="preserve"> </w:t>
      </w:r>
      <w:r w:rsidR="00827779">
        <w:rPr>
          <w:rFonts w:ascii="Times New Roman" w:hAnsi="Times New Roman" w:cs="Times New Roman"/>
          <w:sz w:val="26"/>
          <w:szCs w:val="26"/>
        </w:rPr>
        <w:t>i tentativi</w:t>
      </w:r>
      <w:r w:rsidR="00834993">
        <w:rPr>
          <w:rFonts w:ascii="Times New Roman" w:hAnsi="Times New Roman" w:cs="Times New Roman"/>
          <w:sz w:val="26"/>
          <w:szCs w:val="26"/>
        </w:rPr>
        <w:t>,</w:t>
      </w:r>
      <w:r w:rsidR="00827779">
        <w:rPr>
          <w:rFonts w:ascii="Times New Roman" w:hAnsi="Times New Roman" w:cs="Times New Roman"/>
          <w:sz w:val="26"/>
          <w:szCs w:val="26"/>
        </w:rPr>
        <w:t xml:space="preserve"> da parte delle istituzioni finanziarie</w:t>
      </w:r>
      <w:r w:rsidR="00834993">
        <w:rPr>
          <w:rFonts w:ascii="Times New Roman" w:hAnsi="Times New Roman" w:cs="Times New Roman"/>
          <w:sz w:val="26"/>
          <w:szCs w:val="26"/>
        </w:rPr>
        <w:t>,</w:t>
      </w:r>
      <w:r w:rsidR="00827779">
        <w:rPr>
          <w:rFonts w:ascii="Times New Roman" w:hAnsi="Times New Roman" w:cs="Times New Roman"/>
          <w:sz w:val="26"/>
          <w:szCs w:val="26"/>
        </w:rPr>
        <w:t xml:space="preserve"> di </w:t>
      </w:r>
      <w:r w:rsidR="00834993">
        <w:rPr>
          <w:rFonts w:ascii="Times New Roman" w:hAnsi="Times New Roman" w:cs="Times New Roman"/>
          <w:sz w:val="26"/>
          <w:szCs w:val="26"/>
        </w:rPr>
        <w:t xml:space="preserve">implementare tali modelli al fine di </w:t>
      </w:r>
      <w:r w:rsidR="006A47A2">
        <w:rPr>
          <w:rFonts w:ascii="Times New Roman" w:hAnsi="Times New Roman" w:cs="Times New Roman"/>
          <w:sz w:val="26"/>
          <w:szCs w:val="26"/>
        </w:rPr>
        <w:t>razionalizzare</w:t>
      </w:r>
      <w:r w:rsidR="00834993">
        <w:rPr>
          <w:rFonts w:ascii="Times New Roman" w:hAnsi="Times New Roman" w:cs="Times New Roman"/>
          <w:sz w:val="26"/>
          <w:szCs w:val="26"/>
        </w:rPr>
        <w:t xml:space="preserve"> il processo di </w:t>
      </w:r>
      <w:r w:rsidR="00986949">
        <w:rPr>
          <w:rFonts w:ascii="Times New Roman" w:hAnsi="Times New Roman" w:cs="Times New Roman"/>
          <w:sz w:val="26"/>
          <w:szCs w:val="26"/>
        </w:rPr>
        <w:t>investimento</w:t>
      </w:r>
      <w:r w:rsidR="00834993">
        <w:rPr>
          <w:rFonts w:ascii="Times New Roman" w:hAnsi="Times New Roman" w:cs="Times New Roman"/>
          <w:sz w:val="26"/>
          <w:szCs w:val="26"/>
        </w:rPr>
        <w:t xml:space="preserve">, </w:t>
      </w:r>
      <w:r w:rsidR="008230AA">
        <w:rPr>
          <w:rFonts w:ascii="Times New Roman" w:hAnsi="Times New Roman" w:cs="Times New Roman"/>
          <w:sz w:val="26"/>
          <w:szCs w:val="26"/>
        </w:rPr>
        <w:t xml:space="preserve">ancora oggi </w:t>
      </w:r>
      <w:r w:rsidR="00772E4F">
        <w:rPr>
          <w:rFonts w:ascii="Times New Roman" w:hAnsi="Times New Roman" w:cs="Times New Roman"/>
          <w:sz w:val="26"/>
          <w:szCs w:val="26"/>
        </w:rPr>
        <w:t xml:space="preserve">una significativa </w:t>
      </w:r>
      <w:r w:rsidR="006F7576">
        <w:rPr>
          <w:rFonts w:ascii="Times New Roman" w:hAnsi="Times New Roman" w:cs="Times New Roman"/>
          <w:sz w:val="26"/>
          <w:szCs w:val="26"/>
        </w:rPr>
        <w:t xml:space="preserve">parte dei portafogli a supporto del servizio di consulenza alla clientela </w:t>
      </w:r>
      <w:r w:rsidR="00772E4F">
        <w:rPr>
          <w:rFonts w:ascii="Times New Roman" w:hAnsi="Times New Roman" w:cs="Times New Roman"/>
          <w:sz w:val="26"/>
          <w:szCs w:val="26"/>
        </w:rPr>
        <w:t xml:space="preserve">viene creata senza </w:t>
      </w:r>
      <w:r w:rsidR="006F7576">
        <w:rPr>
          <w:rFonts w:ascii="Times New Roman" w:hAnsi="Times New Roman" w:cs="Times New Roman"/>
          <w:sz w:val="26"/>
          <w:szCs w:val="26"/>
        </w:rPr>
        <w:t xml:space="preserve">una vera </w:t>
      </w:r>
      <w:r w:rsidR="00772E4F">
        <w:rPr>
          <w:rFonts w:ascii="Times New Roman" w:hAnsi="Times New Roman" w:cs="Times New Roman"/>
          <w:sz w:val="26"/>
          <w:szCs w:val="26"/>
        </w:rPr>
        <w:t xml:space="preserve">disciplina, </w:t>
      </w:r>
      <w:r w:rsidR="006F7576">
        <w:rPr>
          <w:rFonts w:ascii="Times New Roman" w:hAnsi="Times New Roman" w:cs="Times New Roman"/>
          <w:sz w:val="26"/>
          <w:szCs w:val="26"/>
        </w:rPr>
        <w:t xml:space="preserve">semplicemente </w:t>
      </w:r>
      <w:r w:rsidR="00772E4F">
        <w:rPr>
          <w:rFonts w:ascii="Times New Roman" w:hAnsi="Times New Roman" w:cs="Times New Roman"/>
          <w:sz w:val="26"/>
          <w:szCs w:val="26"/>
        </w:rPr>
        <w:t xml:space="preserve">come mera stratificazione temporale di prodotti di investimento. </w:t>
      </w:r>
      <w:r w:rsidR="00283FBB">
        <w:rPr>
          <w:rFonts w:ascii="Times New Roman" w:hAnsi="Times New Roman" w:cs="Times New Roman"/>
          <w:sz w:val="26"/>
          <w:szCs w:val="26"/>
        </w:rPr>
        <w:t xml:space="preserve">Ciò che sovente accade - non solo </w:t>
      </w:r>
      <w:r w:rsidR="00D944B7">
        <w:rPr>
          <w:rFonts w:ascii="Times New Roman" w:hAnsi="Times New Roman" w:cs="Times New Roman"/>
          <w:sz w:val="26"/>
          <w:szCs w:val="26"/>
        </w:rPr>
        <w:t>agli</w:t>
      </w:r>
      <w:r w:rsidR="00283FBB">
        <w:rPr>
          <w:rFonts w:ascii="Times New Roman" w:hAnsi="Times New Roman" w:cs="Times New Roman"/>
          <w:sz w:val="26"/>
          <w:szCs w:val="26"/>
        </w:rPr>
        <w:t xml:space="preserve"> investitor</w:t>
      </w:r>
      <w:r w:rsidR="00D944B7">
        <w:rPr>
          <w:rFonts w:ascii="Times New Roman" w:hAnsi="Times New Roman" w:cs="Times New Roman"/>
          <w:sz w:val="26"/>
          <w:szCs w:val="26"/>
        </w:rPr>
        <w:t>i</w:t>
      </w:r>
      <w:r w:rsidR="00283FBB">
        <w:rPr>
          <w:rFonts w:ascii="Times New Roman" w:hAnsi="Times New Roman" w:cs="Times New Roman"/>
          <w:sz w:val="26"/>
          <w:szCs w:val="26"/>
        </w:rPr>
        <w:t xml:space="preserve"> che costruisc</w:t>
      </w:r>
      <w:r w:rsidR="00D944B7">
        <w:rPr>
          <w:rFonts w:ascii="Times New Roman" w:hAnsi="Times New Roman" w:cs="Times New Roman"/>
          <w:sz w:val="26"/>
          <w:szCs w:val="26"/>
        </w:rPr>
        <w:t>ono</w:t>
      </w:r>
      <w:r w:rsidR="00283FBB">
        <w:rPr>
          <w:rFonts w:ascii="Times New Roman" w:hAnsi="Times New Roman" w:cs="Times New Roman"/>
          <w:sz w:val="26"/>
          <w:szCs w:val="26"/>
        </w:rPr>
        <w:t xml:space="preserve"> i</w:t>
      </w:r>
      <w:r w:rsidR="006F7576">
        <w:rPr>
          <w:rFonts w:ascii="Times New Roman" w:hAnsi="Times New Roman" w:cs="Times New Roman"/>
          <w:sz w:val="26"/>
          <w:szCs w:val="26"/>
        </w:rPr>
        <w:t xml:space="preserve"> </w:t>
      </w:r>
      <w:r w:rsidR="00283FBB">
        <w:rPr>
          <w:rFonts w:ascii="Times New Roman" w:hAnsi="Times New Roman" w:cs="Times New Roman"/>
          <w:sz w:val="26"/>
          <w:szCs w:val="26"/>
        </w:rPr>
        <w:t>l</w:t>
      </w:r>
      <w:r w:rsidR="006F7576">
        <w:rPr>
          <w:rFonts w:ascii="Times New Roman" w:hAnsi="Times New Roman" w:cs="Times New Roman"/>
          <w:sz w:val="26"/>
          <w:szCs w:val="26"/>
        </w:rPr>
        <w:t>oro</w:t>
      </w:r>
      <w:r w:rsidR="00283FBB">
        <w:rPr>
          <w:rFonts w:ascii="Times New Roman" w:hAnsi="Times New Roman" w:cs="Times New Roman"/>
          <w:sz w:val="26"/>
          <w:szCs w:val="26"/>
        </w:rPr>
        <w:t xml:space="preserve"> portafogli in autonomia, ma anche ai singoli </w:t>
      </w:r>
      <w:proofErr w:type="spellStart"/>
      <w:r w:rsidR="00283FBB" w:rsidRPr="00283FBB">
        <w:rPr>
          <w:rFonts w:ascii="Times New Roman" w:hAnsi="Times New Roman" w:cs="Times New Roman"/>
          <w:i/>
          <w:sz w:val="26"/>
          <w:szCs w:val="26"/>
        </w:rPr>
        <w:t>financial</w:t>
      </w:r>
      <w:proofErr w:type="spellEnd"/>
      <w:r w:rsidR="00283FBB" w:rsidRPr="00283FBB">
        <w:rPr>
          <w:rFonts w:ascii="Times New Roman" w:hAnsi="Times New Roman" w:cs="Times New Roman"/>
          <w:i/>
          <w:sz w:val="26"/>
          <w:szCs w:val="26"/>
        </w:rPr>
        <w:t xml:space="preserve"> advisor</w:t>
      </w:r>
      <w:r w:rsidR="00283FBB">
        <w:rPr>
          <w:rFonts w:ascii="Times New Roman" w:hAnsi="Times New Roman" w:cs="Times New Roman"/>
          <w:sz w:val="26"/>
          <w:szCs w:val="26"/>
        </w:rPr>
        <w:t xml:space="preserve">, dotati </w:t>
      </w:r>
      <w:r w:rsidR="00AC5A3A">
        <w:rPr>
          <w:rFonts w:ascii="Times New Roman" w:hAnsi="Times New Roman" w:cs="Times New Roman"/>
          <w:sz w:val="26"/>
          <w:szCs w:val="26"/>
        </w:rPr>
        <w:t xml:space="preserve">di </w:t>
      </w:r>
      <w:r w:rsidR="00283FBB">
        <w:rPr>
          <w:rFonts w:ascii="Times New Roman" w:hAnsi="Times New Roman" w:cs="Times New Roman"/>
          <w:sz w:val="26"/>
          <w:szCs w:val="26"/>
        </w:rPr>
        <w:t xml:space="preserve">ben </w:t>
      </w:r>
      <w:r w:rsidR="00C65861">
        <w:rPr>
          <w:rFonts w:ascii="Times New Roman" w:hAnsi="Times New Roman" w:cs="Times New Roman"/>
          <w:sz w:val="26"/>
          <w:szCs w:val="26"/>
        </w:rPr>
        <w:t xml:space="preserve">maggiore </w:t>
      </w:r>
      <w:r w:rsidR="00283FBB">
        <w:rPr>
          <w:rFonts w:ascii="Times New Roman" w:hAnsi="Times New Roman" w:cs="Times New Roman"/>
          <w:sz w:val="26"/>
          <w:szCs w:val="26"/>
        </w:rPr>
        <w:t>competenza finanziaria - è che la fase di selezione dei prodotti prenda il sopravvento</w:t>
      </w:r>
      <w:r w:rsidR="00E95970">
        <w:rPr>
          <w:rFonts w:ascii="Times New Roman" w:hAnsi="Times New Roman" w:cs="Times New Roman"/>
          <w:sz w:val="26"/>
          <w:szCs w:val="26"/>
        </w:rPr>
        <w:t xml:space="preserve"> sul resto</w:t>
      </w:r>
      <w:r w:rsidR="00283FBB">
        <w:rPr>
          <w:rFonts w:ascii="Times New Roman" w:hAnsi="Times New Roman" w:cs="Times New Roman"/>
          <w:sz w:val="26"/>
          <w:szCs w:val="26"/>
        </w:rPr>
        <w:t xml:space="preserve">, </w:t>
      </w:r>
      <w:r w:rsidR="00AC5A3A">
        <w:rPr>
          <w:rFonts w:ascii="Times New Roman" w:hAnsi="Times New Roman" w:cs="Times New Roman"/>
          <w:sz w:val="26"/>
          <w:szCs w:val="26"/>
        </w:rPr>
        <w:t xml:space="preserve">riducendo </w:t>
      </w:r>
      <w:r w:rsidR="00D944B7">
        <w:rPr>
          <w:rFonts w:ascii="Times New Roman" w:hAnsi="Times New Roman" w:cs="Times New Roman"/>
          <w:sz w:val="26"/>
          <w:szCs w:val="26"/>
        </w:rPr>
        <w:t>la costruzione d</w:t>
      </w:r>
      <w:r w:rsidR="00C65861">
        <w:rPr>
          <w:rFonts w:ascii="Times New Roman" w:hAnsi="Times New Roman" w:cs="Times New Roman"/>
          <w:sz w:val="26"/>
          <w:szCs w:val="26"/>
        </w:rPr>
        <w:t xml:space="preserve">el </w:t>
      </w:r>
      <w:r w:rsidR="00D944B7">
        <w:rPr>
          <w:rFonts w:ascii="Times New Roman" w:hAnsi="Times New Roman" w:cs="Times New Roman"/>
          <w:sz w:val="26"/>
          <w:szCs w:val="26"/>
        </w:rPr>
        <w:t>portafoglio</w:t>
      </w:r>
      <w:r w:rsidR="00AC5A3A">
        <w:rPr>
          <w:rFonts w:ascii="Times New Roman" w:hAnsi="Times New Roman" w:cs="Times New Roman"/>
          <w:sz w:val="26"/>
          <w:szCs w:val="26"/>
        </w:rPr>
        <w:t xml:space="preserve"> </w:t>
      </w:r>
      <w:r w:rsidR="00D944B7">
        <w:rPr>
          <w:rFonts w:ascii="Times New Roman" w:hAnsi="Times New Roman" w:cs="Times New Roman"/>
          <w:sz w:val="26"/>
          <w:szCs w:val="26"/>
        </w:rPr>
        <w:t>al rango</w:t>
      </w:r>
      <w:r w:rsidR="00AC5A3A">
        <w:rPr>
          <w:rFonts w:ascii="Times New Roman" w:hAnsi="Times New Roman" w:cs="Times New Roman"/>
          <w:sz w:val="26"/>
          <w:szCs w:val="26"/>
        </w:rPr>
        <w:t xml:space="preserve"> </w:t>
      </w:r>
      <w:r w:rsidR="00D944B7">
        <w:rPr>
          <w:rFonts w:ascii="Times New Roman" w:hAnsi="Times New Roman" w:cs="Times New Roman"/>
          <w:sz w:val="26"/>
          <w:szCs w:val="26"/>
        </w:rPr>
        <w:t>di</w:t>
      </w:r>
      <w:r w:rsidR="00AC5A3A">
        <w:rPr>
          <w:rFonts w:ascii="Times New Roman" w:hAnsi="Times New Roman" w:cs="Times New Roman"/>
          <w:sz w:val="26"/>
          <w:szCs w:val="26"/>
        </w:rPr>
        <w:t xml:space="preserve"> mero processo di </w:t>
      </w:r>
      <w:r w:rsidR="00AC5A3A" w:rsidRPr="00AC5A3A">
        <w:rPr>
          <w:rFonts w:ascii="Times New Roman" w:hAnsi="Times New Roman" w:cs="Times New Roman"/>
          <w:i/>
          <w:sz w:val="26"/>
          <w:szCs w:val="26"/>
        </w:rPr>
        <w:t xml:space="preserve">product </w:t>
      </w:r>
      <w:proofErr w:type="spellStart"/>
      <w:r w:rsidR="00AC5A3A" w:rsidRPr="00AC5A3A">
        <w:rPr>
          <w:rFonts w:ascii="Times New Roman" w:hAnsi="Times New Roman" w:cs="Times New Roman"/>
          <w:i/>
          <w:sz w:val="26"/>
          <w:szCs w:val="26"/>
        </w:rPr>
        <w:t>allocation</w:t>
      </w:r>
      <w:proofErr w:type="spellEnd"/>
      <w:r w:rsidR="00AC5A3A">
        <w:rPr>
          <w:rFonts w:ascii="Times New Roman" w:hAnsi="Times New Roman" w:cs="Times New Roman"/>
          <w:sz w:val="26"/>
          <w:szCs w:val="26"/>
        </w:rPr>
        <w:t>. Ciò che accade è che l</w:t>
      </w:r>
      <w:r w:rsidR="008230AA">
        <w:rPr>
          <w:rFonts w:ascii="Times New Roman" w:hAnsi="Times New Roman" w:cs="Times New Roman"/>
          <w:sz w:val="26"/>
          <w:szCs w:val="26"/>
        </w:rPr>
        <w:t>’“innamoramento”</w:t>
      </w:r>
      <w:r w:rsidR="00AC5A3A">
        <w:rPr>
          <w:rFonts w:ascii="Times New Roman" w:hAnsi="Times New Roman" w:cs="Times New Roman"/>
          <w:sz w:val="26"/>
          <w:szCs w:val="26"/>
        </w:rPr>
        <w:t xml:space="preserve"> per i prodott</w:t>
      </w:r>
      <w:r w:rsidR="00B87949">
        <w:rPr>
          <w:rFonts w:ascii="Times New Roman" w:hAnsi="Times New Roman" w:cs="Times New Roman"/>
          <w:sz w:val="26"/>
          <w:szCs w:val="26"/>
        </w:rPr>
        <w:t>i</w:t>
      </w:r>
      <w:r w:rsidR="00D944B7">
        <w:rPr>
          <w:rFonts w:ascii="Times New Roman" w:hAnsi="Times New Roman" w:cs="Times New Roman"/>
          <w:sz w:val="26"/>
          <w:szCs w:val="26"/>
        </w:rPr>
        <w:t xml:space="preserve"> (</w:t>
      </w:r>
      <w:r w:rsidR="009B7BAF">
        <w:rPr>
          <w:rFonts w:ascii="Times New Roman" w:hAnsi="Times New Roman" w:cs="Times New Roman"/>
          <w:sz w:val="26"/>
          <w:szCs w:val="26"/>
        </w:rPr>
        <w:t>di solito</w:t>
      </w:r>
      <w:r w:rsidR="00D944B7">
        <w:rPr>
          <w:rFonts w:ascii="Times New Roman" w:hAnsi="Times New Roman" w:cs="Times New Roman"/>
          <w:sz w:val="26"/>
          <w:szCs w:val="26"/>
        </w:rPr>
        <w:t xml:space="preserve"> riconducibile a </w:t>
      </w:r>
      <w:r w:rsidR="006F7576">
        <w:rPr>
          <w:rFonts w:ascii="Times New Roman" w:hAnsi="Times New Roman" w:cs="Times New Roman"/>
          <w:sz w:val="26"/>
          <w:szCs w:val="26"/>
        </w:rPr>
        <w:lastRenderedPageBreak/>
        <w:t xml:space="preserve">singole </w:t>
      </w:r>
      <w:r w:rsidR="00D944B7">
        <w:rPr>
          <w:rFonts w:ascii="Times New Roman" w:hAnsi="Times New Roman" w:cs="Times New Roman"/>
          <w:sz w:val="26"/>
          <w:szCs w:val="26"/>
        </w:rPr>
        <w:t>performance passat</w:t>
      </w:r>
      <w:r w:rsidR="008230AA">
        <w:rPr>
          <w:rFonts w:ascii="Times New Roman" w:hAnsi="Times New Roman" w:cs="Times New Roman"/>
          <w:sz w:val="26"/>
          <w:szCs w:val="26"/>
        </w:rPr>
        <w:t>e</w:t>
      </w:r>
      <w:r w:rsidR="00D944B7">
        <w:rPr>
          <w:rFonts w:ascii="Times New Roman" w:hAnsi="Times New Roman" w:cs="Times New Roman"/>
          <w:sz w:val="26"/>
          <w:szCs w:val="26"/>
        </w:rPr>
        <w:t xml:space="preserve"> straordinari</w:t>
      </w:r>
      <w:r w:rsidR="008230AA">
        <w:rPr>
          <w:rFonts w:ascii="Times New Roman" w:hAnsi="Times New Roman" w:cs="Times New Roman"/>
          <w:sz w:val="26"/>
          <w:szCs w:val="26"/>
        </w:rPr>
        <w:t>e</w:t>
      </w:r>
      <w:r w:rsidR="00193366">
        <w:rPr>
          <w:rStyle w:val="Rimandonotaapidipagina"/>
          <w:rFonts w:ascii="Times New Roman" w:hAnsi="Times New Roman" w:cs="Times New Roman"/>
          <w:sz w:val="26"/>
          <w:szCs w:val="26"/>
        </w:rPr>
        <w:footnoteReference w:id="3"/>
      </w:r>
      <w:r w:rsidR="00D944B7">
        <w:rPr>
          <w:rFonts w:ascii="Times New Roman" w:hAnsi="Times New Roman" w:cs="Times New Roman"/>
          <w:sz w:val="26"/>
          <w:szCs w:val="26"/>
        </w:rPr>
        <w:t xml:space="preserve">) </w:t>
      </w:r>
      <w:r w:rsidR="006F7576">
        <w:rPr>
          <w:rFonts w:ascii="Times New Roman" w:hAnsi="Times New Roman" w:cs="Times New Roman"/>
          <w:sz w:val="26"/>
          <w:szCs w:val="26"/>
        </w:rPr>
        <w:t>finisce con l’</w:t>
      </w:r>
      <w:r w:rsidR="00D944B7">
        <w:rPr>
          <w:rFonts w:ascii="Times New Roman" w:hAnsi="Times New Roman" w:cs="Times New Roman"/>
          <w:sz w:val="26"/>
          <w:szCs w:val="26"/>
        </w:rPr>
        <w:t>offusc</w:t>
      </w:r>
      <w:r w:rsidR="009B7BAF">
        <w:rPr>
          <w:rFonts w:ascii="Times New Roman" w:hAnsi="Times New Roman" w:cs="Times New Roman"/>
          <w:sz w:val="26"/>
          <w:szCs w:val="26"/>
        </w:rPr>
        <w:t>a</w:t>
      </w:r>
      <w:r w:rsidR="006F7576">
        <w:rPr>
          <w:rFonts w:ascii="Times New Roman" w:hAnsi="Times New Roman" w:cs="Times New Roman"/>
          <w:sz w:val="26"/>
          <w:szCs w:val="26"/>
        </w:rPr>
        <w:t>re</w:t>
      </w:r>
      <w:r w:rsidR="00D944B7">
        <w:rPr>
          <w:rFonts w:ascii="Times New Roman" w:hAnsi="Times New Roman" w:cs="Times New Roman"/>
          <w:sz w:val="26"/>
          <w:szCs w:val="26"/>
        </w:rPr>
        <w:t xml:space="preserve"> </w:t>
      </w:r>
      <w:r w:rsidR="00225EB5">
        <w:rPr>
          <w:rFonts w:ascii="Times New Roman" w:hAnsi="Times New Roman" w:cs="Times New Roman"/>
          <w:sz w:val="26"/>
          <w:szCs w:val="26"/>
        </w:rPr>
        <w:t>il comportamento</w:t>
      </w:r>
      <w:r w:rsidR="00D944B7">
        <w:rPr>
          <w:rFonts w:ascii="Times New Roman" w:hAnsi="Times New Roman" w:cs="Times New Roman"/>
          <w:sz w:val="26"/>
          <w:szCs w:val="26"/>
        </w:rPr>
        <w:t xml:space="preserve"> dell’</w:t>
      </w:r>
      <w:r w:rsidR="006A47A2" w:rsidRPr="006A47A2">
        <w:rPr>
          <w:rFonts w:ascii="Times New Roman" w:hAnsi="Times New Roman" w:cs="Times New Roman"/>
          <w:sz w:val="26"/>
          <w:szCs w:val="26"/>
        </w:rPr>
        <w:t>investitore/consulente</w:t>
      </w:r>
      <w:r w:rsidR="00D944B7">
        <w:rPr>
          <w:rFonts w:ascii="Times New Roman" w:hAnsi="Times New Roman" w:cs="Times New Roman"/>
          <w:sz w:val="26"/>
          <w:szCs w:val="26"/>
        </w:rPr>
        <w:t xml:space="preserve"> che </w:t>
      </w:r>
      <w:r w:rsidR="00B87949">
        <w:rPr>
          <w:rFonts w:ascii="Times New Roman" w:hAnsi="Times New Roman" w:cs="Times New Roman"/>
          <w:sz w:val="26"/>
          <w:szCs w:val="26"/>
        </w:rPr>
        <w:t xml:space="preserve">li </w:t>
      </w:r>
      <w:r w:rsidR="00D944B7">
        <w:rPr>
          <w:rFonts w:ascii="Times New Roman" w:hAnsi="Times New Roman" w:cs="Times New Roman"/>
          <w:sz w:val="26"/>
          <w:szCs w:val="26"/>
        </w:rPr>
        <w:t>seleziona</w:t>
      </w:r>
      <w:r w:rsidR="006F7576">
        <w:rPr>
          <w:rFonts w:ascii="Times New Roman" w:hAnsi="Times New Roman" w:cs="Times New Roman"/>
          <w:sz w:val="26"/>
          <w:szCs w:val="26"/>
        </w:rPr>
        <w:t>, portando questi ultimi</w:t>
      </w:r>
      <w:r w:rsidR="00D944B7">
        <w:rPr>
          <w:rFonts w:ascii="Times New Roman" w:hAnsi="Times New Roman" w:cs="Times New Roman"/>
          <w:sz w:val="26"/>
          <w:szCs w:val="26"/>
        </w:rPr>
        <w:t xml:space="preserve"> </w:t>
      </w:r>
      <w:r w:rsidR="006F7576">
        <w:rPr>
          <w:rFonts w:ascii="Times New Roman" w:hAnsi="Times New Roman" w:cs="Times New Roman"/>
          <w:sz w:val="26"/>
          <w:szCs w:val="26"/>
        </w:rPr>
        <w:t xml:space="preserve">ad </w:t>
      </w:r>
      <w:r w:rsidR="00CF32FA">
        <w:rPr>
          <w:rFonts w:ascii="Times New Roman" w:hAnsi="Times New Roman" w:cs="Times New Roman"/>
          <w:sz w:val="26"/>
          <w:szCs w:val="26"/>
        </w:rPr>
        <w:t>ignora</w:t>
      </w:r>
      <w:r w:rsidR="006F7576">
        <w:rPr>
          <w:rFonts w:ascii="Times New Roman" w:hAnsi="Times New Roman" w:cs="Times New Roman"/>
          <w:sz w:val="26"/>
          <w:szCs w:val="26"/>
        </w:rPr>
        <w:t>re</w:t>
      </w:r>
      <w:r w:rsidR="00D944B7">
        <w:rPr>
          <w:rFonts w:ascii="Times New Roman" w:hAnsi="Times New Roman" w:cs="Times New Roman"/>
          <w:sz w:val="26"/>
          <w:szCs w:val="26"/>
        </w:rPr>
        <w:t xml:space="preserve"> </w:t>
      </w:r>
      <w:r w:rsidR="00CF32FA">
        <w:rPr>
          <w:rFonts w:ascii="Times New Roman" w:hAnsi="Times New Roman" w:cs="Times New Roman"/>
          <w:sz w:val="26"/>
          <w:szCs w:val="26"/>
        </w:rPr>
        <w:t>la qualità</w:t>
      </w:r>
      <w:r w:rsidR="00D944B7">
        <w:rPr>
          <w:rFonts w:ascii="Times New Roman" w:hAnsi="Times New Roman" w:cs="Times New Roman"/>
          <w:sz w:val="26"/>
          <w:szCs w:val="26"/>
        </w:rPr>
        <w:t xml:space="preserve"> dell’allocazione complessiva del portafoglio</w:t>
      </w:r>
      <w:r w:rsidR="009B7BAF">
        <w:rPr>
          <w:rFonts w:ascii="Times New Roman" w:hAnsi="Times New Roman" w:cs="Times New Roman"/>
          <w:sz w:val="26"/>
          <w:szCs w:val="26"/>
        </w:rPr>
        <w:t xml:space="preserve">. </w:t>
      </w:r>
      <w:r w:rsidR="007A7068">
        <w:rPr>
          <w:rFonts w:ascii="Times New Roman" w:hAnsi="Times New Roman" w:cs="Times New Roman"/>
          <w:sz w:val="26"/>
          <w:szCs w:val="26"/>
        </w:rPr>
        <w:t xml:space="preserve">A tal proposito, il caso del fondo </w:t>
      </w:r>
      <w:proofErr w:type="spellStart"/>
      <w:r w:rsidR="007A7068">
        <w:rPr>
          <w:rFonts w:ascii="Times New Roman" w:hAnsi="Times New Roman" w:cs="Times New Roman"/>
          <w:sz w:val="26"/>
          <w:szCs w:val="26"/>
        </w:rPr>
        <w:t>Carmignac</w:t>
      </w:r>
      <w:proofErr w:type="spellEnd"/>
      <w:r w:rsidR="007A7068">
        <w:rPr>
          <w:rFonts w:ascii="Times New Roman" w:hAnsi="Times New Roman" w:cs="Times New Roman"/>
          <w:sz w:val="26"/>
          <w:szCs w:val="26"/>
        </w:rPr>
        <w:t xml:space="preserve"> </w:t>
      </w:r>
      <w:proofErr w:type="spellStart"/>
      <w:r w:rsidR="007A7068">
        <w:rPr>
          <w:rFonts w:ascii="Times New Roman" w:hAnsi="Times New Roman" w:cs="Times New Roman"/>
          <w:sz w:val="26"/>
          <w:szCs w:val="26"/>
        </w:rPr>
        <w:t>Patrimoine</w:t>
      </w:r>
      <w:proofErr w:type="spellEnd"/>
      <w:r w:rsidR="007A7068">
        <w:rPr>
          <w:rFonts w:ascii="Times New Roman" w:hAnsi="Times New Roman" w:cs="Times New Roman"/>
          <w:sz w:val="26"/>
          <w:szCs w:val="26"/>
        </w:rPr>
        <w:t xml:space="preserve"> è esplicativo di quanto </w:t>
      </w:r>
      <w:r w:rsidR="00CB7F67">
        <w:rPr>
          <w:rFonts w:ascii="Times New Roman" w:hAnsi="Times New Roman" w:cs="Times New Roman"/>
          <w:sz w:val="26"/>
          <w:szCs w:val="26"/>
        </w:rPr>
        <w:t>un</w:t>
      </w:r>
      <w:r w:rsidR="007A7068">
        <w:rPr>
          <w:rFonts w:ascii="Times New Roman" w:hAnsi="Times New Roman" w:cs="Times New Roman"/>
          <w:sz w:val="26"/>
          <w:szCs w:val="26"/>
        </w:rPr>
        <w:t xml:space="preserve">a performance eccezionale </w:t>
      </w:r>
      <w:r w:rsidR="00867069">
        <w:rPr>
          <w:rFonts w:ascii="Times New Roman" w:hAnsi="Times New Roman" w:cs="Times New Roman"/>
          <w:sz w:val="26"/>
          <w:szCs w:val="26"/>
        </w:rPr>
        <w:t>(</w:t>
      </w:r>
      <w:r w:rsidR="007A7068">
        <w:rPr>
          <w:rFonts w:ascii="Times New Roman" w:hAnsi="Times New Roman" w:cs="Times New Roman"/>
          <w:sz w:val="26"/>
          <w:szCs w:val="26"/>
        </w:rPr>
        <w:t>ed inattesa</w:t>
      </w:r>
      <w:r w:rsidR="00867069">
        <w:rPr>
          <w:rFonts w:ascii="Times New Roman" w:hAnsi="Times New Roman" w:cs="Times New Roman"/>
          <w:sz w:val="26"/>
          <w:szCs w:val="26"/>
        </w:rPr>
        <w:t>)</w:t>
      </w:r>
      <w:r w:rsidR="007A7068">
        <w:rPr>
          <w:rFonts w:ascii="Times New Roman" w:hAnsi="Times New Roman" w:cs="Times New Roman"/>
          <w:sz w:val="26"/>
          <w:szCs w:val="26"/>
        </w:rPr>
        <w:t xml:space="preserve"> possa alimentare </w:t>
      </w:r>
      <w:r w:rsidR="00024C10">
        <w:rPr>
          <w:rFonts w:ascii="Times New Roman" w:hAnsi="Times New Roman" w:cs="Times New Roman"/>
          <w:sz w:val="26"/>
          <w:szCs w:val="26"/>
        </w:rPr>
        <w:t>una crescita esponenziale delle masse gestite</w:t>
      </w:r>
      <w:r w:rsidR="00195078">
        <w:rPr>
          <w:rFonts w:ascii="Times New Roman" w:hAnsi="Times New Roman" w:cs="Times New Roman"/>
          <w:sz w:val="26"/>
          <w:szCs w:val="26"/>
        </w:rPr>
        <w:t>;</w:t>
      </w:r>
      <w:r w:rsidR="00024C10">
        <w:rPr>
          <w:rFonts w:ascii="Times New Roman" w:hAnsi="Times New Roman" w:cs="Times New Roman"/>
          <w:sz w:val="26"/>
          <w:szCs w:val="26"/>
        </w:rPr>
        <w:t xml:space="preserve"> </w:t>
      </w:r>
      <w:r w:rsidR="00195078">
        <w:rPr>
          <w:rFonts w:ascii="Times New Roman" w:hAnsi="Times New Roman" w:cs="Times New Roman"/>
          <w:sz w:val="26"/>
          <w:szCs w:val="26"/>
        </w:rPr>
        <w:t>l</w:t>
      </w:r>
      <w:r w:rsidR="00024C10">
        <w:rPr>
          <w:rFonts w:ascii="Times New Roman" w:hAnsi="Times New Roman" w:cs="Times New Roman"/>
          <w:sz w:val="26"/>
          <w:szCs w:val="26"/>
        </w:rPr>
        <w:t xml:space="preserve">a </w:t>
      </w:r>
      <w:r w:rsidR="00CA3690">
        <w:rPr>
          <w:rFonts w:ascii="Times New Roman" w:hAnsi="Times New Roman" w:cs="Times New Roman"/>
          <w:sz w:val="26"/>
          <w:szCs w:val="26"/>
        </w:rPr>
        <w:t>Figura</w:t>
      </w:r>
      <w:r w:rsidR="00024C10">
        <w:rPr>
          <w:rFonts w:ascii="Times New Roman" w:hAnsi="Times New Roman" w:cs="Times New Roman"/>
          <w:sz w:val="26"/>
          <w:szCs w:val="26"/>
        </w:rPr>
        <w:t xml:space="preserve"> 1 mostra</w:t>
      </w:r>
      <w:r w:rsidR="00195078">
        <w:rPr>
          <w:rFonts w:ascii="Times New Roman" w:hAnsi="Times New Roman" w:cs="Times New Roman"/>
          <w:sz w:val="26"/>
          <w:szCs w:val="26"/>
        </w:rPr>
        <w:t xml:space="preserve"> - sulla finestra temporale </w:t>
      </w:r>
      <w:r w:rsidR="00867069">
        <w:rPr>
          <w:rFonts w:ascii="Times New Roman" w:hAnsi="Times New Roman" w:cs="Times New Roman"/>
          <w:sz w:val="26"/>
          <w:szCs w:val="26"/>
        </w:rPr>
        <w:t>31/12/</w:t>
      </w:r>
      <w:r w:rsidR="00195078">
        <w:rPr>
          <w:rFonts w:ascii="Times New Roman" w:hAnsi="Times New Roman" w:cs="Times New Roman"/>
          <w:sz w:val="26"/>
          <w:szCs w:val="26"/>
        </w:rPr>
        <w:t xml:space="preserve"> 2003 – </w:t>
      </w:r>
      <w:r w:rsidR="00867069">
        <w:rPr>
          <w:rFonts w:ascii="Times New Roman" w:hAnsi="Times New Roman" w:cs="Times New Roman"/>
          <w:sz w:val="26"/>
          <w:szCs w:val="26"/>
        </w:rPr>
        <w:t>31/12/</w:t>
      </w:r>
      <w:r w:rsidR="00195078">
        <w:rPr>
          <w:rFonts w:ascii="Times New Roman" w:hAnsi="Times New Roman" w:cs="Times New Roman"/>
          <w:sz w:val="26"/>
          <w:szCs w:val="26"/>
        </w:rPr>
        <w:t>2019 -</w:t>
      </w:r>
      <w:r w:rsidR="00024C10">
        <w:rPr>
          <w:rFonts w:ascii="Times New Roman" w:hAnsi="Times New Roman" w:cs="Times New Roman"/>
          <w:sz w:val="26"/>
          <w:szCs w:val="26"/>
        </w:rPr>
        <w:t xml:space="preserve"> l’evoluzione dei </w:t>
      </w:r>
      <w:r w:rsidR="00024C10" w:rsidRPr="00024C10">
        <w:rPr>
          <w:rFonts w:ascii="Times New Roman" w:hAnsi="Times New Roman" w:cs="Times New Roman"/>
          <w:i/>
          <w:sz w:val="26"/>
          <w:szCs w:val="26"/>
        </w:rPr>
        <w:t>Net Total Assets</w:t>
      </w:r>
      <w:r w:rsidR="00024C10">
        <w:rPr>
          <w:rFonts w:ascii="Times New Roman" w:hAnsi="Times New Roman" w:cs="Times New Roman"/>
          <w:sz w:val="26"/>
          <w:szCs w:val="26"/>
        </w:rPr>
        <w:t xml:space="preserve"> della classe principale </w:t>
      </w:r>
      <w:r w:rsidR="0098276A">
        <w:rPr>
          <w:rFonts w:ascii="Times New Roman" w:hAnsi="Times New Roman" w:cs="Times New Roman"/>
          <w:sz w:val="26"/>
          <w:szCs w:val="26"/>
        </w:rPr>
        <w:t>di questo</w:t>
      </w:r>
      <w:r w:rsidR="00195078">
        <w:rPr>
          <w:rFonts w:ascii="Times New Roman" w:hAnsi="Times New Roman" w:cs="Times New Roman"/>
          <w:sz w:val="26"/>
          <w:szCs w:val="26"/>
        </w:rPr>
        <w:t xml:space="preserve"> </w:t>
      </w:r>
      <w:r w:rsidR="00867069" w:rsidRPr="00407F6D">
        <w:rPr>
          <w:rFonts w:ascii="Times New Roman" w:hAnsi="Times New Roman" w:cs="Times New Roman"/>
          <w:sz w:val="26"/>
          <w:szCs w:val="26"/>
        </w:rPr>
        <w:t>f</w:t>
      </w:r>
      <w:r w:rsidR="00024C10" w:rsidRPr="00407F6D">
        <w:rPr>
          <w:rFonts w:ascii="Times New Roman" w:hAnsi="Times New Roman" w:cs="Times New Roman"/>
          <w:sz w:val="26"/>
          <w:szCs w:val="26"/>
        </w:rPr>
        <w:t>ondo</w:t>
      </w:r>
      <w:r w:rsidR="006F7576" w:rsidRPr="00407F6D">
        <w:rPr>
          <w:rFonts w:ascii="Times New Roman" w:hAnsi="Times New Roman" w:cs="Times New Roman"/>
          <w:sz w:val="26"/>
          <w:szCs w:val="26"/>
        </w:rPr>
        <w:t>; a</w:t>
      </w:r>
      <w:r w:rsidR="00195078" w:rsidRPr="00407F6D">
        <w:rPr>
          <w:rFonts w:ascii="Times New Roman" w:hAnsi="Times New Roman" w:cs="Times New Roman"/>
          <w:sz w:val="26"/>
          <w:szCs w:val="26"/>
        </w:rPr>
        <w:t xml:space="preserve"> seguito delle eccezionali performance </w:t>
      </w:r>
      <w:r w:rsidR="006F7576" w:rsidRPr="00407F6D">
        <w:rPr>
          <w:rFonts w:ascii="Times New Roman" w:hAnsi="Times New Roman" w:cs="Times New Roman"/>
          <w:sz w:val="26"/>
          <w:szCs w:val="26"/>
        </w:rPr>
        <w:t xml:space="preserve">messe a segno </w:t>
      </w:r>
      <w:r w:rsidR="00195078" w:rsidRPr="00407F6D">
        <w:rPr>
          <w:rFonts w:ascii="Times New Roman" w:hAnsi="Times New Roman" w:cs="Times New Roman"/>
          <w:sz w:val="26"/>
          <w:szCs w:val="26"/>
        </w:rPr>
        <w:t xml:space="preserve">negli anni 2008 (+0,01%) e 2009 (+17,59%), </w:t>
      </w:r>
      <w:proofErr w:type="spellStart"/>
      <w:r w:rsidR="0098276A" w:rsidRPr="00407F6D">
        <w:rPr>
          <w:rFonts w:ascii="Times New Roman" w:hAnsi="Times New Roman" w:cs="Times New Roman"/>
          <w:sz w:val="26"/>
          <w:szCs w:val="26"/>
        </w:rPr>
        <w:t>Carmignac</w:t>
      </w:r>
      <w:proofErr w:type="spellEnd"/>
      <w:r w:rsidR="0098276A" w:rsidRPr="00407F6D">
        <w:rPr>
          <w:rFonts w:ascii="Times New Roman" w:hAnsi="Times New Roman" w:cs="Times New Roman"/>
          <w:sz w:val="26"/>
          <w:szCs w:val="26"/>
        </w:rPr>
        <w:t xml:space="preserve"> </w:t>
      </w:r>
      <w:proofErr w:type="spellStart"/>
      <w:r w:rsidR="0098276A" w:rsidRPr="00407F6D">
        <w:rPr>
          <w:rFonts w:ascii="Times New Roman" w:hAnsi="Times New Roman" w:cs="Times New Roman"/>
          <w:sz w:val="26"/>
          <w:szCs w:val="26"/>
        </w:rPr>
        <w:t>Patrimoine</w:t>
      </w:r>
      <w:proofErr w:type="spellEnd"/>
      <w:r w:rsidR="00195078" w:rsidRPr="00407F6D">
        <w:rPr>
          <w:rFonts w:ascii="Times New Roman" w:hAnsi="Times New Roman" w:cs="Times New Roman"/>
          <w:sz w:val="26"/>
          <w:szCs w:val="26"/>
        </w:rPr>
        <w:t>, nel triennio 2008-2010</w:t>
      </w:r>
      <w:r w:rsidR="00195078">
        <w:rPr>
          <w:rFonts w:ascii="Times New Roman" w:hAnsi="Times New Roman" w:cs="Times New Roman"/>
          <w:sz w:val="26"/>
          <w:szCs w:val="26"/>
        </w:rPr>
        <w:t xml:space="preserve"> </w:t>
      </w:r>
      <w:r w:rsidR="00C65861">
        <w:rPr>
          <w:rFonts w:ascii="Times New Roman" w:hAnsi="Times New Roman" w:cs="Times New Roman"/>
          <w:sz w:val="26"/>
          <w:szCs w:val="26"/>
        </w:rPr>
        <w:t xml:space="preserve">ha palesato </w:t>
      </w:r>
      <w:r w:rsidR="00195078">
        <w:rPr>
          <w:rFonts w:ascii="Times New Roman" w:hAnsi="Times New Roman" w:cs="Times New Roman"/>
          <w:sz w:val="26"/>
          <w:szCs w:val="26"/>
        </w:rPr>
        <w:t>una crescita delle masse gestite del +730%, passando da</w:t>
      </w:r>
      <w:r w:rsidR="00C65861">
        <w:rPr>
          <w:rFonts w:ascii="Times New Roman" w:hAnsi="Times New Roman" w:cs="Times New Roman"/>
          <w:sz w:val="26"/>
          <w:szCs w:val="26"/>
        </w:rPr>
        <w:t>i</w:t>
      </w:r>
      <w:r w:rsidR="00195078">
        <w:rPr>
          <w:rFonts w:ascii="Times New Roman" w:hAnsi="Times New Roman" w:cs="Times New Roman"/>
          <w:sz w:val="26"/>
          <w:szCs w:val="26"/>
        </w:rPr>
        <w:t xml:space="preserve"> 2,79 mld di </w:t>
      </w:r>
      <w:r w:rsidR="00C65861">
        <w:rPr>
          <w:rFonts w:ascii="Times New Roman" w:hAnsi="Times New Roman" w:cs="Times New Roman"/>
          <w:sz w:val="26"/>
          <w:szCs w:val="26"/>
        </w:rPr>
        <w:t>euro</w:t>
      </w:r>
      <w:r w:rsidR="0098276A">
        <w:rPr>
          <w:rFonts w:ascii="Times New Roman" w:hAnsi="Times New Roman" w:cs="Times New Roman"/>
          <w:sz w:val="26"/>
          <w:szCs w:val="26"/>
        </w:rPr>
        <w:t xml:space="preserve"> </w:t>
      </w:r>
      <w:r w:rsidR="00195078">
        <w:rPr>
          <w:rFonts w:ascii="Times New Roman" w:hAnsi="Times New Roman" w:cs="Times New Roman"/>
          <w:sz w:val="26"/>
          <w:szCs w:val="26"/>
        </w:rPr>
        <w:t>di fine 2007 a</w:t>
      </w:r>
      <w:r w:rsidR="00C65861">
        <w:rPr>
          <w:rFonts w:ascii="Times New Roman" w:hAnsi="Times New Roman" w:cs="Times New Roman"/>
          <w:sz w:val="26"/>
          <w:szCs w:val="26"/>
        </w:rPr>
        <w:t>i</w:t>
      </w:r>
      <w:r w:rsidR="00195078">
        <w:rPr>
          <w:rFonts w:ascii="Times New Roman" w:hAnsi="Times New Roman" w:cs="Times New Roman"/>
          <w:sz w:val="26"/>
          <w:szCs w:val="26"/>
        </w:rPr>
        <w:t xml:space="preserve"> 23,20 mld di </w:t>
      </w:r>
      <w:r w:rsidR="00C65861">
        <w:rPr>
          <w:rFonts w:ascii="Times New Roman" w:hAnsi="Times New Roman" w:cs="Times New Roman"/>
          <w:sz w:val="26"/>
          <w:szCs w:val="26"/>
        </w:rPr>
        <w:t>euro d</w:t>
      </w:r>
      <w:r w:rsidR="0098276A">
        <w:rPr>
          <w:rFonts w:ascii="Times New Roman" w:hAnsi="Times New Roman" w:cs="Times New Roman"/>
          <w:sz w:val="26"/>
          <w:szCs w:val="26"/>
        </w:rPr>
        <w:t>i</w:t>
      </w:r>
      <w:r w:rsidR="00195078">
        <w:rPr>
          <w:rFonts w:ascii="Times New Roman" w:hAnsi="Times New Roman" w:cs="Times New Roman"/>
          <w:sz w:val="26"/>
          <w:szCs w:val="26"/>
        </w:rPr>
        <w:t xml:space="preserve"> fine 2010</w:t>
      </w:r>
      <w:r w:rsidR="00407F6D">
        <w:rPr>
          <w:rFonts w:ascii="Times New Roman" w:hAnsi="Times New Roman" w:cs="Times New Roman"/>
          <w:sz w:val="26"/>
          <w:szCs w:val="26"/>
        </w:rPr>
        <w:t>, crescita dovuta solo per il +25,8% dall’effetto performance positiva del fondo e riconducibile, quindi, per il +704,2% ai nuovi investimenti.</w:t>
      </w:r>
    </w:p>
    <w:p w14:paraId="1C4160A7" w14:textId="77777777" w:rsidR="006F7576" w:rsidRDefault="006F7576" w:rsidP="006F7576">
      <w:pPr>
        <w:spacing w:after="0" w:line="240" w:lineRule="auto"/>
        <w:ind w:left="1276" w:hanging="1276"/>
        <w:jc w:val="both"/>
        <w:rPr>
          <w:rFonts w:ascii="Times New Roman" w:hAnsi="Times New Roman" w:cs="Times New Roman"/>
          <w:b/>
          <w:sz w:val="26"/>
          <w:szCs w:val="26"/>
        </w:rPr>
      </w:pPr>
    </w:p>
    <w:p w14:paraId="1325AD7B" w14:textId="77777777" w:rsidR="006F7576" w:rsidRDefault="006F7576" w:rsidP="006F7576">
      <w:pPr>
        <w:spacing w:after="0" w:line="240" w:lineRule="auto"/>
        <w:ind w:left="1276" w:hanging="1276"/>
        <w:jc w:val="both"/>
        <w:rPr>
          <w:rFonts w:ascii="Times New Roman" w:hAnsi="Times New Roman" w:cs="Times New Roman"/>
          <w:b/>
          <w:sz w:val="26"/>
          <w:szCs w:val="26"/>
        </w:rPr>
      </w:pPr>
      <w:r>
        <w:rPr>
          <w:rFonts w:ascii="Times New Roman" w:hAnsi="Times New Roman" w:cs="Times New Roman"/>
          <w:b/>
          <w:sz w:val="26"/>
          <w:szCs w:val="26"/>
        </w:rPr>
        <w:t>Figura</w:t>
      </w:r>
      <w:r w:rsidRPr="00103341">
        <w:rPr>
          <w:rFonts w:ascii="Times New Roman" w:hAnsi="Times New Roman" w:cs="Times New Roman"/>
          <w:b/>
          <w:sz w:val="26"/>
          <w:szCs w:val="26"/>
        </w:rPr>
        <w:t xml:space="preserve"> </w:t>
      </w:r>
      <w:r>
        <w:rPr>
          <w:rFonts w:ascii="Times New Roman" w:hAnsi="Times New Roman" w:cs="Times New Roman"/>
          <w:b/>
          <w:sz w:val="26"/>
          <w:szCs w:val="26"/>
        </w:rPr>
        <w:t>1</w:t>
      </w:r>
      <w:r w:rsidRPr="00103341">
        <w:rPr>
          <w:rFonts w:ascii="Times New Roman" w:hAnsi="Times New Roman" w:cs="Times New Roman"/>
          <w:b/>
          <w:sz w:val="26"/>
          <w:szCs w:val="26"/>
        </w:rPr>
        <w:t>:</w:t>
      </w:r>
      <w:r>
        <w:rPr>
          <w:rFonts w:ascii="Times New Roman" w:hAnsi="Times New Roman" w:cs="Times New Roman"/>
          <w:b/>
          <w:sz w:val="26"/>
          <w:szCs w:val="26"/>
        </w:rPr>
        <w:tab/>
        <w:t xml:space="preserve">La dinamica temporale degli </w:t>
      </w:r>
      <w:proofErr w:type="spellStart"/>
      <w:r>
        <w:rPr>
          <w:rFonts w:ascii="Times New Roman" w:hAnsi="Times New Roman" w:cs="Times New Roman"/>
          <w:b/>
          <w:sz w:val="26"/>
          <w:szCs w:val="26"/>
        </w:rPr>
        <w:t>AuM</w:t>
      </w:r>
      <w:proofErr w:type="spellEnd"/>
      <w:r>
        <w:rPr>
          <w:rFonts w:ascii="Times New Roman" w:hAnsi="Times New Roman" w:cs="Times New Roman"/>
          <w:b/>
          <w:sz w:val="26"/>
          <w:szCs w:val="26"/>
        </w:rPr>
        <w:t xml:space="preserve"> del Fondo </w:t>
      </w:r>
      <w:proofErr w:type="spellStart"/>
      <w:r>
        <w:rPr>
          <w:rFonts w:ascii="Times New Roman" w:hAnsi="Times New Roman" w:cs="Times New Roman"/>
          <w:b/>
          <w:sz w:val="26"/>
          <w:szCs w:val="26"/>
        </w:rPr>
        <w:t>Carmignac</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Patrimoine</w:t>
      </w:r>
      <w:proofErr w:type="spellEnd"/>
      <w:r>
        <w:rPr>
          <w:rFonts w:ascii="Times New Roman" w:hAnsi="Times New Roman" w:cs="Times New Roman"/>
          <w:b/>
          <w:sz w:val="26"/>
          <w:szCs w:val="26"/>
        </w:rPr>
        <w:t xml:space="preserve">, classe </w:t>
      </w:r>
      <w:r w:rsidRPr="00024C10">
        <w:rPr>
          <w:rFonts w:ascii="Times New Roman" w:hAnsi="Times New Roman" w:cs="Times New Roman"/>
          <w:b/>
          <w:sz w:val="26"/>
          <w:szCs w:val="26"/>
        </w:rPr>
        <w:t xml:space="preserve">A EUR </w:t>
      </w:r>
      <w:proofErr w:type="spellStart"/>
      <w:r w:rsidRPr="00024C10">
        <w:rPr>
          <w:rFonts w:ascii="Times New Roman" w:hAnsi="Times New Roman" w:cs="Times New Roman"/>
          <w:b/>
          <w:sz w:val="26"/>
          <w:szCs w:val="26"/>
        </w:rPr>
        <w:t>Acc</w:t>
      </w:r>
      <w:proofErr w:type="spellEnd"/>
      <w:r>
        <w:rPr>
          <w:rFonts w:ascii="Times New Roman" w:hAnsi="Times New Roman" w:cs="Times New Roman"/>
          <w:b/>
          <w:sz w:val="26"/>
          <w:szCs w:val="26"/>
        </w:rPr>
        <w:t xml:space="preserve"> (ISIN: </w:t>
      </w:r>
      <w:r w:rsidRPr="00024C10">
        <w:rPr>
          <w:rFonts w:ascii="Times New Roman" w:hAnsi="Times New Roman" w:cs="Times New Roman"/>
          <w:b/>
          <w:sz w:val="26"/>
          <w:szCs w:val="26"/>
        </w:rPr>
        <w:t>FR0010135103</w:t>
      </w:r>
      <w:r>
        <w:rPr>
          <w:rFonts w:ascii="Times New Roman" w:hAnsi="Times New Roman" w:cs="Times New Roman"/>
          <w:b/>
          <w:sz w:val="26"/>
          <w:szCs w:val="26"/>
        </w:rPr>
        <w:t>)</w:t>
      </w:r>
    </w:p>
    <w:p w14:paraId="277D04C1" w14:textId="77777777" w:rsidR="006F7576" w:rsidRPr="00103341" w:rsidRDefault="006F7576" w:rsidP="006F7576">
      <w:pPr>
        <w:spacing w:after="0" w:line="240" w:lineRule="auto"/>
        <w:ind w:left="1276" w:hanging="1276"/>
        <w:jc w:val="both"/>
        <w:rPr>
          <w:rFonts w:ascii="Times New Roman" w:hAnsi="Times New Roman" w:cs="Times New Roman"/>
          <w:b/>
          <w:sz w:val="26"/>
          <w:szCs w:val="26"/>
        </w:rPr>
      </w:pPr>
    </w:p>
    <w:p w14:paraId="022C1504" w14:textId="77777777" w:rsidR="006F7576" w:rsidRDefault="006F7576" w:rsidP="006F7576">
      <w:pPr>
        <w:spacing w:after="0" w:line="240" w:lineRule="auto"/>
        <w:jc w:val="center"/>
        <w:rPr>
          <w:rFonts w:ascii="Times New Roman" w:hAnsi="Times New Roman" w:cs="Times New Roman"/>
          <w:sz w:val="26"/>
          <w:szCs w:val="26"/>
        </w:rPr>
      </w:pPr>
      <w:r w:rsidRPr="00867069">
        <w:rPr>
          <w:noProof/>
          <w:lang w:eastAsia="it-IT"/>
        </w:rPr>
        <w:drawing>
          <wp:inline distT="0" distB="0" distL="0" distR="0" wp14:anchorId="6BD9AB06" wp14:editId="1882F3B4">
            <wp:extent cx="4651926" cy="2170999"/>
            <wp:effectExtent l="0" t="0" r="0"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4377" cy="2172143"/>
                    </a:xfrm>
                    <a:prstGeom prst="rect">
                      <a:avLst/>
                    </a:prstGeom>
                    <a:noFill/>
                    <a:ln>
                      <a:noFill/>
                    </a:ln>
                  </pic:spPr>
                </pic:pic>
              </a:graphicData>
            </a:graphic>
          </wp:inline>
        </w:drawing>
      </w:r>
    </w:p>
    <w:p w14:paraId="702EF711" w14:textId="77777777" w:rsidR="006F7576" w:rsidRPr="00103341" w:rsidRDefault="006F7576" w:rsidP="006F7576">
      <w:pPr>
        <w:spacing w:after="0" w:line="360" w:lineRule="auto"/>
        <w:ind w:left="567"/>
        <w:jc w:val="both"/>
        <w:rPr>
          <w:rFonts w:ascii="Times New Roman" w:hAnsi="Times New Roman" w:cs="Times New Roman"/>
          <w:i/>
        </w:rPr>
      </w:pPr>
      <w:r w:rsidRPr="00103341">
        <w:rPr>
          <w:rFonts w:ascii="Times New Roman" w:hAnsi="Times New Roman" w:cs="Times New Roman"/>
          <w:i/>
        </w:rPr>
        <w:t xml:space="preserve">Fonte: Nostre elaborazioni su dati </w:t>
      </w:r>
      <w:r>
        <w:rPr>
          <w:rFonts w:ascii="Times New Roman" w:hAnsi="Times New Roman" w:cs="Times New Roman"/>
          <w:i/>
        </w:rPr>
        <w:t xml:space="preserve">Thomson Reuters </w:t>
      </w:r>
      <w:proofErr w:type="spellStart"/>
      <w:r>
        <w:rPr>
          <w:rFonts w:ascii="Times New Roman" w:hAnsi="Times New Roman" w:cs="Times New Roman"/>
          <w:i/>
        </w:rPr>
        <w:t>Datastream</w:t>
      </w:r>
      <w:proofErr w:type="spellEnd"/>
      <w:r>
        <w:rPr>
          <w:rFonts w:ascii="Times New Roman" w:hAnsi="Times New Roman" w:cs="Times New Roman"/>
          <w:i/>
        </w:rPr>
        <w:t>.</w:t>
      </w:r>
    </w:p>
    <w:p w14:paraId="54C9455B" w14:textId="77777777" w:rsidR="0098276A" w:rsidRDefault="0098276A" w:rsidP="00195078">
      <w:pPr>
        <w:spacing w:after="0" w:line="360" w:lineRule="auto"/>
        <w:ind w:firstLine="567"/>
        <w:jc w:val="both"/>
        <w:rPr>
          <w:rFonts w:ascii="Times New Roman" w:hAnsi="Times New Roman" w:cs="Times New Roman"/>
          <w:sz w:val="26"/>
          <w:szCs w:val="26"/>
        </w:rPr>
      </w:pPr>
    </w:p>
    <w:p w14:paraId="4876A07B" w14:textId="77777777" w:rsidR="00195078" w:rsidRDefault="00195078" w:rsidP="00195078">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La crescita del sistema finanziario e l’evoluzione del servizio di consulenza agli investitori </w:t>
      </w:r>
      <w:proofErr w:type="gramStart"/>
      <w:r>
        <w:rPr>
          <w:rFonts w:ascii="Times New Roman" w:hAnsi="Times New Roman" w:cs="Times New Roman"/>
          <w:sz w:val="26"/>
          <w:szCs w:val="26"/>
        </w:rPr>
        <w:t>è</w:t>
      </w:r>
      <w:proofErr w:type="gramEnd"/>
      <w:r>
        <w:rPr>
          <w:rFonts w:ascii="Times New Roman" w:hAnsi="Times New Roman" w:cs="Times New Roman"/>
          <w:sz w:val="26"/>
          <w:szCs w:val="26"/>
        </w:rPr>
        <w:t xml:space="preserve"> in buona parte subordinato alla diffusione del principio che il portafoglio debba sempre essere il risultato di un processo </w:t>
      </w:r>
      <w:r w:rsidR="003F00DA">
        <w:rPr>
          <w:rFonts w:ascii="Times New Roman" w:hAnsi="Times New Roman" w:cs="Times New Roman"/>
          <w:sz w:val="26"/>
          <w:szCs w:val="26"/>
        </w:rPr>
        <w:t>ordinato</w:t>
      </w:r>
      <w:r>
        <w:rPr>
          <w:rFonts w:ascii="Times New Roman" w:hAnsi="Times New Roman" w:cs="Times New Roman"/>
          <w:sz w:val="26"/>
          <w:szCs w:val="26"/>
        </w:rPr>
        <w:t xml:space="preserve"> basato su step progressivi, nel quale la </w:t>
      </w:r>
      <w:r w:rsidRPr="00986949">
        <w:rPr>
          <w:rFonts w:ascii="Times New Roman" w:hAnsi="Times New Roman" w:cs="Times New Roman"/>
          <w:i/>
          <w:sz w:val="26"/>
          <w:szCs w:val="26"/>
        </w:rPr>
        <w:t xml:space="preserve">product </w:t>
      </w:r>
      <w:proofErr w:type="spellStart"/>
      <w:r w:rsidRPr="00986949">
        <w:rPr>
          <w:rFonts w:ascii="Times New Roman" w:hAnsi="Times New Roman" w:cs="Times New Roman"/>
          <w:i/>
          <w:sz w:val="26"/>
          <w:szCs w:val="26"/>
        </w:rPr>
        <w:t>selection</w:t>
      </w:r>
      <w:proofErr w:type="spellEnd"/>
      <w:r>
        <w:rPr>
          <w:rFonts w:ascii="Times New Roman" w:hAnsi="Times New Roman" w:cs="Times New Roman"/>
          <w:sz w:val="26"/>
          <w:szCs w:val="26"/>
        </w:rPr>
        <w:t xml:space="preserve"> è solo l’ultimo (e forse non il più </w:t>
      </w:r>
      <w:r>
        <w:rPr>
          <w:rFonts w:ascii="Times New Roman" w:hAnsi="Times New Roman" w:cs="Times New Roman"/>
          <w:sz w:val="26"/>
          <w:szCs w:val="26"/>
        </w:rPr>
        <w:lastRenderedPageBreak/>
        <w:t>importante</w:t>
      </w:r>
      <w:r w:rsidR="008F758F">
        <w:rPr>
          <w:rStyle w:val="Rimandonotaapidipagina"/>
          <w:rFonts w:ascii="Times New Roman" w:hAnsi="Times New Roman" w:cs="Times New Roman"/>
          <w:sz w:val="26"/>
          <w:szCs w:val="26"/>
        </w:rPr>
        <w:footnoteReference w:id="4"/>
      </w:r>
      <w:r>
        <w:rPr>
          <w:rFonts w:ascii="Times New Roman" w:hAnsi="Times New Roman" w:cs="Times New Roman"/>
          <w:sz w:val="26"/>
          <w:szCs w:val="26"/>
        </w:rPr>
        <w:t xml:space="preserve">) tassello. </w:t>
      </w:r>
      <w:r w:rsidR="006F7576">
        <w:rPr>
          <w:rFonts w:ascii="Times New Roman" w:hAnsi="Times New Roman" w:cs="Times New Roman"/>
          <w:sz w:val="26"/>
          <w:szCs w:val="26"/>
        </w:rPr>
        <w:t>Sia la</w:t>
      </w:r>
      <w:r>
        <w:rPr>
          <w:rFonts w:ascii="Times New Roman" w:hAnsi="Times New Roman" w:cs="Times New Roman"/>
          <w:sz w:val="26"/>
          <w:szCs w:val="26"/>
        </w:rPr>
        <w:t xml:space="preserve"> comunità scientifica</w:t>
      </w:r>
      <w:r w:rsidR="006F7576">
        <w:rPr>
          <w:rFonts w:ascii="Times New Roman" w:hAnsi="Times New Roman" w:cs="Times New Roman"/>
          <w:sz w:val="26"/>
          <w:szCs w:val="26"/>
        </w:rPr>
        <w:t xml:space="preserve">, sia </w:t>
      </w:r>
      <w:r>
        <w:rPr>
          <w:rFonts w:ascii="Times New Roman" w:hAnsi="Times New Roman" w:cs="Times New Roman"/>
          <w:sz w:val="26"/>
          <w:szCs w:val="26"/>
        </w:rPr>
        <w:t xml:space="preserve">quella finanziaria convergono nel riconoscere che la </w:t>
      </w:r>
      <w:r w:rsidRPr="00DE1011">
        <w:rPr>
          <w:rFonts w:ascii="Times New Roman" w:hAnsi="Times New Roman" w:cs="Times New Roman"/>
          <w:i/>
          <w:sz w:val="26"/>
          <w:szCs w:val="26"/>
        </w:rPr>
        <w:t xml:space="preserve">portfolio </w:t>
      </w:r>
      <w:proofErr w:type="spellStart"/>
      <w:r w:rsidRPr="00DE1011">
        <w:rPr>
          <w:rFonts w:ascii="Times New Roman" w:hAnsi="Times New Roman" w:cs="Times New Roman"/>
          <w:i/>
          <w:sz w:val="26"/>
          <w:szCs w:val="26"/>
        </w:rPr>
        <w:t>construction</w:t>
      </w:r>
      <w:proofErr w:type="spellEnd"/>
      <w:r>
        <w:rPr>
          <w:rFonts w:ascii="Times New Roman" w:hAnsi="Times New Roman" w:cs="Times New Roman"/>
          <w:sz w:val="26"/>
          <w:szCs w:val="26"/>
        </w:rPr>
        <w:t xml:space="preserve"> debba essere un processo organizzato su tre fasi:</w:t>
      </w:r>
    </w:p>
    <w:p w14:paraId="09F76228" w14:textId="77777777" w:rsidR="00195078" w:rsidRDefault="00195078" w:rsidP="00195078">
      <w:pPr>
        <w:pStyle w:val="Paragrafoelenco"/>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l’asset </w:t>
      </w:r>
      <w:proofErr w:type="spellStart"/>
      <w:r>
        <w:rPr>
          <w:rFonts w:ascii="Times New Roman" w:hAnsi="Times New Roman" w:cs="Times New Roman"/>
          <w:sz w:val="26"/>
          <w:szCs w:val="26"/>
        </w:rPr>
        <w:t>allocation</w:t>
      </w:r>
      <w:proofErr w:type="spellEnd"/>
      <w:r>
        <w:rPr>
          <w:rFonts w:ascii="Times New Roman" w:hAnsi="Times New Roman" w:cs="Times New Roman"/>
          <w:sz w:val="26"/>
          <w:szCs w:val="26"/>
        </w:rPr>
        <w:t xml:space="preserve"> strategica, con la quale si definisce - sulla base di previsioni di lungo termine e grazie a robusti modelli di ottimizzazione - la combinazione ottimale di asset class (o mercati) che l’investitore dovrebbe mantenere, in media, nell’intero orizzonte temporale di investimento; </w:t>
      </w:r>
    </w:p>
    <w:p w14:paraId="727D5957" w14:textId="77777777" w:rsidR="00195078" w:rsidRDefault="00195078" w:rsidP="00195078">
      <w:pPr>
        <w:pStyle w:val="Paragrafoelenco"/>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l’asset </w:t>
      </w:r>
      <w:proofErr w:type="spellStart"/>
      <w:r>
        <w:rPr>
          <w:rFonts w:ascii="Times New Roman" w:hAnsi="Times New Roman" w:cs="Times New Roman"/>
          <w:sz w:val="26"/>
          <w:szCs w:val="26"/>
        </w:rPr>
        <w:t>allocation</w:t>
      </w:r>
      <w:proofErr w:type="spellEnd"/>
      <w:r>
        <w:rPr>
          <w:rFonts w:ascii="Times New Roman" w:hAnsi="Times New Roman" w:cs="Times New Roman"/>
          <w:sz w:val="26"/>
          <w:szCs w:val="26"/>
        </w:rPr>
        <w:t xml:space="preserve"> tattica, con la quale si apportano - sulla base delle </w:t>
      </w:r>
      <w:proofErr w:type="spellStart"/>
      <w:r w:rsidR="003F00DA" w:rsidRPr="003F00DA">
        <w:rPr>
          <w:rFonts w:ascii="Times New Roman" w:hAnsi="Times New Roman" w:cs="Times New Roman"/>
          <w:i/>
          <w:sz w:val="26"/>
          <w:szCs w:val="26"/>
        </w:rPr>
        <w:t>view</w:t>
      </w:r>
      <w:proofErr w:type="spellEnd"/>
      <w:r>
        <w:rPr>
          <w:rFonts w:ascii="Times New Roman" w:hAnsi="Times New Roman" w:cs="Times New Roman"/>
          <w:sz w:val="26"/>
          <w:szCs w:val="26"/>
        </w:rPr>
        <w:t xml:space="preserve"> di breve termine - aggiustamenti periodici alla composizione strategica, nel tentativo di contribuire parzialmente alla performance dell’investitore, anticipando la dinamica attesa dei mercati;</w:t>
      </w:r>
    </w:p>
    <w:p w14:paraId="4DD96361" w14:textId="77777777" w:rsidR="00195078" w:rsidRPr="00CE324D" w:rsidRDefault="00195078" w:rsidP="00195078">
      <w:pPr>
        <w:pStyle w:val="Paragrafoelenco"/>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la selezione dei singoli prodotti, nella quale si procede - in coerenza con i pesi attribuiti ai singoli mercati e quindi subordinatamente alla necessità di creare un portafoglio in prodotti che sia i</w:t>
      </w:r>
      <w:r w:rsidR="006F7576">
        <w:rPr>
          <w:rFonts w:ascii="Times New Roman" w:hAnsi="Times New Roman" w:cs="Times New Roman"/>
          <w:sz w:val="26"/>
          <w:szCs w:val="26"/>
        </w:rPr>
        <w:t>n</w:t>
      </w:r>
      <w:r>
        <w:rPr>
          <w:rFonts w:ascii="Times New Roman" w:hAnsi="Times New Roman" w:cs="Times New Roman"/>
          <w:sz w:val="26"/>
          <w:szCs w:val="26"/>
        </w:rPr>
        <w:t xml:space="preserve"> linea con l’asset </w:t>
      </w:r>
      <w:proofErr w:type="spellStart"/>
      <w:r>
        <w:rPr>
          <w:rFonts w:ascii="Times New Roman" w:hAnsi="Times New Roman" w:cs="Times New Roman"/>
          <w:sz w:val="26"/>
          <w:szCs w:val="26"/>
        </w:rPr>
        <w:t>allocation</w:t>
      </w:r>
      <w:proofErr w:type="spellEnd"/>
      <w:r>
        <w:rPr>
          <w:rFonts w:ascii="Times New Roman" w:hAnsi="Times New Roman" w:cs="Times New Roman"/>
          <w:sz w:val="26"/>
          <w:szCs w:val="26"/>
        </w:rPr>
        <w:t xml:space="preserve"> complessiva - alla selezione dei prodotti</w:t>
      </w:r>
      <w:r w:rsidR="006F7576">
        <w:rPr>
          <w:rFonts w:ascii="Times New Roman" w:hAnsi="Times New Roman" w:cs="Times New Roman"/>
          <w:sz w:val="26"/>
          <w:szCs w:val="26"/>
        </w:rPr>
        <w:t>/strumenti</w:t>
      </w:r>
      <w:r>
        <w:rPr>
          <w:rFonts w:ascii="Times New Roman" w:hAnsi="Times New Roman" w:cs="Times New Roman"/>
          <w:sz w:val="26"/>
          <w:szCs w:val="26"/>
        </w:rPr>
        <w:t xml:space="preserve"> ritenuti migliori. </w:t>
      </w:r>
    </w:p>
    <w:p w14:paraId="27C654FC" w14:textId="77777777" w:rsidR="006F7576" w:rsidRDefault="006F7576" w:rsidP="00095829">
      <w:pPr>
        <w:spacing w:after="0" w:line="360" w:lineRule="auto"/>
        <w:ind w:firstLine="567"/>
        <w:jc w:val="both"/>
        <w:rPr>
          <w:rFonts w:ascii="Times New Roman" w:hAnsi="Times New Roman" w:cs="Times New Roman"/>
          <w:sz w:val="26"/>
          <w:szCs w:val="26"/>
        </w:rPr>
      </w:pPr>
    </w:p>
    <w:p w14:paraId="7EB70BBA" w14:textId="77777777" w:rsidR="00DE1011" w:rsidRDefault="00BD50A4" w:rsidP="00095829">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Partendo</w:t>
      </w:r>
      <w:r w:rsidR="006F7576">
        <w:rPr>
          <w:rFonts w:ascii="Times New Roman" w:hAnsi="Times New Roman" w:cs="Times New Roman"/>
          <w:sz w:val="26"/>
          <w:szCs w:val="26"/>
        </w:rPr>
        <w:t>,</w:t>
      </w:r>
      <w:r>
        <w:rPr>
          <w:rFonts w:ascii="Times New Roman" w:hAnsi="Times New Roman" w:cs="Times New Roman"/>
          <w:sz w:val="26"/>
          <w:szCs w:val="26"/>
        </w:rPr>
        <w:t xml:space="preserve"> dunque</w:t>
      </w:r>
      <w:r w:rsidR="006F7576">
        <w:rPr>
          <w:rFonts w:ascii="Times New Roman" w:hAnsi="Times New Roman" w:cs="Times New Roman"/>
          <w:sz w:val="26"/>
          <w:szCs w:val="26"/>
        </w:rPr>
        <w:t>,</w:t>
      </w:r>
      <w:r>
        <w:rPr>
          <w:rFonts w:ascii="Times New Roman" w:hAnsi="Times New Roman" w:cs="Times New Roman"/>
          <w:sz w:val="26"/>
          <w:szCs w:val="26"/>
        </w:rPr>
        <w:t xml:space="preserve"> dal presupposto che un portafoglio nasca nel pieno rispetto di questo iter procedurale in grado di evidenziare e separare i tre principali </w:t>
      </w:r>
      <w:r w:rsidRPr="00BD50A4">
        <w:rPr>
          <w:rFonts w:ascii="Times New Roman" w:hAnsi="Times New Roman" w:cs="Times New Roman"/>
          <w:i/>
          <w:sz w:val="26"/>
          <w:szCs w:val="26"/>
        </w:rPr>
        <w:t>driver</w:t>
      </w:r>
      <w:r>
        <w:rPr>
          <w:rFonts w:ascii="Times New Roman" w:hAnsi="Times New Roman" w:cs="Times New Roman"/>
          <w:sz w:val="26"/>
          <w:szCs w:val="26"/>
        </w:rPr>
        <w:t xml:space="preserve"> della performance di un portafoglio (la capacità di prevedere i mercati nel lungo termine, la capacità di prevedere i mercati nel breve termine e la capacità di selezionare i migliori prodotti</w:t>
      </w:r>
      <w:r w:rsidR="006F7576">
        <w:rPr>
          <w:rFonts w:ascii="Times New Roman" w:hAnsi="Times New Roman" w:cs="Times New Roman"/>
          <w:sz w:val="26"/>
          <w:szCs w:val="26"/>
        </w:rPr>
        <w:t>/strumenti</w:t>
      </w:r>
      <w:r>
        <w:rPr>
          <w:rFonts w:ascii="Times New Roman" w:hAnsi="Times New Roman" w:cs="Times New Roman"/>
          <w:sz w:val="26"/>
          <w:szCs w:val="26"/>
        </w:rPr>
        <w:t xml:space="preserve">), questo </w:t>
      </w:r>
      <w:r w:rsidR="006F7576">
        <w:rPr>
          <w:rFonts w:ascii="Times New Roman" w:hAnsi="Times New Roman" w:cs="Times New Roman"/>
          <w:sz w:val="26"/>
          <w:szCs w:val="26"/>
        </w:rPr>
        <w:t xml:space="preserve">contributo </w:t>
      </w:r>
      <w:r>
        <w:rPr>
          <w:rFonts w:ascii="Times New Roman" w:hAnsi="Times New Roman" w:cs="Times New Roman"/>
          <w:sz w:val="26"/>
          <w:szCs w:val="26"/>
        </w:rPr>
        <w:t>intende indagare il ruolo assunto dai fondi flessibili, al fine di definire i contorni di un</w:t>
      </w:r>
      <w:r w:rsidR="006A47A2">
        <w:rPr>
          <w:rFonts w:ascii="Times New Roman" w:hAnsi="Times New Roman" w:cs="Times New Roman"/>
          <w:sz w:val="26"/>
          <w:szCs w:val="26"/>
        </w:rPr>
        <w:t xml:space="preserve"> loro</w:t>
      </w:r>
      <w:r>
        <w:rPr>
          <w:rFonts w:ascii="Times New Roman" w:hAnsi="Times New Roman" w:cs="Times New Roman"/>
          <w:sz w:val="26"/>
          <w:szCs w:val="26"/>
        </w:rPr>
        <w:t xml:space="preserve"> uso razionale che non metta a rischio </w:t>
      </w:r>
      <w:r w:rsidR="007845DA">
        <w:rPr>
          <w:rFonts w:ascii="Times New Roman" w:hAnsi="Times New Roman" w:cs="Times New Roman"/>
          <w:sz w:val="26"/>
          <w:szCs w:val="26"/>
        </w:rPr>
        <w:t xml:space="preserve">la </w:t>
      </w:r>
      <w:r w:rsidR="006A47A2">
        <w:rPr>
          <w:rFonts w:ascii="Times New Roman" w:hAnsi="Times New Roman" w:cs="Times New Roman"/>
          <w:sz w:val="26"/>
          <w:szCs w:val="26"/>
        </w:rPr>
        <w:t>r</w:t>
      </w:r>
      <w:r w:rsidR="006F7576">
        <w:rPr>
          <w:rFonts w:ascii="Times New Roman" w:hAnsi="Times New Roman" w:cs="Times New Roman"/>
          <w:sz w:val="26"/>
          <w:szCs w:val="26"/>
        </w:rPr>
        <w:t xml:space="preserve">obustezza </w:t>
      </w:r>
      <w:r w:rsidR="006A47A2">
        <w:rPr>
          <w:rFonts w:ascii="Times New Roman" w:hAnsi="Times New Roman" w:cs="Times New Roman"/>
          <w:sz w:val="26"/>
          <w:szCs w:val="26"/>
        </w:rPr>
        <w:t xml:space="preserve">del processo di </w:t>
      </w:r>
      <w:r w:rsidR="006A47A2" w:rsidRPr="006A47A2">
        <w:rPr>
          <w:rFonts w:ascii="Times New Roman" w:hAnsi="Times New Roman" w:cs="Times New Roman"/>
          <w:i/>
          <w:sz w:val="26"/>
          <w:szCs w:val="26"/>
        </w:rPr>
        <w:t xml:space="preserve">asset </w:t>
      </w:r>
      <w:proofErr w:type="spellStart"/>
      <w:r w:rsidR="006A47A2" w:rsidRPr="006A47A2">
        <w:rPr>
          <w:rFonts w:ascii="Times New Roman" w:hAnsi="Times New Roman" w:cs="Times New Roman"/>
          <w:i/>
          <w:sz w:val="26"/>
          <w:szCs w:val="26"/>
        </w:rPr>
        <w:t>allocation</w:t>
      </w:r>
      <w:proofErr w:type="spellEnd"/>
      <w:r w:rsidR="006A47A2">
        <w:rPr>
          <w:rFonts w:ascii="Times New Roman" w:hAnsi="Times New Roman" w:cs="Times New Roman"/>
          <w:sz w:val="26"/>
          <w:szCs w:val="26"/>
        </w:rPr>
        <w:t xml:space="preserve"> </w:t>
      </w:r>
      <w:r w:rsidR="00867069">
        <w:rPr>
          <w:rFonts w:ascii="Times New Roman" w:hAnsi="Times New Roman" w:cs="Times New Roman"/>
          <w:sz w:val="26"/>
          <w:szCs w:val="26"/>
        </w:rPr>
        <w:t>e</w:t>
      </w:r>
      <w:r w:rsidR="006A47A2" w:rsidRPr="006A47A2">
        <w:rPr>
          <w:rFonts w:ascii="Times New Roman" w:hAnsi="Times New Roman" w:cs="Times New Roman"/>
          <w:i/>
          <w:sz w:val="26"/>
          <w:szCs w:val="26"/>
        </w:rPr>
        <w:t xml:space="preserve"> </w:t>
      </w:r>
      <w:r w:rsidR="006F7576">
        <w:rPr>
          <w:rFonts w:ascii="Times New Roman" w:hAnsi="Times New Roman" w:cs="Times New Roman"/>
          <w:i/>
          <w:sz w:val="26"/>
          <w:szCs w:val="26"/>
        </w:rPr>
        <w:t xml:space="preserve">di </w:t>
      </w:r>
      <w:r w:rsidR="006A47A2" w:rsidRPr="006A47A2">
        <w:rPr>
          <w:rFonts w:ascii="Times New Roman" w:hAnsi="Times New Roman" w:cs="Times New Roman"/>
          <w:i/>
          <w:sz w:val="26"/>
          <w:szCs w:val="26"/>
        </w:rPr>
        <w:t xml:space="preserve">product </w:t>
      </w:r>
      <w:proofErr w:type="spellStart"/>
      <w:r w:rsidR="006A47A2" w:rsidRPr="006A47A2">
        <w:rPr>
          <w:rFonts w:ascii="Times New Roman" w:hAnsi="Times New Roman" w:cs="Times New Roman"/>
          <w:i/>
          <w:sz w:val="26"/>
          <w:szCs w:val="26"/>
        </w:rPr>
        <w:t>s</w:t>
      </w:r>
      <w:r w:rsidR="00B87949">
        <w:rPr>
          <w:rFonts w:ascii="Times New Roman" w:hAnsi="Times New Roman" w:cs="Times New Roman"/>
          <w:i/>
          <w:sz w:val="26"/>
          <w:szCs w:val="26"/>
        </w:rPr>
        <w:t>e</w:t>
      </w:r>
      <w:r w:rsidR="006A47A2" w:rsidRPr="006A47A2">
        <w:rPr>
          <w:rFonts w:ascii="Times New Roman" w:hAnsi="Times New Roman" w:cs="Times New Roman"/>
          <w:i/>
          <w:sz w:val="26"/>
          <w:szCs w:val="26"/>
        </w:rPr>
        <w:t>lection</w:t>
      </w:r>
      <w:proofErr w:type="spellEnd"/>
      <w:r w:rsidR="006A47A2">
        <w:rPr>
          <w:rFonts w:ascii="Times New Roman" w:hAnsi="Times New Roman" w:cs="Times New Roman"/>
          <w:sz w:val="26"/>
          <w:szCs w:val="26"/>
        </w:rPr>
        <w:t>.</w:t>
      </w:r>
    </w:p>
    <w:p w14:paraId="4F49EA03" w14:textId="24834324" w:rsidR="00837183" w:rsidRDefault="006A47A2" w:rsidP="00095829">
      <w:pPr>
        <w:spacing w:after="0" w:line="360" w:lineRule="auto"/>
        <w:ind w:firstLine="567"/>
        <w:jc w:val="both"/>
        <w:rPr>
          <w:rFonts w:ascii="Times New Roman" w:hAnsi="Times New Roman" w:cs="Times New Roman"/>
          <w:sz w:val="26"/>
          <w:szCs w:val="26"/>
        </w:rPr>
      </w:pPr>
      <w:r w:rsidRPr="00E95970">
        <w:rPr>
          <w:rFonts w:ascii="Times New Roman" w:hAnsi="Times New Roman" w:cs="Times New Roman"/>
          <w:sz w:val="26"/>
          <w:szCs w:val="26"/>
        </w:rPr>
        <w:t xml:space="preserve">Il lavoro è strutturato nel modo seguente: </w:t>
      </w:r>
      <w:r w:rsidR="004B6831" w:rsidRPr="00E95970">
        <w:rPr>
          <w:rFonts w:ascii="Times New Roman" w:hAnsi="Times New Roman" w:cs="Times New Roman"/>
          <w:sz w:val="26"/>
          <w:szCs w:val="26"/>
        </w:rPr>
        <w:t>nel paragrafo</w:t>
      </w:r>
      <w:r w:rsidR="00867069" w:rsidRPr="00E95970">
        <w:rPr>
          <w:rFonts w:ascii="Times New Roman" w:hAnsi="Times New Roman" w:cs="Times New Roman"/>
          <w:sz w:val="26"/>
          <w:szCs w:val="26"/>
        </w:rPr>
        <w:t xml:space="preserve"> 2 si effettu</w:t>
      </w:r>
      <w:r w:rsidR="003F00DA" w:rsidRPr="00E95970">
        <w:rPr>
          <w:rFonts w:ascii="Times New Roman" w:hAnsi="Times New Roman" w:cs="Times New Roman"/>
          <w:sz w:val="26"/>
          <w:szCs w:val="26"/>
        </w:rPr>
        <w:t>a</w:t>
      </w:r>
      <w:r w:rsidR="00867069" w:rsidRPr="00E95970">
        <w:rPr>
          <w:rFonts w:ascii="Times New Roman" w:hAnsi="Times New Roman" w:cs="Times New Roman"/>
          <w:sz w:val="26"/>
          <w:szCs w:val="26"/>
        </w:rPr>
        <w:t xml:space="preserve"> una analisi del comparto dei fondi flessibili, allo scopo di </w:t>
      </w:r>
      <w:r w:rsidR="006F7576">
        <w:rPr>
          <w:rFonts w:ascii="Times New Roman" w:hAnsi="Times New Roman" w:cs="Times New Roman"/>
          <w:sz w:val="26"/>
          <w:szCs w:val="26"/>
        </w:rPr>
        <w:t>riflettere sulle</w:t>
      </w:r>
      <w:r w:rsidR="00867069" w:rsidRPr="00E95970">
        <w:rPr>
          <w:rFonts w:ascii="Times New Roman" w:hAnsi="Times New Roman" w:cs="Times New Roman"/>
          <w:sz w:val="26"/>
          <w:szCs w:val="26"/>
        </w:rPr>
        <w:t xml:space="preserve"> ragioni alla base del </w:t>
      </w:r>
      <w:r w:rsidR="003448B5" w:rsidRPr="00E95970">
        <w:rPr>
          <w:rFonts w:ascii="Times New Roman" w:hAnsi="Times New Roman" w:cs="Times New Roman"/>
          <w:sz w:val="26"/>
          <w:szCs w:val="26"/>
        </w:rPr>
        <w:t xml:space="preserve">loro </w:t>
      </w:r>
      <w:r w:rsidR="00867069" w:rsidRPr="00E95970">
        <w:rPr>
          <w:rFonts w:ascii="Times New Roman" w:hAnsi="Times New Roman" w:cs="Times New Roman"/>
          <w:sz w:val="26"/>
          <w:szCs w:val="26"/>
        </w:rPr>
        <w:t>successo</w:t>
      </w:r>
      <w:r w:rsidR="004E06B8" w:rsidRPr="00E95970">
        <w:rPr>
          <w:rFonts w:ascii="Times New Roman" w:hAnsi="Times New Roman" w:cs="Times New Roman"/>
          <w:sz w:val="26"/>
          <w:szCs w:val="26"/>
        </w:rPr>
        <w:t xml:space="preserve">; il paragrafo </w:t>
      </w:r>
      <w:r w:rsidR="00120B5D" w:rsidRPr="00E95970">
        <w:rPr>
          <w:rFonts w:ascii="Times New Roman" w:hAnsi="Times New Roman" w:cs="Times New Roman"/>
          <w:sz w:val="26"/>
          <w:szCs w:val="26"/>
        </w:rPr>
        <w:t>3</w:t>
      </w:r>
      <w:r w:rsidR="004E06B8" w:rsidRPr="00E95970">
        <w:rPr>
          <w:rFonts w:ascii="Times New Roman" w:hAnsi="Times New Roman" w:cs="Times New Roman"/>
          <w:sz w:val="26"/>
          <w:szCs w:val="26"/>
        </w:rPr>
        <w:t xml:space="preserve"> è dedicato </w:t>
      </w:r>
      <w:r w:rsidR="00120B5D" w:rsidRPr="00E95970">
        <w:rPr>
          <w:rFonts w:ascii="Times New Roman" w:hAnsi="Times New Roman" w:cs="Times New Roman"/>
          <w:sz w:val="26"/>
          <w:szCs w:val="26"/>
        </w:rPr>
        <w:t>al</w:t>
      </w:r>
      <w:r w:rsidR="006F7576">
        <w:rPr>
          <w:rFonts w:ascii="Times New Roman" w:hAnsi="Times New Roman" w:cs="Times New Roman"/>
          <w:sz w:val="26"/>
          <w:szCs w:val="26"/>
        </w:rPr>
        <w:t xml:space="preserve">l’individuazione di un processo razionale finalizzato al </w:t>
      </w:r>
      <w:r w:rsidR="005D0336" w:rsidRPr="00E95970">
        <w:rPr>
          <w:rFonts w:ascii="Times New Roman" w:hAnsi="Times New Roman" w:cs="Times New Roman"/>
          <w:sz w:val="26"/>
          <w:szCs w:val="26"/>
        </w:rPr>
        <w:t>loro</w:t>
      </w:r>
      <w:r w:rsidR="003448B5" w:rsidRPr="00E95970">
        <w:rPr>
          <w:rFonts w:ascii="Times New Roman" w:hAnsi="Times New Roman" w:cs="Times New Roman"/>
          <w:sz w:val="26"/>
          <w:szCs w:val="26"/>
        </w:rPr>
        <w:t xml:space="preserve"> </w:t>
      </w:r>
      <w:r w:rsidR="00120B5D" w:rsidRPr="00E95970">
        <w:rPr>
          <w:rFonts w:ascii="Times New Roman" w:hAnsi="Times New Roman" w:cs="Times New Roman"/>
          <w:sz w:val="26"/>
          <w:szCs w:val="26"/>
        </w:rPr>
        <w:t>u</w:t>
      </w:r>
      <w:r w:rsidR="003448B5" w:rsidRPr="00E95970">
        <w:rPr>
          <w:rFonts w:ascii="Times New Roman" w:hAnsi="Times New Roman" w:cs="Times New Roman"/>
          <w:sz w:val="26"/>
          <w:szCs w:val="26"/>
        </w:rPr>
        <w:t>tilizzo, cioè subordinato</w:t>
      </w:r>
      <w:r w:rsidR="005D0336" w:rsidRPr="00E95970">
        <w:rPr>
          <w:rFonts w:ascii="Times New Roman" w:hAnsi="Times New Roman" w:cs="Times New Roman"/>
          <w:sz w:val="26"/>
          <w:szCs w:val="26"/>
        </w:rPr>
        <w:t xml:space="preserve"> </w:t>
      </w:r>
      <w:r w:rsidR="003448B5" w:rsidRPr="00E95970">
        <w:rPr>
          <w:rFonts w:ascii="Times New Roman" w:hAnsi="Times New Roman" w:cs="Times New Roman"/>
          <w:sz w:val="26"/>
          <w:szCs w:val="26"/>
        </w:rPr>
        <w:t>al</w:t>
      </w:r>
      <w:r w:rsidR="005D0336" w:rsidRPr="00E95970">
        <w:rPr>
          <w:rFonts w:ascii="Times New Roman" w:hAnsi="Times New Roman" w:cs="Times New Roman"/>
          <w:sz w:val="26"/>
          <w:szCs w:val="26"/>
        </w:rPr>
        <w:t xml:space="preserve">la necessità di </w:t>
      </w:r>
      <w:r w:rsidR="005D0336" w:rsidRPr="00E95970">
        <w:rPr>
          <w:rFonts w:ascii="Times New Roman" w:hAnsi="Times New Roman" w:cs="Times New Roman"/>
          <w:sz w:val="26"/>
          <w:szCs w:val="26"/>
        </w:rPr>
        <w:lastRenderedPageBreak/>
        <w:t>implementare</w:t>
      </w:r>
      <w:r w:rsidR="00120B5D" w:rsidRPr="00E95970">
        <w:rPr>
          <w:rFonts w:ascii="Times New Roman" w:hAnsi="Times New Roman" w:cs="Times New Roman"/>
          <w:sz w:val="26"/>
          <w:szCs w:val="26"/>
        </w:rPr>
        <w:t xml:space="preserve"> un processo disciplinato di costruzione del portafoglio</w:t>
      </w:r>
      <w:r w:rsidR="003448B5" w:rsidRPr="00E95970">
        <w:rPr>
          <w:rFonts w:ascii="Times New Roman" w:hAnsi="Times New Roman" w:cs="Times New Roman"/>
          <w:sz w:val="26"/>
          <w:szCs w:val="26"/>
        </w:rPr>
        <w:t xml:space="preserve">; nel paragrafo 4 </w:t>
      </w:r>
      <w:r w:rsidR="00E95970">
        <w:rPr>
          <w:rFonts w:ascii="Times New Roman" w:hAnsi="Times New Roman" w:cs="Times New Roman"/>
          <w:sz w:val="26"/>
          <w:szCs w:val="26"/>
        </w:rPr>
        <w:t>viene svolta</w:t>
      </w:r>
      <w:r w:rsidR="003448B5" w:rsidRPr="00E95970">
        <w:rPr>
          <w:rFonts w:ascii="Times New Roman" w:hAnsi="Times New Roman" w:cs="Times New Roman"/>
          <w:sz w:val="26"/>
          <w:szCs w:val="26"/>
        </w:rPr>
        <w:t xml:space="preserve"> un</w:t>
      </w:r>
      <w:r w:rsidR="00C15467">
        <w:rPr>
          <w:rFonts w:ascii="Times New Roman" w:hAnsi="Times New Roman" w:cs="Times New Roman"/>
          <w:sz w:val="26"/>
          <w:szCs w:val="26"/>
        </w:rPr>
        <w:t>’</w:t>
      </w:r>
      <w:r w:rsidR="00E26048">
        <w:rPr>
          <w:rFonts w:ascii="Times New Roman" w:hAnsi="Times New Roman" w:cs="Times New Roman"/>
          <w:sz w:val="26"/>
          <w:szCs w:val="26"/>
        </w:rPr>
        <w:t>analisi</w:t>
      </w:r>
      <w:r w:rsidR="003448B5" w:rsidRPr="00E95970">
        <w:rPr>
          <w:rFonts w:ascii="Times New Roman" w:hAnsi="Times New Roman" w:cs="Times New Roman"/>
          <w:sz w:val="26"/>
          <w:szCs w:val="26"/>
        </w:rPr>
        <w:t xml:space="preserve"> empirica finalizzata a </w:t>
      </w:r>
      <w:r w:rsidR="00E26048">
        <w:rPr>
          <w:rFonts w:ascii="Times New Roman" w:hAnsi="Times New Roman" w:cs="Times New Roman"/>
          <w:sz w:val="26"/>
          <w:szCs w:val="26"/>
        </w:rPr>
        <w:t>verificare</w:t>
      </w:r>
      <w:r w:rsidR="003448B5" w:rsidRPr="00E95970">
        <w:rPr>
          <w:rFonts w:ascii="Times New Roman" w:hAnsi="Times New Roman" w:cs="Times New Roman"/>
          <w:sz w:val="26"/>
          <w:szCs w:val="26"/>
        </w:rPr>
        <w:t xml:space="preserve"> la capacità media dei fondi flessibili di batter</w:t>
      </w:r>
      <w:r w:rsidR="003448B5">
        <w:rPr>
          <w:rFonts w:ascii="Times New Roman" w:hAnsi="Times New Roman" w:cs="Times New Roman"/>
          <w:sz w:val="26"/>
          <w:szCs w:val="26"/>
        </w:rPr>
        <w:t xml:space="preserve">e il mercato; </w:t>
      </w:r>
      <w:r w:rsidR="00035F9D">
        <w:rPr>
          <w:rFonts w:ascii="Times New Roman" w:hAnsi="Times New Roman" w:cs="Times New Roman"/>
          <w:sz w:val="26"/>
          <w:szCs w:val="26"/>
        </w:rPr>
        <w:t xml:space="preserve">nel paragrafo 5 si propone un criterio di </w:t>
      </w:r>
      <w:r w:rsidR="00E710EE">
        <w:rPr>
          <w:rFonts w:ascii="Times New Roman" w:hAnsi="Times New Roman" w:cs="Times New Roman"/>
          <w:sz w:val="26"/>
          <w:szCs w:val="26"/>
        </w:rPr>
        <w:t>classificazione</w:t>
      </w:r>
      <w:r w:rsidR="00035F9D">
        <w:rPr>
          <w:rFonts w:ascii="Times New Roman" w:hAnsi="Times New Roman" w:cs="Times New Roman"/>
          <w:sz w:val="26"/>
          <w:szCs w:val="26"/>
        </w:rPr>
        <w:t xml:space="preserve">; </w:t>
      </w:r>
      <w:r w:rsidR="003448B5">
        <w:rPr>
          <w:rFonts w:ascii="Times New Roman" w:hAnsi="Times New Roman" w:cs="Times New Roman"/>
          <w:sz w:val="26"/>
          <w:szCs w:val="26"/>
        </w:rPr>
        <w:t xml:space="preserve">seguono le conclusioni (paragrafo </w:t>
      </w:r>
      <w:r w:rsidR="00035F9D">
        <w:rPr>
          <w:rFonts w:ascii="Times New Roman" w:hAnsi="Times New Roman" w:cs="Times New Roman"/>
          <w:sz w:val="26"/>
          <w:szCs w:val="26"/>
        </w:rPr>
        <w:t>6</w:t>
      </w:r>
      <w:r w:rsidR="003448B5">
        <w:rPr>
          <w:rFonts w:ascii="Times New Roman" w:hAnsi="Times New Roman" w:cs="Times New Roman"/>
          <w:sz w:val="26"/>
          <w:szCs w:val="26"/>
        </w:rPr>
        <w:t>).</w:t>
      </w:r>
      <w:r w:rsidR="00867069">
        <w:rPr>
          <w:rFonts w:ascii="Times New Roman" w:hAnsi="Times New Roman" w:cs="Times New Roman"/>
          <w:sz w:val="26"/>
          <w:szCs w:val="26"/>
        </w:rPr>
        <w:t xml:space="preserve"> </w:t>
      </w:r>
    </w:p>
    <w:p w14:paraId="61A35047" w14:textId="77777777" w:rsidR="00120B5D" w:rsidRPr="00CC4B64" w:rsidRDefault="00CC4B64" w:rsidP="00120B5D">
      <w:pPr>
        <w:pStyle w:val="Titolo1"/>
        <w:numPr>
          <w:ilvl w:val="0"/>
          <w:numId w:val="3"/>
        </w:numPr>
        <w:spacing w:after="120"/>
        <w:ind w:left="425" w:hanging="425"/>
        <w:rPr>
          <w:rFonts w:ascii="Times New Roman" w:hAnsi="Times New Roman" w:cs="Times New Roman"/>
          <w:color w:val="auto"/>
          <w:sz w:val="26"/>
          <w:szCs w:val="26"/>
        </w:rPr>
      </w:pPr>
      <w:bookmarkStart w:id="1" w:name="_Toc30702197"/>
      <w:r w:rsidRPr="00120B5D">
        <w:rPr>
          <w:rFonts w:ascii="Times New Roman" w:hAnsi="Times New Roman" w:cs="Times New Roman"/>
          <w:color w:val="auto"/>
          <w:sz w:val="26"/>
          <w:szCs w:val="26"/>
        </w:rPr>
        <w:t>Un “mare magnum” chiamato Fondi Flessibili</w:t>
      </w:r>
      <w:bookmarkEnd w:id="1"/>
    </w:p>
    <w:p w14:paraId="514B8FCE" w14:textId="77777777" w:rsidR="008467EE" w:rsidRDefault="00D0011B" w:rsidP="00095829">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L’analisi</w:t>
      </w:r>
      <w:r w:rsidR="000035C9">
        <w:rPr>
          <w:rFonts w:ascii="Times New Roman" w:hAnsi="Times New Roman" w:cs="Times New Roman"/>
          <w:sz w:val="26"/>
          <w:szCs w:val="26"/>
        </w:rPr>
        <w:t xml:space="preserve"> </w:t>
      </w:r>
      <w:r>
        <w:rPr>
          <w:rFonts w:ascii="Times New Roman" w:hAnsi="Times New Roman" w:cs="Times New Roman"/>
          <w:sz w:val="26"/>
          <w:szCs w:val="26"/>
        </w:rPr>
        <w:t>del</w:t>
      </w:r>
      <w:r w:rsidR="000035C9">
        <w:rPr>
          <w:rFonts w:ascii="Times New Roman" w:hAnsi="Times New Roman" w:cs="Times New Roman"/>
          <w:sz w:val="26"/>
          <w:szCs w:val="26"/>
        </w:rPr>
        <w:t xml:space="preserve">la famiglia dei fondi flessibili </w:t>
      </w:r>
      <w:r>
        <w:rPr>
          <w:rFonts w:ascii="Times New Roman" w:hAnsi="Times New Roman" w:cs="Times New Roman"/>
          <w:sz w:val="26"/>
          <w:szCs w:val="26"/>
        </w:rPr>
        <w:t>ci pone di</w:t>
      </w:r>
      <w:r w:rsidR="00AE2740">
        <w:rPr>
          <w:rFonts w:ascii="Times New Roman" w:hAnsi="Times New Roman" w:cs="Times New Roman"/>
          <w:sz w:val="26"/>
          <w:szCs w:val="26"/>
        </w:rPr>
        <w:t xml:space="preserve"> fronte ad una </w:t>
      </w:r>
      <w:r w:rsidR="00B17D0B">
        <w:rPr>
          <w:rFonts w:ascii="Times New Roman" w:hAnsi="Times New Roman" w:cs="Times New Roman"/>
          <w:sz w:val="26"/>
          <w:szCs w:val="26"/>
        </w:rPr>
        <w:t xml:space="preserve">grande </w:t>
      </w:r>
      <w:r w:rsidR="00CF32FA">
        <w:rPr>
          <w:rFonts w:ascii="Times New Roman" w:hAnsi="Times New Roman" w:cs="Times New Roman"/>
          <w:sz w:val="26"/>
          <w:szCs w:val="26"/>
        </w:rPr>
        <w:t>quantità</w:t>
      </w:r>
      <w:r w:rsidR="00B17D0B">
        <w:rPr>
          <w:rFonts w:ascii="Times New Roman" w:hAnsi="Times New Roman" w:cs="Times New Roman"/>
          <w:sz w:val="26"/>
          <w:szCs w:val="26"/>
        </w:rPr>
        <w:t xml:space="preserve"> di prodotti fortemente eterogenea. La definizione di </w:t>
      </w:r>
      <w:r w:rsidR="00D9363A">
        <w:rPr>
          <w:rFonts w:ascii="Times New Roman" w:hAnsi="Times New Roman" w:cs="Times New Roman"/>
          <w:sz w:val="26"/>
          <w:szCs w:val="26"/>
        </w:rPr>
        <w:t xml:space="preserve">fondo </w:t>
      </w:r>
      <w:r w:rsidR="00B17D0B">
        <w:rPr>
          <w:rFonts w:ascii="Times New Roman" w:hAnsi="Times New Roman" w:cs="Times New Roman"/>
          <w:sz w:val="26"/>
          <w:szCs w:val="26"/>
        </w:rPr>
        <w:t>flessibile</w:t>
      </w:r>
      <w:r w:rsidR="00D9363A">
        <w:rPr>
          <w:rFonts w:ascii="Times New Roman" w:hAnsi="Times New Roman" w:cs="Times New Roman"/>
          <w:sz w:val="26"/>
          <w:szCs w:val="26"/>
        </w:rPr>
        <w:t>, infatti,</w:t>
      </w:r>
      <w:r w:rsidR="00B17D0B">
        <w:rPr>
          <w:rFonts w:ascii="Times New Roman" w:hAnsi="Times New Roman" w:cs="Times New Roman"/>
          <w:sz w:val="26"/>
          <w:szCs w:val="26"/>
        </w:rPr>
        <w:t xml:space="preserve"> è così estesa da poter ricomprendere soluzioni di investimento molto diverse tra loro. </w:t>
      </w:r>
      <w:r w:rsidR="008467EE">
        <w:rPr>
          <w:rFonts w:ascii="Times New Roman" w:hAnsi="Times New Roman" w:cs="Times New Roman"/>
          <w:sz w:val="26"/>
          <w:szCs w:val="26"/>
        </w:rPr>
        <w:t xml:space="preserve">Tali prodotti </w:t>
      </w:r>
      <w:r w:rsidR="009F0D3D">
        <w:rPr>
          <w:rFonts w:ascii="Times New Roman" w:hAnsi="Times New Roman" w:cs="Times New Roman"/>
          <w:sz w:val="26"/>
          <w:szCs w:val="26"/>
        </w:rPr>
        <w:t>condividono</w:t>
      </w:r>
      <w:r w:rsidR="008467EE">
        <w:rPr>
          <w:rFonts w:ascii="Times New Roman" w:hAnsi="Times New Roman" w:cs="Times New Roman"/>
          <w:sz w:val="26"/>
          <w:szCs w:val="26"/>
        </w:rPr>
        <w:t xml:space="preserve"> l</w:t>
      </w:r>
      <w:r w:rsidR="009F0D3D">
        <w:rPr>
          <w:rFonts w:ascii="Times New Roman" w:hAnsi="Times New Roman" w:cs="Times New Roman"/>
          <w:sz w:val="26"/>
          <w:szCs w:val="26"/>
        </w:rPr>
        <w:t>e</w:t>
      </w:r>
      <w:r w:rsidR="008467EE">
        <w:rPr>
          <w:rFonts w:ascii="Times New Roman" w:hAnsi="Times New Roman" w:cs="Times New Roman"/>
          <w:sz w:val="26"/>
          <w:szCs w:val="26"/>
        </w:rPr>
        <w:t xml:space="preserve"> peculiarità di non essere soggetti</w:t>
      </w:r>
      <w:r w:rsidR="00D9363A">
        <w:rPr>
          <w:rFonts w:ascii="Times New Roman" w:hAnsi="Times New Roman" w:cs="Times New Roman"/>
          <w:sz w:val="26"/>
          <w:szCs w:val="26"/>
        </w:rPr>
        <w:t xml:space="preserve"> né </w:t>
      </w:r>
      <w:r w:rsidR="008467EE">
        <w:rPr>
          <w:rFonts w:ascii="Times New Roman" w:hAnsi="Times New Roman" w:cs="Times New Roman"/>
          <w:sz w:val="26"/>
          <w:szCs w:val="26"/>
        </w:rPr>
        <w:t xml:space="preserve">a vincoli in termini di </w:t>
      </w:r>
      <w:r w:rsidR="00D9363A">
        <w:rPr>
          <w:rFonts w:ascii="Times New Roman" w:hAnsi="Times New Roman" w:cs="Times New Roman"/>
          <w:sz w:val="26"/>
          <w:szCs w:val="26"/>
        </w:rPr>
        <w:t xml:space="preserve">titoli </w:t>
      </w:r>
      <w:r w:rsidR="008467EE">
        <w:rPr>
          <w:rFonts w:ascii="Times New Roman" w:hAnsi="Times New Roman" w:cs="Times New Roman"/>
          <w:sz w:val="26"/>
          <w:szCs w:val="26"/>
        </w:rPr>
        <w:t>nei quali investire</w:t>
      </w:r>
      <w:r w:rsidR="00D9363A">
        <w:rPr>
          <w:rFonts w:ascii="Times New Roman" w:hAnsi="Times New Roman" w:cs="Times New Roman"/>
          <w:sz w:val="26"/>
          <w:szCs w:val="26"/>
        </w:rPr>
        <w:t xml:space="preserve">, né di </w:t>
      </w:r>
      <w:r w:rsidR="008467EE">
        <w:rPr>
          <w:rFonts w:ascii="Times New Roman" w:hAnsi="Times New Roman" w:cs="Times New Roman"/>
          <w:sz w:val="26"/>
          <w:szCs w:val="26"/>
        </w:rPr>
        <w:t>un benchmark</w:t>
      </w:r>
      <w:r w:rsidR="009F0D3D">
        <w:rPr>
          <w:rFonts w:ascii="Times New Roman" w:hAnsi="Times New Roman" w:cs="Times New Roman"/>
          <w:sz w:val="26"/>
          <w:szCs w:val="26"/>
        </w:rPr>
        <w:t xml:space="preserve"> </w:t>
      </w:r>
      <w:r w:rsidR="00D9363A">
        <w:rPr>
          <w:rFonts w:ascii="Times New Roman" w:hAnsi="Times New Roman" w:cs="Times New Roman"/>
          <w:sz w:val="26"/>
          <w:szCs w:val="26"/>
        </w:rPr>
        <w:t xml:space="preserve">da dichiarare </w:t>
      </w:r>
      <w:r w:rsidR="009F0D3D">
        <w:rPr>
          <w:rFonts w:ascii="Times New Roman" w:hAnsi="Times New Roman" w:cs="Times New Roman"/>
          <w:sz w:val="26"/>
          <w:szCs w:val="26"/>
        </w:rPr>
        <w:t xml:space="preserve">che funga da </w:t>
      </w:r>
      <w:r w:rsidR="009F0D3D" w:rsidRPr="00151443">
        <w:rPr>
          <w:rFonts w:ascii="Times New Roman" w:hAnsi="Times New Roman" w:cs="Times New Roman"/>
          <w:i/>
          <w:sz w:val="26"/>
          <w:szCs w:val="26"/>
        </w:rPr>
        <w:t>proxy</w:t>
      </w:r>
      <w:r w:rsidR="009F0D3D">
        <w:rPr>
          <w:rFonts w:ascii="Times New Roman" w:hAnsi="Times New Roman" w:cs="Times New Roman"/>
          <w:sz w:val="26"/>
          <w:szCs w:val="26"/>
        </w:rPr>
        <w:t xml:space="preserve"> della loro composizione</w:t>
      </w:r>
      <w:r w:rsidR="00143AAA">
        <w:rPr>
          <w:rFonts w:ascii="Times New Roman" w:hAnsi="Times New Roman" w:cs="Times New Roman"/>
          <w:sz w:val="26"/>
          <w:szCs w:val="26"/>
        </w:rPr>
        <w:t xml:space="preserve">. </w:t>
      </w:r>
      <w:r w:rsidR="004A072B">
        <w:rPr>
          <w:rFonts w:ascii="Times New Roman" w:hAnsi="Times New Roman" w:cs="Times New Roman"/>
          <w:sz w:val="26"/>
          <w:szCs w:val="26"/>
        </w:rPr>
        <w:t xml:space="preserve">Da ciò conseguono </w:t>
      </w:r>
      <w:r w:rsidR="00700FF3">
        <w:rPr>
          <w:rFonts w:ascii="Times New Roman" w:hAnsi="Times New Roman" w:cs="Times New Roman"/>
          <w:sz w:val="26"/>
          <w:szCs w:val="26"/>
        </w:rPr>
        <w:t>alcun</w:t>
      </w:r>
      <w:r w:rsidR="003F00DA">
        <w:rPr>
          <w:rFonts w:ascii="Times New Roman" w:hAnsi="Times New Roman" w:cs="Times New Roman"/>
          <w:sz w:val="26"/>
          <w:szCs w:val="26"/>
        </w:rPr>
        <w:t>e</w:t>
      </w:r>
      <w:r w:rsidR="00480491">
        <w:rPr>
          <w:rFonts w:ascii="Times New Roman" w:hAnsi="Times New Roman" w:cs="Times New Roman"/>
          <w:sz w:val="26"/>
          <w:szCs w:val="26"/>
        </w:rPr>
        <w:t xml:space="preserve"> </w:t>
      </w:r>
      <w:r w:rsidR="003F00DA">
        <w:rPr>
          <w:rFonts w:ascii="Times New Roman" w:hAnsi="Times New Roman" w:cs="Times New Roman"/>
          <w:sz w:val="26"/>
          <w:szCs w:val="26"/>
        </w:rPr>
        <w:t>peculiarità</w:t>
      </w:r>
      <w:r w:rsidR="000A53FC">
        <w:rPr>
          <w:rFonts w:ascii="Times New Roman" w:hAnsi="Times New Roman" w:cs="Times New Roman"/>
          <w:sz w:val="26"/>
          <w:szCs w:val="26"/>
        </w:rPr>
        <w:t xml:space="preserve"> che permettono di </w:t>
      </w:r>
      <w:r w:rsidR="00151443">
        <w:rPr>
          <w:rFonts w:ascii="Times New Roman" w:hAnsi="Times New Roman" w:cs="Times New Roman"/>
          <w:sz w:val="26"/>
          <w:szCs w:val="26"/>
        </w:rPr>
        <w:t>delimitar</w:t>
      </w:r>
      <w:r w:rsidR="00D57968">
        <w:rPr>
          <w:rFonts w:ascii="Times New Roman" w:hAnsi="Times New Roman" w:cs="Times New Roman"/>
          <w:sz w:val="26"/>
          <w:szCs w:val="26"/>
        </w:rPr>
        <w:t>n</w:t>
      </w:r>
      <w:r w:rsidR="00151443">
        <w:rPr>
          <w:rFonts w:ascii="Times New Roman" w:hAnsi="Times New Roman" w:cs="Times New Roman"/>
          <w:sz w:val="26"/>
          <w:szCs w:val="26"/>
        </w:rPr>
        <w:t>e</w:t>
      </w:r>
      <w:r w:rsidR="00D07A6B">
        <w:rPr>
          <w:rFonts w:ascii="Times New Roman" w:hAnsi="Times New Roman" w:cs="Times New Roman"/>
          <w:sz w:val="26"/>
          <w:szCs w:val="26"/>
        </w:rPr>
        <w:t>, almeno parzialmente,</w:t>
      </w:r>
      <w:r w:rsidR="000A53FC">
        <w:rPr>
          <w:rFonts w:ascii="Times New Roman" w:hAnsi="Times New Roman" w:cs="Times New Roman"/>
          <w:sz w:val="26"/>
          <w:szCs w:val="26"/>
        </w:rPr>
        <w:t xml:space="preserve"> i </w:t>
      </w:r>
      <w:r>
        <w:rPr>
          <w:rFonts w:ascii="Times New Roman" w:hAnsi="Times New Roman" w:cs="Times New Roman"/>
          <w:sz w:val="26"/>
          <w:szCs w:val="26"/>
        </w:rPr>
        <w:t xml:space="preserve">vasti </w:t>
      </w:r>
      <w:r w:rsidR="000A53FC">
        <w:rPr>
          <w:rFonts w:ascii="Times New Roman" w:hAnsi="Times New Roman" w:cs="Times New Roman"/>
          <w:sz w:val="26"/>
          <w:szCs w:val="26"/>
        </w:rPr>
        <w:t>contorni:</w:t>
      </w:r>
    </w:p>
    <w:p w14:paraId="5AD8ADC6" w14:textId="77777777" w:rsidR="000A53FC" w:rsidRDefault="00867A53" w:rsidP="00095829">
      <w:pPr>
        <w:pStyle w:val="Paragrafoelenco"/>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investono in</w:t>
      </w:r>
      <w:r w:rsidR="00D57968">
        <w:rPr>
          <w:rFonts w:ascii="Times New Roman" w:hAnsi="Times New Roman" w:cs="Times New Roman"/>
          <w:sz w:val="26"/>
          <w:szCs w:val="26"/>
        </w:rPr>
        <w:t xml:space="preserve"> una pluralità</w:t>
      </w:r>
      <w:r>
        <w:rPr>
          <w:rFonts w:ascii="Times New Roman" w:hAnsi="Times New Roman" w:cs="Times New Roman"/>
          <w:sz w:val="26"/>
          <w:szCs w:val="26"/>
        </w:rPr>
        <w:t xml:space="preserve"> </w:t>
      </w:r>
      <w:r w:rsidR="00D07A6B">
        <w:rPr>
          <w:rFonts w:ascii="Times New Roman" w:hAnsi="Times New Roman" w:cs="Times New Roman"/>
          <w:sz w:val="26"/>
          <w:szCs w:val="26"/>
        </w:rPr>
        <w:t xml:space="preserve">di </w:t>
      </w:r>
      <w:r>
        <w:rPr>
          <w:rFonts w:ascii="Times New Roman" w:hAnsi="Times New Roman" w:cs="Times New Roman"/>
          <w:sz w:val="26"/>
          <w:szCs w:val="26"/>
        </w:rPr>
        <w:t>mercat</w:t>
      </w:r>
      <w:r w:rsidR="00D07A6B">
        <w:rPr>
          <w:rFonts w:ascii="Times New Roman" w:hAnsi="Times New Roman" w:cs="Times New Roman"/>
          <w:sz w:val="26"/>
          <w:szCs w:val="26"/>
        </w:rPr>
        <w:t>i</w:t>
      </w:r>
      <w:r>
        <w:rPr>
          <w:rFonts w:ascii="Times New Roman" w:hAnsi="Times New Roman" w:cs="Times New Roman"/>
          <w:sz w:val="26"/>
          <w:szCs w:val="26"/>
        </w:rPr>
        <w:t xml:space="preserve"> o, in altr</w:t>
      </w:r>
      <w:r w:rsidR="00700FF3">
        <w:rPr>
          <w:rFonts w:ascii="Times New Roman" w:hAnsi="Times New Roman" w:cs="Times New Roman"/>
          <w:sz w:val="26"/>
          <w:szCs w:val="26"/>
        </w:rPr>
        <w:t>i termini</w:t>
      </w:r>
      <w:r>
        <w:rPr>
          <w:rFonts w:ascii="Times New Roman" w:hAnsi="Times New Roman" w:cs="Times New Roman"/>
          <w:sz w:val="26"/>
          <w:szCs w:val="26"/>
        </w:rPr>
        <w:t xml:space="preserve">, </w:t>
      </w:r>
      <w:r w:rsidR="00151443">
        <w:rPr>
          <w:rFonts w:ascii="Times New Roman" w:hAnsi="Times New Roman" w:cs="Times New Roman"/>
          <w:sz w:val="26"/>
          <w:szCs w:val="26"/>
        </w:rPr>
        <w:t xml:space="preserve">assumono </w:t>
      </w:r>
      <w:r w:rsidR="00700FF3">
        <w:rPr>
          <w:rFonts w:ascii="Times New Roman" w:hAnsi="Times New Roman" w:cs="Times New Roman"/>
          <w:sz w:val="26"/>
          <w:szCs w:val="26"/>
        </w:rPr>
        <w:t>contemporaneamente</w:t>
      </w:r>
      <w:r w:rsidR="00151443">
        <w:rPr>
          <w:rFonts w:ascii="Times New Roman" w:hAnsi="Times New Roman" w:cs="Times New Roman"/>
          <w:sz w:val="26"/>
          <w:szCs w:val="26"/>
        </w:rPr>
        <w:t xml:space="preserve"> più fattori di rischio</w:t>
      </w:r>
      <w:r w:rsidR="00B87949">
        <w:rPr>
          <w:rFonts w:ascii="Times New Roman" w:hAnsi="Times New Roman" w:cs="Times New Roman"/>
          <w:sz w:val="26"/>
          <w:szCs w:val="26"/>
        </w:rPr>
        <w:t xml:space="preserve"> tra loro eterogenei</w:t>
      </w:r>
      <w:r w:rsidR="00151443">
        <w:rPr>
          <w:rFonts w:ascii="Times New Roman" w:hAnsi="Times New Roman" w:cs="Times New Roman"/>
          <w:sz w:val="26"/>
          <w:szCs w:val="26"/>
        </w:rPr>
        <w:t>;</w:t>
      </w:r>
    </w:p>
    <w:p w14:paraId="458F59E6" w14:textId="77777777" w:rsidR="00151443" w:rsidRPr="000A53FC" w:rsidRDefault="00151443" w:rsidP="00095829">
      <w:pPr>
        <w:pStyle w:val="Paragrafoelenco"/>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modificano frequentemente la </w:t>
      </w:r>
      <w:r w:rsidR="00700FF3">
        <w:rPr>
          <w:rFonts w:ascii="Times New Roman" w:hAnsi="Times New Roman" w:cs="Times New Roman"/>
          <w:sz w:val="26"/>
          <w:szCs w:val="26"/>
        </w:rPr>
        <w:t>loro</w:t>
      </w:r>
      <w:r>
        <w:rPr>
          <w:rFonts w:ascii="Times New Roman" w:hAnsi="Times New Roman" w:cs="Times New Roman"/>
          <w:sz w:val="26"/>
          <w:szCs w:val="26"/>
        </w:rPr>
        <w:t xml:space="preserve"> composizione </w:t>
      </w:r>
      <w:r w:rsidR="00D57968">
        <w:rPr>
          <w:rFonts w:ascii="Times New Roman" w:hAnsi="Times New Roman" w:cs="Times New Roman"/>
          <w:sz w:val="26"/>
          <w:szCs w:val="26"/>
        </w:rPr>
        <w:t>in</w:t>
      </w:r>
      <w:r>
        <w:rPr>
          <w:rFonts w:ascii="Times New Roman" w:hAnsi="Times New Roman" w:cs="Times New Roman"/>
          <w:sz w:val="26"/>
          <w:szCs w:val="26"/>
        </w:rPr>
        <w:t xml:space="preserve"> </w:t>
      </w:r>
      <w:r w:rsidRPr="00151443">
        <w:rPr>
          <w:rFonts w:ascii="Times New Roman" w:hAnsi="Times New Roman" w:cs="Times New Roman"/>
          <w:i/>
          <w:sz w:val="26"/>
          <w:szCs w:val="26"/>
        </w:rPr>
        <w:t xml:space="preserve">risk </w:t>
      </w:r>
      <w:proofErr w:type="spellStart"/>
      <w:r w:rsidRPr="00151443">
        <w:rPr>
          <w:rFonts w:ascii="Times New Roman" w:hAnsi="Times New Roman" w:cs="Times New Roman"/>
          <w:i/>
          <w:sz w:val="26"/>
          <w:szCs w:val="26"/>
        </w:rPr>
        <w:t>factor</w:t>
      </w:r>
      <w:proofErr w:type="spellEnd"/>
      <w:r>
        <w:rPr>
          <w:rFonts w:ascii="Times New Roman" w:hAnsi="Times New Roman" w:cs="Times New Roman"/>
          <w:i/>
          <w:sz w:val="26"/>
          <w:szCs w:val="26"/>
        </w:rPr>
        <w:t>/</w:t>
      </w:r>
      <w:r>
        <w:rPr>
          <w:rFonts w:ascii="Times New Roman" w:hAnsi="Times New Roman" w:cs="Times New Roman"/>
          <w:sz w:val="26"/>
          <w:szCs w:val="26"/>
        </w:rPr>
        <w:t>prodotti/asset class.</w:t>
      </w:r>
    </w:p>
    <w:p w14:paraId="2778A5A5" w14:textId="77777777" w:rsidR="00D9363A" w:rsidRDefault="00D9363A" w:rsidP="00095829">
      <w:pPr>
        <w:spacing w:after="0" w:line="360" w:lineRule="auto"/>
        <w:ind w:firstLine="567"/>
        <w:jc w:val="both"/>
        <w:rPr>
          <w:rFonts w:ascii="Times New Roman" w:hAnsi="Times New Roman" w:cs="Times New Roman"/>
          <w:sz w:val="26"/>
          <w:szCs w:val="26"/>
        </w:rPr>
      </w:pPr>
    </w:p>
    <w:p w14:paraId="5A7783A8" w14:textId="419CD639" w:rsidR="00D9363A" w:rsidRDefault="00D07A6B" w:rsidP="00095829">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Tale </w:t>
      </w:r>
      <w:r w:rsidRPr="00D07A6B">
        <w:rPr>
          <w:rFonts w:ascii="Times New Roman" w:hAnsi="Times New Roman" w:cs="Times New Roman"/>
          <w:i/>
          <w:sz w:val="26"/>
          <w:szCs w:val="26"/>
        </w:rPr>
        <w:t>modus operandi</w:t>
      </w:r>
      <w:r>
        <w:rPr>
          <w:rFonts w:ascii="Times New Roman" w:hAnsi="Times New Roman" w:cs="Times New Roman"/>
          <w:sz w:val="26"/>
          <w:szCs w:val="26"/>
        </w:rPr>
        <w:t xml:space="preserve"> fa di questi prodotti una soluzione di investimento assai “intrigante”, perché </w:t>
      </w:r>
      <w:r w:rsidR="00AB0CFC">
        <w:rPr>
          <w:rFonts w:ascii="Times New Roman" w:hAnsi="Times New Roman" w:cs="Times New Roman"/>
          <w:sz w:val="26"/>
          <w:szCs w:val="26"/>
        </w:rPr>
        <w:t>essi, grazi</w:t>
      </w:r>
      <w:r w:rsidR="0081574A">
        <w:rPr>
          <w:rFonts w:ascii="Times New Roman" w:hAnsi="Times New Roman" w:cs="Times New Roman"/>
          <w:sz w:val="26"/>
          <w:szCs w:val="26"/>
        </w:rPr>
        <w:t>e</w:t>
      </w:r>
      <w:r w:rsidR="00AB0CFC">
        <w:rPr>
          <w:rFonts w:ascii="Times New Roman" w:hAnsi="Times New Roman" w:cs="Times New Roman"/>
          <w:sz w:val="26"/>
          <w:szCs w:val="26"/>
        </w:rPr>
        <w:t xml:space="preserve"> al </w:t>
      </w:r>
      <w:r>
        <w:rPr>
          <w:rFonts w:ascii="Times New Roman" w:hAnsi="Times New Roman" w:cs="Times New Roman"/>
          <w:sz w:val="26"/>
          <w:szCs w:val="26"/>
        </w:rPr>
        <w:t>loro ampissimo spazio di operatività</w:t>
      </w:r>
      <w:r w:rsidR="00AB0CFC">
        <w:rPr>
          <w:rFonts w:ascii="Times New Roman" w:hAnsi="Times New Roman" w:cs="Times New Roman"/>
          <w:sz w:val="26"/>
          <w:szCs w:val="26"/>
        </w:rPr>
        <w:t>,</w:t>
      </w:r>
      <w:r>
        <w:rPr>
          <w:rFonts w:ascii="Times New Roman" w:hAnsi="Times New Roman" w:cs="Times New Roman"/>
          <w:sz w:val="26"/>
          <w:szCs w:val="26"/>
        </w:rPr>
        <w:t xml:space="preserve"> </w:t>
      </w:r>
      <w:r w:rsidR="00AB0CFC">
        <w:rPr>
          <w:rFonts w:ascii="Times New Roman" w:hAnsi="Times New Roman" w:cs="Times New Roman"/>
          <w:sz w:val="26"/>
          <w:szCs w:val="26"/>
        </w:rPr>
        <w:t>sono</w:t>
      </w:r>
      <w:r>
        <w:rPr>
          <w:rFonts w:ascii="Times New Roman" w:hAnsi="Times New Roman" w:cs="Times New Roman"/>
          <w:sz w:val="26"/>
          <w:szCs w:val="26"/>
        </w:rPr>
        <w:t xml:space="preserve"> potenzialmente in grado di </w:t>
      </w:r>
      <w:r w:rsidR="00E95970">
        <w:rPr>
          <w:rFonts w:ascii="Times New Roman" w:hAnsi="Times New Roman" w:cs="Times New Roman"/>
          <w:sz w:val="26"/>
          <w:szCs w:val="26"/>
        </w:rPr>
        <w:t>performare</w:t>
      </w:r>
      <w:r w:rsidR="003A6304">
        <w:rPr>
          <w:rFonts w:ascii="Times New Roman" w:hAnsi="Times New Roman" w:cs="Times New Roman"/>
          <w:sz w:val="26"/>
          <w:szCs w:val="26"/>
        </w:rPr>
        <w:t xml:space="preserve"> positiv</w:t>
      </w:r>
      <w:r w:rsidR="00E95970">
        <w:rPr>
          <w:rFonts w:ascii="Times New Roman" w:hAnsi="Times New Roman" w:cs="Times New Roman"/>
          <w:sz w:val="26"/>
          <w:szCs w:val="26"/>
        </w:rPr>
        <w:t>amente</w:t>
      </w:r>
      <w:r>
        <w:rPr>
          <w:rFonts w:ascii="Times New Roman" w:hAnsi="Times New Roman" w:cs="Times New Roman"/>
          <w:sz w:val="26"/>
          <w:szCs w:val="26"/>
        </w:rPr>
        <w:t xml:space="preserve"> </w:t>
      </w:r>
      <w:r w:rsidR="00AB0CFC">
        <w:rPr>
          <w:rFonts w:ascii="Times New Roman" w:hAnsi="Times New Roman" w:cs="Times New Roman"/>
          <w:sz w:val="26"/>
          <w:szCs w:val="26"/>
        </w:rPr>
        <w:t>in ogni condizione di mercato. La loro strategia flessibile, infatti, permette di cambiare tatticamente i fattori di rischio a cui il fondo è esposto, combinando</w:t>
      </w:r>
      <w:r w:rsidR="00FD70AD">
        <w:rPr>
          <w:rFonts w:ascii="Times New Roman" w:hAnsi="Times New Roman" w:cs="Times New Roman"/>
          <w:sz w:val="26"/>
          <w:szCs w:val="26"/>
        </w:rPr>
        <w:t xml:space="preserve"> </w:t>
      </w:r>
      <w:proofErr w:type="spellStart"/>
      <w:r w:rsidR="00AB0CFC" w:rsidRPr="00AB0CFC">
        <w:rPr>
          <w:rFonts w:ascii="Times New Roman" w:hAnsi="Times New Roman" w:cs="Times New Roman"/>
          <w:i/>
          <w:sz w:val="26"/>
          <w:szCs w:val="26"/>
        </w:rPr>
        <w:t>risky</w:t>
      </w:r>
      <w:proofErr w:type="spellEnd"/>
      <w:r w:rsidR="00AB0CFC" w:rsidRPr="00AB0CFC">
        <w:rPr>
          <w:rFonts w:ascii="Times New Roman" w:hAnsi="Times New Roman" w:cs="Times New Roman"/>
          <w:i/>
          <w:sz w:val="26"/>
          <w:szCs w:val="26"/>
        </w:rPr>
        <w:t xml:space="preserve"> assets</w:t>
      </w:r>
      <w:r w:rsidR="00AB0CFC">
        <w:rPr>
          <w:rFonts w:ascii="Times New Roman" w:hAnsi="Times New Roman" w:cs="Times New Roman"/>
          <w:sz w:val="26"/>
          <w:szCs w:val="26"/>
        </w:rPr>
        <w:t xml:space="preserve"> e </w:t>
      </w:r>
      <w:proofErr w:type="spellStart"/>
      <w:r w:rsidR="00AB0CFC" w:rsidRPr="00AB0CFC">
        <w:rPr>
          <w:rFonts w:ascii="Times New Roman" w:hAnsi="Times New Roman" w:cs="Times New Roman"/>
          <w:i/>
          <w:sz w:val="26"/>
          <w:szCs w:val="26"/>
        </w:rPr>
        <w:t>safe</w:t>
      </w:r>
      <w:proofErr w:type="spellEnd"/>
      <w:r w:rsidR="00AB0CFC" w:rsidRPr="00AB0CFC">
        <w:rPr>
          <w:rFonts w:ascii="Times New Roman" w:hAnsi="Times New Roman" w:cs="Times New Roman"/>
          <w:i/>
          <w:sz w:val="26"/>
          <w:szCs w:val="26"/>
        </w:rPr>
        <w:t xml:space="preserve"> assets</w:t>
      </w:r>
      <w:r w:rsidR="00AB0CFC">
        <w:rPr>
          <w:rFonts w:ascii="Times New Roman" w:hAnsi="Times New Roman" w:cs="Times New Roman"/>
          <w:sz w:val="26"/>
          <w:szCs w:val="26"/>
        </w:rPr>
        <w:t xml:space="preserve"> a seconda delle fasi orso/toro di mercato. </w:t>
      </w:r>
      <w:r w:rsidR="0081574A">
        <w:rPr>
          <w:rFonts w:ascii="Times New Roman" w:hAnsi="Times New Roman" w:cs="Times New Roman"/>
          <w:sz w:val="26"/>
          <w:szCs w:val="26"/>
        </w:rPr>
        <w:t xml:space="preserve">Così, in una fase di </w:t>
      </w:r>
      <w:proofErr w:type="spellStart"/>
      <w:r w:rsidR="0081574A" w:rsidRPr="0081574A">
        <w:rPr>
          <w:rFonts w:ascii="Times New Roman" w:hAnsi="Times New Roman" w:cs="Times New Roman"/>
          <w:i/>
          <w:sz w:val="26"/>
          <w:szCs w:val="26"/>
        </w:rPr>
        <w:t>flight</w:t>
      </w:r>
      <w:proofErr w:type="spellEnd"/>
      <w:r w:rsidR="0081574A" w:rsidRPr="0081574A">
        <w:rPr>
          <w:rFonts w:ascii="Times New Roman" w:hAnsi="Times New Roman" w:cs="Times New Roman"/>
          <w:i/>
          <w:sz w:val="26"/>
          <w:szCs w:val="26"/>
        </w:rPr>
        <w:t xml:space="preserve"> to </w:t>
      </w:r>
      <w:proofErr w:type="spellStart"/>
      <w:r w:rsidR="0081574A" w:rsidRPr="0081574A">
        <w:rPr>
          <w:rFonts w:ascii="Times New Roman" w:hAnsi="Times New Roman" w:cs="Times New Roman"/>
          <w:i/>
          <w:sz w:val="26"/>
          <w:szCs w:val="26"/>
        </w:rPr>
        <w:t>quality</w:t>
      </w:r>
      <w:proofErr w:type="spellEnd"/>
      <w:r w:rsidR="0081574A">
        <w:rPr>
          <w:rFonts w:ascii="Times New Roman" w:hAnsi="Times New Roman" w:cs="Times New Roman"/>
          <w:sz w:val="26"/>
          <w:szCs w:val="26"/>
        </w:rPr>
        <w:t>, una repentina riduzione delle componenti azionari</w:t>
      </w:r>
      <w:r w:rsidR="00DC38D4">
        <w:rPr>
          <w:rFonts w:ascii="Times New Roman" w:hAnsi="Times New Roman" w:cs="Times New Roman"/>
          <w:sz w:val="26"/>
          <w:szCs w:val="26"/>
        </w:rPr>
        <w:t>a</w:t>
      </w:r>
      <w:r w:rsidR="0081574A">
        <w:rPr>
          <w:rFonts w:ascii="Times New Roman" w:hAnsi="Times New Roman" w:cs="Times New Roman"/>
          <w:sz w:val="26"/>
          <w:szCs w:val="26"/>
        </w:rPr>
        <w:t xml:space="preserve">, </w:t>
      </w:r>
      <w:r w:rsidR="00035428">
        <w:rPr>
          <w:rFonts w:ascii="Times New Roman" w:hAnsi="Times New Roman" w:cs="Times New Roman"/>
          <w:sz w:val="26"/>
          <w:szCs w:val="26"/>
        </w:rPr>
        <w:t>obbligazionari</w:t>
      </w:r>
      <w:r w:rsidR="00DC38D4">
        <w:rPr>
          <w:rFonts w:ascii="Times New Roman" w:hAnsi="Times New Roman" w:cs="Times New Roman"/>
          <w:sz w:val="26"/>
          <w:szCs w:val="26"/>
        </w:rPr>
        <w:t>a</w:t>
      </w:r>
      <w:r w:rsidR="0081574A">
        <w:rPr>
          <w:rFonts w:ascii="Times New Roman" w:hAnsi="Times New Roman" w:cs="Times New Roman"/>
          <w:sz w:val="26"/>
          <w:szCs w:val="26"/>
        </w:rPr>
        <w:t xml:space="preserve"> </w:t>
      </w:r>
      <w:r w:rsidR="0081574A" w:rsidRPr="007C67BC">
        <w:rPr>
          <w:rFonts w:ascii="Times New Roman" w:hAnsi="Times New Roman" w:cs="Times New Roman"/>
          <w:i/>
          <w:sz w:val="26"/>
          <w:szCs w:val="26"/>
        </w:rPr>
        <w:t>high yield</w:t>
      </w:r>
      <w:r w:rsidR="0081574A">
        <w:rPr>
          <w:rFonts w:ascii="Times New Roman" w:hAnsi="Times New Roman" w:cs="Times New Roman"/>
          <w:sz w:val="26"/>
          <w:szCs w:val="26"/>
        </w:rPr>
        <w:t xml:space="preserve"> e valute deboli a favore delle componenti obbligazionario </w:t>
      </w:r>
      <w:r w:rsidR="00035428" w:rsidRPr="00035428">
        <w:rPr>
          <w:rFonts w:ascii="Times New Roman" w:hAnsi="Times New Roman" w:cs="Times New Roman"/>
          <w:sz w:val="26"/>
          <w:szCs w:val="26"/>
        </w:rPr>
        <w:t>alto rating</w:t>
      </w:r>
      <w:r w:rsidR="0081574A" w:rsidRPr="00035428">
        <w:rPr>
          <w:rFonts w:ascii="Times New Roman" w:hAnsi="Times New Roman" w:cs="Times New Roman"/>
          <w:sz w:val="26"/>
          <w:szCs w:val="26"/>
        </w:rPr>
        <w:t xml:space="preserve"> </w:t>
      </w:r>
      <w:r w:rsidR="0081574A">
        <w:rPr>
          <w:rFonts w:ascii="Times New Roman" w:hAnsi="Times New Roman" w:cs="Times New Roman"/>
          <w:sz w:val="26"/>
          <w:szCs w:val="26"/>
        </w:rPr>
        <w:t>e valute forti, può</w:t>
      </w:r>
      <w:r w:rsidR="00D9363A">
        <w:rPr>
          <w:rFonts w:ascii="Times New Roman" w:hAnsi="Times New Roman" w:cs="Times New Roman"/>
          <w:sz w:val="26"/>
          <w:szCs w:val="26"/>
        </w:rPr>
        <w:t>,</w:t>
      </w:r>
      <w:r w:rsidR="0081574A">
        <w:rPr>
          <w:rFonts w:ascii="Times New Roman" w:hAnsi="Times New Roman" w:cs="Times New Roman"/>
          <w:sz w:val="26"/>
          <w:szCs w:val="26"/>
        </w:rPr>
        <w:t xml:space="preserve"> non solo</w:t>
      </w:r>
      <w:r w:rsidR="00D9363A">
        <w:rPr>
          <w:rFonts w:ascii="Times New Roman" w:hAnsi="Times New Roman" w:cs="Times New Roman"/>
          <w:sz w:val="26"/>
          <w:szCs w:val="26"/>
        </w:rPr>
        <w:t>,</w:t>
      </w:r>
      <w:r w:rsidR="0081574A">
        <w:rPr>
          <w:rFonts w:ascii="Times New Roman" w:hAnsi="Times New Roman" w:cs="Times New Roman"/>
          <w:sz w:val="26"/>
          <w:szCs w:val="26"/>
        </w:rPr>
        <w:t xml:space="preserve"> </w:t>
      </w:r>
      <w:r w:rsidR="00225EB5">
        <w:rPr>
          <w:rFonts w:ascii="Times New Roman" w:hAnsi="Times New Roman" w:cs="Times New Roman"/>
          <w:sz w:val="26"/>
          <w:szCs w:val="26"/>
        </w:rPr>
        <w:t>limitare le</w:t>
      </w:r>
      <w:r w:rsidR="0081574A">
        <w:rPr>
          <w:rFonts w:ascii="Times New Roman" w:hAnsi="Times New Roman" w:cs="Times New Roman"/>
          <w:sz w:val="26"/>
          <w:szCs w:val="26"/>
        </w:rPr>
        <w:t xml:space="preserve"> pe</w:t>
      </w:r>
      <w:r w:rsidR="007C67BC">
        <w:rPr>
          <w:rFonts w:ascii="Times New Roman" w:hAnsi="Times New Roman" w:cs="Times New Roman"/>
          <w:sz w:val="26"/>
          <w:szCs w:val="26"/>
        </w:rPr>
        <w:t>r</w:t>
      </w:r>
      <w:r w:rsidR="0081574A">
        <w:rPr>
          <w:rFonts w:ascii="Times New Roman" w:hAnsi="Times New Roman" w:cs="Times New Roman"/>
          <w:sz w:val="26"/>
          <w:szCs w:val="26"/>
        </w:rPr>
        <w:t>dite ma addirittura produrre guadagni.</w:t>
      </w:r>
      <w:r w:rsidR="007C67BC">
        <w:rPr>
          <w:rFonts w:ascii="Times New Roman" w:hAnsi="Times New Roman" w:cs="Times New Roman"/>
          <w:sz w:val="26"/>
          <w:szCs w:val="26"/>
        </w:rPr>
        <w:t xml:space="preserve"> </w:t>
      </w:r>
      <w:r w:rsidR="00035428">
        <w:rPr>
          <w:rFonts w:ascii="Times New Roman" w:hAnsi="Times New Roman" w:cs="Times New Roman"/>
          <w:sz w:val="26"/>
          <w:szCs w:val="26"/>
        </w:rPr>
        <w:t>Ed è proprio l’</w:t>
      </w:r>
      <w:r w:rsidR="00287A9C">
        <w:rPr>
          <w:rFonts w:ascii="Times New Roman" w:hAnsi="Times New Roman" w:cs="Times New Roman"/>
          <w:sz w:val="26"/>
          <w:szCs w:val="26"/>
        </w:rPr>
        <w:t>“</w:t>
      </w:r>
      <w:r w:rsidR="00035428">
        <w:rPr>
          <w:rFonts w:ascii="Times New Roman" w:hAnsi="Times New Roman" w:cs="Times New Roman"/>
          <w:sz w:val="26"/>
          <w:szCs w:val="26"/>
        </w:rPr>
        <w:t>essere</w:t>
      </w:r>
      <w:r w:rsidR="00287A9C">
        <w:rPr>
          <w:rFonts w:ascii="Times New Roman" w:hAnsi="Times New Roman" w:cs="Times New Roman"/>
          <w:sz w:val="26"/>
          <w:szCs w:val="26"/>
        </w:rPr>
        <w:t xml:space="preserve"> </w:t>
      </w:r>
      <w:r w:rsidR="00035428">
        <w:rPr>
          <w:rFonts w:ascii="Times New Roman" w:hAnsi="Times New Roman" w:cs="Times New Roman"/>
          <w:sz w:val="26"/>
          <w:szCs w:val="26"/>
        </w:rPr>
        <w:t xml:space="preserve">buoni </w:t>
      </w:r>
      <w:r w:rsidR="00D9363A">
        <w:rPr>
          <w:rFonts w:ascii="Times New Roman" w:hAnsi="Times New Roman" w:cs="Times New Roman"/>
          <w:sz w:val="26"/>
          <w:szCs w:val="26"/>
        </w:rPr>
        <w:t xml:space="preserve">fondi </w:t>
      </w:r>
      <w:r w:rsidR="00035428">
        <w:rPr>
          <w:rFonts w:ascii="Times New Roman" w:hAnsi="Times New Roman" w:cs="Times New Roman"/>
          <w:sz w:val="26"/>
          <w:szCs w:val="26"/>
        </w:rPr>
        <w:t xml:space="preserve">per ogni stagione” </w:t>
      </w:r>
      <w:r w:rsidR="00287A9C">
        <w:rPr>
          <w:rFonts w:ascii="Times New Roman" w:hAnsi="Times New Roman" w:cs="Times New Roman"/>
          <w:sz w:val="26"/>
          <w:szCs w:val="26"/>
        </w:rPr>
        <w:t>a</w:t>
      </w:r>
      <w:r w:rsidR="00035428">
        <w:rPr>
          <w:rFonts w:ascii="Times New Roman" w:hAnsi="Times New Roman" w:cs="Times New Roman"/>
          <w:sz w:val="26"/>
          <w:szCs w:val="26"/>
        </w:rPr>
        <w:t xml:space="preserve"> spiega</w:t>
      </w:r>
      <w:r w:rsidR="00287A9C">
        <w:rPr>
          <w:rFonts w:ascii="Times New Roman" w:hAnsi="Times New Roman" w:cs="Times New Roman"/>
          <w:sz w:val="26"/>
          <w:szCs w:val="26"/>
        </w:rPr>
        <w:t>re</w:t>
      </w:r>
      <w:r w:rsidR="00D9363A">
        <w:rPr>
          <w:rFonts w:ascii="Times New Roman" w:hAnsi="Times New Roman" w:cs="Times New Roman"/>
          <w:sz w:val="26"/>
          <w:szCs w:val="26"/>
        </w:rPr>
        <w:t>,</w:t>
      </w:r>
      <w:r w:rsidR="00035428">
        <w:rPr>
          <w:rFonts w:ascii="Times New Roman" w:hAnsi="Times New Roman" w:cs="Times New Roman"/>
          <w:sz w:val="26"/>
          <w:szCs w:val="26"/>
        </w:rPr>
        <w:t xml:space="preserve"> </w:t>
      </w:r>
      <w:r w:rsidR="00287A9C">
        <w:rPr>
          <w:rFonts w:ascii="Times New Roman" w:hAnsi="Times New Roman" w:cs="Times New Roman"/>
          <w:sz w:val="26"/>
          <w:szCs w:val="26"/>
        </w:rPr>
        <w:t>in larga</w:t>
      </w:r>
      <w:r w:rsidR="00035428">
        <w:rPr>
          <w:rFonts w:ascii="Times New Roman" w:hAnsi="Times New Roman" w:cs="Times New Roman"/>
          <w:sz w:val="26"/>
          <w:szCs w:val="26"/>
        </w:rPr>
        <w:t xml:space="preserve"> parte</w:t>
      </w:r>
      <w:r w:rsidR="00D9363A">
        <w:rPr>
          <w:rFonts w:ascii="Times New Roman" w:hAnsi="Times New Roman" w:cs="Times New Roman"/>
          <w:sz w:val="26"/>
          <w:szCs w:val="26"/>
        </w:rPr>
        <w:t>,</w:t>
      </w:r>
      <w:r w:rsidR="00035428">
        <w:rPr>
          <w:rFonts w:ascii="Times New Roman" w:hAnsi="Times New Roman" w:cs="Times New Roman"/>
          <w:sz w:val="26"/>
          <w:szCs w:val="26"/>
        </w:rPr>
        <w:t xml:space="preserve"> </w:t>
      </w:r>
      <w:r w:rsidR="00287A9C">
        <w:rPr>
          <w:rFonts w:ascii="Times New Roman" w:hAnsi="Times New Roman" w:cs="Times New Roman"/>
          <w:sz w:val="26"/>
          <w:szCs w:val="26"/>
        </w:rPr>
        <w:t>i</w:t>
      </w:r>
      <w:r w:rsidR="00035428">
        <w:rPr>
          <w:rFonts w:ascii="Times New Roman" w:hAnsi="Times New Roman" w:cs="Times New Roman"/>
          <w:sz w:val="26"/>
          <w:szCs w:val="26"/>
        </w:rPr>
        <w:t>l successo di questa categoria di prodotti</w:t>
      </w:r>
      <w:r w:rsidR="0097260E">
        <w:rPr>
          <w:rFonts w:ascii="Times New Roman" w:hAnsi="Times New Roman" w:cs="Times New Roman"/>
          <w:sz w:val="26"/>
          <w:szCs w:val="26"/>
        </w:rPr>
        <w:t xml:space="preserve">: la promessa di una strategia di investimento in grado di gestire tatticamente/dinamicamente le fasi congiunturali dei mercati diventa, </w:t>
      </w:r>
      <w:r w:rsidR="0097260E">
        <w:rPr>
          <w:rFonts w:ascii="Times New Roman" w:hAnsi="Times New Roman" w:cs="Times New Roman"/>
          <w:sz w:val="26"/>
          <w:szCs w:val="26"/>
        </w:rPr>
        <w:lastRenderedPageBreak/>
        <w:t xml:space="preserve">soprattutto in fasi di </w:t>
      </w:r>
      <w:r w:rsidR="00D9363A">
        <w:rPr>
          <w:rFonts w:ascii="Times New Roman" w:hAnsi="Times New Roman" w:cs="Times New Roman"/>
          <w:sz w:val="26"/>
          <w:szCs w:val="26"/>
        </w:rPr>
        <w:t xml:space="preserve">elevata </w:t>
      </w:r>
      <w:r w:rsidR="0097260E">
        <w:rPr>
          <w:rFonts w:ascii="Times New Roman" w:hAnsi="Times New Roman" w:cs="Times New Roman"/>
          <w:sz w:val="26"/>
          <w:szCs w:val="26"/>
        </w:rPr>
        <w:t xml:space="preserve">incertezza, </w:t>
      </w:r>
      <w:r w:rsidR="00534C87">
        <w:rPr>
          <w:rFonts w:ascii="Times New Roman" w:hAnsi="Times New Roman" w:cs="Times New Roman"/>
          <w:sz w:val="26"/>
          <w:szCs w:val="26"/>
        </w:rPr>
        <w:t xml:space="preserve">un richiamo </w:t>
      </w:r>
      <w:r w:rsidR="0097260E">
        <w:rPr>
          <w:rFonts w:ascii="Times New Roman" w:hAnsi="Times New Roman" w:cs="Times New Roman"/>
          <w:sz w:val="26"/>
          <w:szCs w:val="26"/>
        </w:rPr>
        <w:t>irresistibile.</w:t>
      </w:r>
      <w:r w:rsidR="00035428">
        <w:rPr>
          <w:rFonts w:ascii="Times New Roman" w:hAnsi="Times New Roman" w:cs="Times New Roman"/>
          <w:sz w:val="26"/>
          <w:szCs w:val="26"/>
        </w:rPr>
        <w:t xml:space="preserve"> </w:t>
      </w:r>
      <w:r w:rsidR="00534C87">
        <w:rPr>
          <w:rFonts w:ascii="Times New Roman" w:hAnsi="Times New Roman" w:cs="Times New Roman"/>
          <w:sz w:val="26"/>
          <w:szCs w:val="26"/>
        </w:rPr>
        <w:t>Si pensi</w:t>
      </w:r>
      <w:r w:rsidR="00D0011B">
        <w:rPr>
          <w:rFonts w:ascii="Times New Roman" w:hAnsi="Times New Roman" w:cs="Times New Roman"/>
          <w:sz w:val="26"/>
          <w:szCs w:val="26"/>
        </w:rPr>
        <w:t>,</w:t>
      </w:r>
      <w:r w:rsidR="00534C87">
        <w:rPr>
          <w:rFonts w:ascii="Times New Roman" w:hAnsi="Times New Roman" w:cs="Times New Roman"/>
          <w:sz w:val="26"/>
          <w:szCs w:val="26"/>
        </w:rPr>
        <w:t xml:space="preserve"> ad esempio, alla crescita dimensionale del comparto dei fondi flessibili obbligazionari</w:t>
      </w:r>
      <w:r w:rsidR="004511D0">
        <w:rPr>
          <w:rStyle w:val="Rimandonotaapidipagina"/>
          <w:rFonts w:ascii="Times New Roman" w:hAnsi="Times New Roman" w:cs="Times New Roman"/>
          <w:sz w:val="26"/>
          <w:szCs w:val="26"/>
        </w:rPr>
        <w:footnoteReference w:id="5"/>
      </w:r>
      <w:r w:rsidR="00C65861">
        <w:rPr>
          <w:rFonts w:ascii="Times New Roman" w:hAnsi="Times New Roman" w:cs="Times New Roman"/>
          <w:sz w:val="26"/>
          <w:szCs w:val="26"/>
        </w:rPr>
        <w:t>,</w:t>
      </w:r>
      <w:r w:rsidR="008F59B4">
        <w:rPr>
          <w:rFonts w:ascii="Times New Roman" w:hAnsi="Times New Roman" w:cs="Times New Roman"/>
          <w:sz w:val="26"/>
          <w:szCs w:val="26"/>
        </w:rPr>
        <w:t xml:space="preserve"> </w:t>
      </w:r>
      <w:r w:rsidR="00D9363A">
        <w:rPr>
          <w:rFonts w:ascii="Times New Roman" w:hAnsi="Times New Roman" w:cs="Times New Roman"/>
          <w:sz w:val="26"/>
          <w:szCs w:val="26"/>
        </w:rPr>
        <w:t xml:space="preserve">che </w:t>
      </w:r>
      <w:r w:rsidR="008F59B4">
        <w:rPr>
          <w:rFonts w:ascii="Times New Roman" w:hAnsi="Times New Roman" w:cs="Times New Roman"/>
          <w:sz w:val="26"/>
          <w:szCs w:val="26"/>
        </w:rPr>
        <w:t>è stata largamente favorita dalla struttura dei</w:t>
      </w:r>
      <w:r w:rsidR="00534C87">
        <w:rPr>
          <w:rFonts w:ascii="Times New Roman" w:hAnsi="Times New Roman" w:cs="Times New Roman"/>
          <w:sz w:val="26"/>
          <w:szCs w:val="26"/>
        </w:rPr>
        <w:t xml:space="preserve"> tassi di interesse</w:t>
      </w:r>
      <w:r w:rsidR="00CE6711">
        <w:rPr>
          <w:rFonts w:ascii="Times New Roman" w:hAnsi="Times New Roman" w:cs="Times New Roman"/>
          <w:sz w:val="26"/>
          <w:szCs w:val="26"/>
        </w:rPr>
        <w:t xml:space="preserve"> degli </w:t>
      </w:r>
      <w:r w:rsidR="008F59B4">
        <w:rPr>
          <w:rFonts w:ascii="Times New Roman" w:hAnsi="Times New Roman" w:cs="Times New Roman"/>
          <w:sz w:val="26"/>
          <w:szCs w:val="26"/>
        </w:rPr>
        <w:t>ultimi anni. In un contesto nel quale</w:t>
      </w:r>
      <w:r w:rsidR="00D9363A">
        <w:rPr>
          <w:rFonts w:ascii="Times New Roman" w:hAnsi="Times New Roman" w:cs="Times New Roman"/>
          <w:sz w:val="26"/>
          <w:szCs w:val="26"/>
        </w:rPr>
        <w:t xml:space="preserve">: </w:t>
      </w:r>
    </w:p>
    <w:p w14:paraId="3602A045" w14:textId="38D324F2" w:rsidR="00D9363A" w:rsidRDefault="008F59B4" w:rsidP="00D9363A">
      <w:pPr>
        <w:spacing w:after="0" w:line="360" w:lineRule="auto"/>
        <w:ind w:left="284" w:hanging="284"/>
        <w:jc w:val="both"/>
        <w:rPr>
          <w:rFonts w:ascii="Times New Roman" w:hAnsi="Times New Roman" w:cs="Times New Roman"/>
          <w:sz w:val="26"/>
          <w:szCs w:val="26"/>
        </w:rPr>
      </w:pPr>
      <w:r>
        <w:rPr>
          <w:rFonts w:ascii="Times New Roman" w:hAnsi="Times New Roman" w:cs="Times New Roman"/>
          <w:sz w:val="26"/>
          <w:szCs w:val="26"/>
        </w:rPr>
        <w:t xml:space="preserve">(a) </w:t>
      </w:r>
      <w:r w:rsidR="00C65861">
        <w:rPr>
          <w:rFonts w:ascii="Times New Roman" w:hAnsi="Times New Roman" w:cs="Times New Roman"/>
          <w:sz w:val="26"/>
          <w:szCs w:val="26"/>
        </w:rPr>
        <w:t xml:space="preserve"> </w:t>
      </w:r>
      <w:r>
        <w:rPr>
          <w:rFonts w:ascii="Times New Roman" w:hAnsi="Times New Roman" w:cs="Times New Roman"/>
          <w:sz w:val="26"/>
          <w:szCs w:val="26"/>
        </w:rPr>
        <w:t xml:space="preserve">l’investimento nell’obbligazionario </w:t>
      </w:r>
      <w:r w:rsidRPr="008F59B4">
        <w:rPr>
          <w:rFonts w:ascii="Times New Roman" w:hAnsi="Times New Roman" w:cs="Times New Roman"/>
          <w:i/>
          <w:sz w:val="26"/>
          <w:szCs w:val="26"/>
        </w:rPr>
        <w:t xml:space="preserve">short </w:t>
      </w:r>
      <w:proofErr w:type="spellStart"/>
      <w:r w:rsidRPr="008F59B4">
        <w:rPr>
          <w:rFonts w:ascii="Times New Roman" w:hAnsi="Times New Roman" w:cs="Times New Roman"/>
          <w:i/>
          <w:sz w:val="26"/>
          <w:szCs w:val="26"/>
        </w:rPr>
        <w:t>term</w:t>
      </w:r>
      <w:proofErr w:type="spellEnd"/>
      <w:r>
        <w:rPr>
          <w:rFonts w:ascii="Times New Roman" w:hAnsi="Times New Roman" w:cs="Times New Roman"/>
          <w:sz w:val="26"/>
          <w:szCs w:val="26"/>
        </w:rPr>
        <w:t xml:space="preserve"> presenta rendimenti negativi</w:t>
      </w:r>
      <w:r w:rsidR="00233DC2">
        <w:rPr>
          <w:rFonts w:ascii="Times New Roman" w:hAnsi="Times New Roman" w:cs="Times New Roman"/>
          <w:sz w:val="26"/>
          <w:szCs w:val="26"/>
        </w:rPr>
        <w:t>,</w:t>
      </w:r>
      <w:r w:rsidR="00534C87">
        <w:rPr>
          <w:rFonts w:ascii="Times New Roman" w:hAnsi="Times New Roman" w:cs="Times New Roman"/>
          <w:sz w:val="26"/>
          <w:szCs w:val="26"/>
        </w:rPr>
        <w:t xml:space="preserve"> </w:t>
      </w:r>
    </w:p>
    <w:p w14:paraId="1DCB418C" w14:textId="77777777" w:rsidR="00D9363A" w:rsidRDefault="008F59B4" w:rsidP="00D9363A">
      <w:pPr>
        <w:spacing w:after="0" w:line="360" w:lineRule="auto"/>
        <w:ind w:left="426" w:hanging="426"/>
        <w:jc w:val="both"/>
        <w:rPr>
          <w:rFonts w:ascii="Times New Roman" w:hAnsi="Times New Roman" w:cs="Times New Roman"/>
          <w:sz w:val="26"/>
          <w:szCs w:val="26"/>
        </w:rPr>
      </w:pPr>
      <w:r>
        <w:rPr>
          <w:rFonts w:ascii="Times New Roman" w:hAnsi="Times New Roman" w:cs="Times New Roman"/>
          <w:sz w:val="26"/>
          <w:szCs w:val="26"/>
        </w:rPr>
        <w:t>(b) l’investimento</w:t>
      </w:r>
      <w:r w:rsidR="00534C87">
        <w:rPr>
          <w:rFonts w:ascii="Times New Roman" w:hAnsi="Times New Roman" w:cs="Times New Roman"/>
          <w:sz w:val="26"/>
          <w:szCs w:val="26"/>
        </w:rPr>
        <w:t xml:space="preserve"> </w:t>
      </w:r>
      <w:r>
        <w:rPr>
          <w:rFonts w:ascii="Times New Roman" w:hAnsi="Times New Roman" w:cs="Times New Roman"/>
          <w:sz w:val="26"/>
          <w:szCs w:val="26"/>
        </w:rPr>
        <w:t xml:space="preserve">nell’obbligazionario ad </w:t>
      </w:r>
      <w:r w:rsidR="00534C87">
        <w:rPr>
          <w:rFonts w:ascii="Times New Roman" w:hAnsi="Times New Roman" w:cs="Times New Roman"/>
          <w:sz w:val="26"/>
          <w:szCs w:val="26"/>
        </w:rPr>
        <w:t>eleva</w:t>
      </w:r>
      <w:r w:rsidR="001744CC">
        <w:rPr>
          <w:rFonts w:ascii="Times New Roman" w:hAnsi="Times New Roman" w:cs="Times New Roman"/>
          <w:sz w:val="26"/>
          <w:szCs w:val="26"/>
        </w:rPr>
        <w:t>ta</w:t>
      </w:r>
      <w:r w:rsidR="00534C87">
        <w:rPr>
          <w:rFonts w:ascii="Times New Roman" w:hAnsi="Times New Roman" w:cs="Times New Roman"/>
          <w:sz w:val="26"/>
          <w:szCs w:val="26"/>
        </w:rPr>
        <w:t xml:space="preserve"> duration </w:t>
      </w:r>
      <w:r w:rsidR="00D9363A">
        <w:rPr>
          <w:rFonts w:ascii="Times New Roman" w:hAnsi="Times New Roman" w:cs="Times New Roman"/>
          <w:sz w:val="26"/>
          <w:szCs w:val="26"/>
        </w:rPr>
        <w:t>costituisce l</w:t>
      </w:r>
      <w:r>
        <w:rPr>
          <w:rFonts w:ascii="Times New Roman" w:hAnsi="Times New Roman" w:cs="Times New Roman"/>
          <w:sz w:val="26"/>
          <w:szCs w:val="26"/>
        </w:rPr>
        <w:t>’unic</w:t>
      </w:r>
      <w:r w:rsidR="00764947">
        <w:rPr>
          <w:rFonts w:ascii="Times New Roman" w:hAnsi="Times New Roman" w:cs="Times New Roman"/>
          <w:sz w:val="26"/>
          <w:szCs w:val="26"/>
        </w:rPr>
        <w:t>a soluzione</w:t>
      </w:r>
      <w:r>
        <w:rPr>
          <w:rFonts w:ascii="Times New Roman" w:hAnsi="Times New Roman" w:cs="Times New Roman"/>
          <w:sz w:val="26"/>
          <w:szCs w:val="26"/>
        </w:rPr>
        <w:t xml:space="preserve"> in grado</w:t>
      </w:r>
      <w:r w:rsidR="00534C87">
        <w:rPr>
          <w:rFonts w:ascii="Times New Roman" w:hAnsi="Times New Roman" w:cs="Times New Roman"/>
          <w:sz w:val="26"/>
          <w:szCs w:val="26"/>
        </w:rPr>
        <w:t xml:space="preserve"> di produrre rendimenti </w:t>
      </w:r>
      <w:r>
        <w:rPr>
          <w:rFonts w:ascii="Times New Roman" w:hAnsi="Times New Roman" w:cs="Times New Roman"/>
          <w:sz w:val="26"/>
          <w:szCs w:val="26"/>
        </w:rPr>
        <w:t xml:space="preserve">marginalmente </w:t>
      </w:r>
      <w:r w:rsidR="00534C87">
        <w:rPr>
          <w:rFonts w:ascii="Times New Roman" w:hAnsi="Times New Roman" w:cs="Times New Roman"/>
          <w:sz w:val="26"/>
          <w:szCs w:val="26"/>
        </w:rPr>
        <w:t>positivi, ma</w:t>
      </w:r>
      <w:r w:rsidR="00D9363A">
        <w:rPr>
          <w:rFonts w:ascii="Times New Roman" w:hAnsi="Times New Roman" w:cs="Times New Roman"/>
          <w:sz w:val="26"/>
          <w:szCs w:val="26"/>
        </w:rPr>
        <w:t xml:space="preserve">, al tempo stesso, </w:t>
      </w:r>
      <w:r w:rsidR="00534C87">
        <w:rPr>
          <w:rFonts w:ascii="Times New Roman" w:hAnsi="Times New Roman" w:cs="Times New Roman"/>
          <w:sz w:val="26"/>
          <w:szCs w:val="26"/>
        </w:rPr>
        <w:t>espone</w:t>
      </w:r>
      <w:r w:rsidR="00D9363A">
        <w:rPr>
          <w:rFonts w:ascii="Times New Roman" w:hAnsi="Times New Roman" w:cs="Times New Roman"/>
          <w:sz w:val="26"/>
          <w:szCs w:val="26"/>
        </w:rPr>
        <w:t xml:space="preserve"> </w:t>
      </w:r>
      <w:r w:rsidR="00534C87">
        <w:rPr>
          <w:rFonts w:ascii="Times New Roman" w:hAnsi="Times New Roman" w:cs="Times New Roman"/>
          <w:sz w:val="26"/>
          <w:szCs w:val="26"/>
        </w:rPr>
        <w:t xml:space="preserve">al rischio di </w:t>
      </w:r>
      <w:r w:rsidR="00DC38D4">
        <w:rPr>
          <w:rFonts w:ascii="Times New Roman" w:hAnsi="Times New Roman" w:cs="Times New Roman"/>
          <w:sz w:val="26"/>
          <w:szCs w:val="26"/>
        </w:rPr>
        <w:t xml:space="preserve">ingenti </w:t>
      </w:r>
      <w:r w:rsidR="00CE6711">
        <w:rPr>
          <w:rFonts w:ascii="Times New Roman" w:hAnsi="Times New Roman" w:cs="Times New Roman"/>
          <w:sz w:val="26"/>
          <w:szCs w:val="26"/>
        </w:rPr>
        <w:t>perdite</w:t>
      </w:r>
      <w:r w:rsidR="00534C87">
        <w:rPr>
          <w:rFonts w:ascii="Times New Roman" w:hAnsi="Times New Roman" w:cs="Times New Roman"/>
          <w:sz w:val="26"/>
          <w:szCs w:val="26"/>
        </w:rPr>
        <w:t xml:space="preserve"> in caso di rialzo dei tassi di interesse</w:t>
      </w:r>
      <w:r w:rsidR="00233DC2">
        <w:rPr>
          <w:rFonts w:ascii="Times New Roman" w:hAnsi="Times New Roman" w:cs="Times New Roman"/>
          <w:sz w:val="26"/>
          <w:szCs w:val="26"/>
        </w:rPr>
        <w:t>,</w:t>
      </w:r>
      <w:r>
        <w:rPr>
          <w:rFonts w:ascii="Times New Roman" w:hAnsi="Times New Roman" w:cs="Times New Roman"/>
          <w:sz w:val="26"/>
          <w:szCs w:val="26"/>
        </w:rPr>
        <w:t xml:space="preserve"> </w:t>
      </w:r>
    </w:p>
    <w:p w14:paraId="199E6078" w14:textId="77777777" w:rsidR="00571BDC" w:rsidRDefault="00DC38D4" w:rsidP="00D9363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il “canto” di chi promette una gestione </w:t>
      </w:r>
      <w:r w:rsidR="00B87949">
        <w:rPr>
          <w:rFonts w:ascii="Times New Roman" w:hAnsi="Times New Roman" w:cs="Times New Roman"/>
          <w:sz w:val="26"/>
          <w:szCs w:val="26"/>
        </w:rPr>
        <w:t>attiva</w:t>
      </w:r>
      <w:r>
        <w:rPr>
          <w:rFonts w:ascii="Times New Roman" w:hAnsi="Times New Roman" w:cs="Times New Roman"/>
          <w:sz w:val="26"/>
          <w:szCs w:val="26"/>
        </w:rPr>
        <w:t xml:space="preserve"> della duration</w:t>
      </w:r>
      <w:r w:rsidR="00764947">
        <w:rPr>
          <w:rFonts w:ascii="Times New Roman" w:hAnsi="Times New Roman" w:cs="Times New Roman"/>
          <w:sz w:val="26"/>
          <w:szCs w:val="26"/>
        </w:rPr>
        <w:t>,</w:t>
      </w:r>
      <w:r>
        <w:rPr>
          <w:rFonts w:ascii="Times New Roman" w:hAnsi="Times New Roman" w:cs="Times New Roman"/>
          <w:sz w:val="26"/>
          <w:szCs w:val="26"/>
        </w:rPr>
        <w:t xml:space="preserve"> in grado di variare</w:t>
      </w:r>
      <w:r w:rsidR="00D9363A">
        <w:rPr>
          <w:rFonts w:ascii="Times New Roman" w:hAnsi="Times New Roman" w:cs="Times New Roman"/>
          <w:sz w:val="26"/>
          <w:szCs w:val="26"/>
        </w:rPr>
        <w:t xml:space="preserve"> </w:t>
      </w:r>
      <w:r>
        <w:rPr>
          <w:rFonts w:ascii="Times New Roman" w:hAnsi="Times New Roman" w:cs="Times New Roman"/>
          <w:sz w:val="26"/>
          <w:szCs w:val="26"/>
        </w:rPr>
        <w:t>temporalmente la stessa in funzione della dinamica futura delle curve dei tassi di interesse, diventa irresistibile.</w:t>
      </w:r>
    </w:p>
    <w:p w14:paraId="6BE78F71" w14:textId="77777777" w:rsidR="00DC38D4" w:rsidRDefault="00315C8E" w:rsidP="00095829">
      <w:pPr>
        <w:spacing w:after="0"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La Tabella </w:t>
      </w:r>
      <w:r w:rsidR="00CA3690">
        <w:rPr>
          <w:rFonts w:ascii="Times New Roman" w:hAnsi="Times New Roman" w:cs="Times New Roman"/>
          <w:sz w:val="26"/>
          <w:szCs w:val="26"/>
        </w:rPr>
        <w:t>1</w:t>
      </w:r>
      <w:r w:rsidR="00FF759B">
        <w:rPr>
          <w:rFonts w:ascii="Times New Roman" w:hAnsi="Times New Roman" w:cs="Times New Roman"/>
          <w:sz w:val="26"/>
          <w:szCs w:val="26"/>
        </w:rPr>
        <w:t>,</w:t>
      </w:r>
      <w:r>
        <w:rPr>
          <w:rFonts w:ascii="Times New Roman" w:hAnsi="Times New Roman" w:cs="Times New Roman"/>
          <w:sz w:val="26"/>
          <w:szCs w:val="26"/>
        </w:rPr>
        <w:t xml:space="preserve"> </w:t>
      </w:r>
      <w:r w:rsidR="004A2543">
        <w:rPr>
          <w:rFonts w:ascii="Times New Roman" w:hAnsi="Times New Roman" w:cs="Times New Roman"/>
          <w:sz w:val="26"/>
          <w:szCs w:val="26"/>
        </w:rPr>
        <w:t xml:space="preserve">che riporta </w:t>
      </w:r>
      <w:r w:rsidR="00B87949">
        <w:rPr>
          <w:rFonts w:ascii="Times New Roman" w:hAnsi="Times New Roman" w:cs="Times New Roman"/>
          <w:sz w:val="26"/>
          <w:szCs w:val="26"/>
        </w:rPr>
        <w:t>l’evoluzione</w:t>
      </w:r>
      <w:r w:rsidR="00FF759B">
        <w:rPr>
          <w:rFonts w:ascii="Times New Roman" w:hAnsi="Times New Roman" w:cs="Times New Roman"/>
          <w:sz w:val="26"/>
          <w:szCs w:val="26"/>
        </w:rPr>
        <w:t xml:space="preserve"> </w:t>
      </w:r>
      <w:r w:rsidR="004A2543">
        <w:rPr>
          <w:rFonts w:ascii="Times New Roman" w:hAnsi="Times New Roman" w:cs="Times New Roman"/>
          <w:sz w:val="26"/>
          <w:szCs w:val="26"/>
        </w:rPr>
        <w:t xml:space="preserve">negli ultimi anni </w:t>
      </w:r>
      <w:r w:rsidR="00FF759B">
        <w:rPr>
          <w:rFonts w:ascii="Times New Roman" w:hAnsi="Times New Roman" w:cs="Times New Roman"/>
          <w:sz w:val="26"/>
          <w:szCs w:val="26"/>
        </w:rPr>
        <w:t>del numero di fondi</w:t>
      </w:r>
      <w:r w:rsidR="004A2543">
        <w:rPr>
          <w:rFonts w:ascii="Times New Roman" w:hAnsi="Times New Roman" w:cs="Times New Roman"/>
          <w:sz w:val="26"/>
          <w:szCs w:val="26"/>
        </w:rPr>
        <w:t xml:space="preserve"> flessibili</w:t>
      </w:r>
      <w:r w:rsidR="00FF759B">
        <w:rPr>
          <w:rFonts w:ascii="Times New Roman" w:hAnsi="Times New Roman" w:cs="Times New Roman"/>
          <w:sz w:val="26"/>
          <w:szCs w:val="26"/>
        </w:rPr>
        <w:t xml:space="preserve"> e del loro patrimonio gestito, offre una </w:t>
      </w:r>
      <w:r w:rsidR="00103341">
        <w:rPr>
          <w:rFonts w:ascii="Times New Roman" w:hAnsi="Times New Roman" w:cs="Times New Roman"/>
          <w:sz w:val="26"/>
          <w:szCs w:val="26"/>
        </w:rPr>
        <w:t xml:space="preserve">descrizione illuminante </w:t>
      </w:r>
      <w:r w:rsidR="003F00DA">
        <w:rPr>
          <w:rFonts w:ascii="Times New Roman" w:hAnsi="Times New Roman" w:cs="Times New Roman"/>
          <w:sz w:val="26"/>
          <w:szCs w:val="26"/>
        </w:rPr>
        <w:t>de</w:t>
      </w:r>
      <w:r w:rsidR="00103341">
        <w:rPr>
          <w:rFonts w:ascii="Times New Roman" w:hAnsi="Times New Roman" w:cs="Times New Roman"/>
          <w:sz w:val="26"/>
          <w:szCs w:val="26"/>
        </w:rPr>
        <w:t xml:space="preserve">lla crescita esponenziale del settore di </w:t>
      </w:r>
      <w:r w:rsidR="004A2543">
        <w:rPr>
          <w:rFonts w:ascii="Times New Roman" w:hAnsi="Times New Roman" w:cs="Times New Roman"/>
          <w:sz w:val="26"/>
          <w:szCs w:val="26"/>
        </w:rPr>
        <w:t xml:space="preserve">tali </w:t>
      </w:r>
      <w:r w:rsidR="00103341">
        <w:rPr>
          <w:rFonts w:ascii="Times New Roman" w:hAnsi="Times New Roman" w:cs="Times New Roman"/>
          <w:sz w:val="26"/>
          <w:szCs w:val="26"/>
        </w:rPr>
        <w:t>prodotti</w:t>
      </w:r>
      <w:r w:rsidR="00ED0BEB">
        <w:rPr>
          <w:rFonts w:ascii="Times New Roman" w:hAnsi="Times New Roman" w:cs="Times New Roman"/>
          <w:sz w:val="26"/>
          <w:szCs w:val="26"/>
        </w:rPr>
        <w:t>: quest</w:t>
      </w:r>
      <w:r w:rsidR="003A6304">
        <w:rPr>
          <w:rFonts w:ascii="Times New Roman" w:hAnsi="Times New Roman" w:cs="Times New Roman"/>
          <w:sz w:val="26"/>
          <w:szCs w:val="26"/>
        </w:rPr>
        <w:t>o</w:t>
      </w:r>
      <w:r w:rsidR="00ED0BEB">
        <w:rPr>
          <w:rFonts w:ascii="Times New Roman" w:hAnsi="Times New Roman" w:cs="Times New Roman"/>
          <w:sz w:val="26"/>
          <w:szCs w:val="26"/>
        </w:rPr>
        <w:t xml:space="preserve"> rappresenta</w:t>
      </w:r>
      <w:r w:rsidR="005B73B1">
        <w:rPr>
          <w:rFonts w:ascii="Times New Roman" w:hAnsi="Times New Roman" w:cs="Times New Roman"/>
          <w:sz w:val="26"/>
          <w:szCs w:val="26"/>
        </w:rPr>
        <w:t>, oggi,</w:t>
      </w:r>
      <w:r w:rsidR="00ED0BEB">
        <w:rPr>
          <w:rFonts w:ascii="Times New Roman" w:hAnsi="Times New Roman" w:cs="Times New Roman"/>
          <w:sz w:val="26"/>
          <w:szCs w:val="26"/>
        </w:rPr>
        <w:t xml:space="preserve"> oltre </w:t>
      </w:r>
      <w:r w:rsidR="005A04FC">
        <w:rPr>
          <w:rFonts w:ascii="Times New Roman" w:hAnsi="Times New Roman" w:cs="Times New Roman"/>
          <w:sz w:val="26"/>
          <w:szCs w:val="26"/>
        </w:rPr>
        <w:t>il 25%</w:t>
      </w:r>
      <w:r w:rsidR="00ED0BEB">
        <w:rPr>
          <w:rFonts w:ascii="Times New Roman" w:hAnsi="Times New Roman" w:cs="Times New Roman"/>
          <w:sz w:val="26"/>
          <w:szCs w:val="26"/>
        </w:rPr>
        <w:t xml:space="preserve"> dei fondi distribuiti in Italia e il 13% delle masse gestite. </w:t>
      </w:r>
    </w:p>
    <w:p w14:paraId="2D76D691" w14:textId="77777777" w:rsidR="004A2543" w:rsidRDefault="004A2543" w:rsidP="00095829">
      <w:pPr>
        <w:spacing w:after="0" w:line="360" w:lineRule="auto"/>
        <w:ind w:firstLine="567"/>
        <w:jc w:val="both"/>
        <w:rPr>
          <w:rFonts w:ascii="Times New Roman" w:hAnsi="Times New Roman" w:cs="Times New Roman"/>
          <w:sz w:val="26"/>
          <w:szCs w:val="26"/>
        </w:rPr>
      </w:pPr>
    </w:p>
    <w:p w14:paraId="43123D89" w14:textId="391B8FFD" w:rsidR="004A2543" w:rsidRDefault="004A2543" w:rsidP="004A2543">
      <w:pPr>
        <w:spacing w:after="0" w:line="240" w:lineRule="auto"/>
        <w:ind w:left="1276" w:hanging="1276"/>
        <w:jc w:val="both"/>
        <w:rPr>
          <w:rFonts w:ascii="Times New Roman" w:hAnsi="Times New Roman" w:cs="Times New Roman"/>
          <w:b/>
          <w:sz w:val="26"/>
          <w:szCs w:val="26"/>
        </w:rPr>
      </w:pPr>
      <w:r w:rsidRPr="00103341">
        <w:rPr>
          <w:rFonts w:ascii="Times New Roman" w:hAnsi="Times New Roman" w:cs="Times New Roman"/>
          <w:b/>
          <w:sz w:val="26"/>
          <w:szCs w:val="26"/>
        </w:rPr>
        <w:t xml:space="preserve">Tabella </w:t>
      </w:r>
      <w:r>
        <w:rPr>
          <w:rFonts w:ascii="Times New Roman" w:hAnsi="Times New Roman" w:cs="Times New Roman"/>
          <w:b/>
          <w:sz w:val="26"/>
          <w:szCs w:val="26"/>
        </w:rPr>
        <w:t>1</w:t>
      </w:r>
      <w:r w:rsidRPr="00103341">
        <w:rPr>
          <w:rFonts w:ascii="Times New Roman" w:hAnsi="Times New Roman" w:cs="Times New Roman"/>
          <w:b/>
          <w:sz w:val="26"/>
          <w:szCs w:val="26"/>
        </w:rPr>
        <w:t>:</w:t>
      </w:r>
      <w:r>
        <w:rPr>
          <w:rFonts w:ascii="Times New Roman" w:hAnsi="Times New Roman" w:cs="Times New Roman"/>
          <w:b/>
          <w:sz w:val="26"/>
          <w:szCs w:val="26"/>
        </w:rPr>
        <w:tab/>
      </w:r>
      <w:r w:rsidRPr="00103341">
        <w:rPr>
          <w:rFonts w:ascii="Times New Roman" w:hAnsi="Times New Roman" w:cs="Times New Roman"/>
          <w:b/>
          <w:sz w:val="26"/>
          <w:szCs w:val="26"/>
        </w:rPr>
        <w:t>Numero</w:t>
      </w:r>
      <w:r>
        <w:rPr>
          <w:rFonts w:ascii="Times New Roman" w:hAnsi="Times New Roman" w:cs="Times New Roman"/>
          <w:b/>
          <w:sz w:val="26"/>
          <w:szCs w:val="26"/>
        </w:rPr>
        <w:t>sità</w:t>
      </w:r>
      <w:r w:rsidRPr="00103341">
        <w:rPr>
          <w:rFonts w:ascii="Times New Roman" w:hAnsi="Times New Roman" w:cs="Times New Roman"/>
          <w:b/>
          <w:sz w:val="26"/>
          <w:szCs w:val="26"/>
        </w:rPr>
        <w:t xml:space="preserve"> e </w:t>
      </w:r>
      <w:proofErr w:type="spellStart"/>
      <w:r>
        <w:rPr>
          <w:rFonts w:ascii="Times New Roman" w:hAnsi="Times New Roman" w:cs="Times New Roman"/>
          <w:b/>
          <w:sz w:val="26"/>
          <w:szCs w:val="26"/>
        </w:rPr>
        <w:t>AuM</w:t>
      </w:r>
      <w:proofErr w:type="spellEnd"/>
      <w:r w:rsidRPr="00103341">
        <w:rPr>
          <w:rFonts w:ascii="Times New Roman" w:hAnsi="Times New Roman" w:cs="Times New Roman"/>
          <w:b/>
          <w:sz w:val="26"/>
          <w:szCs w:val="26"/>
        </w:rPr>
        <w:t xml:space="preserve"> dei fondi</w:t>
      </w:r>
      <w:r>
        <w:rPr>
          <w:rFonts w:ascii="Times New Roman" w:hAnsi="Times New Roman" w:cs="Times New Roman"/>
          <w:b/>
          <w:sz w:val="26"/>
          <w:szCs w:val="26"/>
        </w:rPr>
        <w:t xml:space="preserve"> flessibili (</w:t>
      </w:r>
      <w:r w:rsidRPr="004A2543">
        <w:rPr>
          <w:rFonts w:ascii="Times New Roman" w:hAnsi="Times New Roman" w:cs="Times New Roman"/>
          <w:b/>
          <w:sz w:val="18"/>
          <w:szCs w:val="18"/>
        </w:rPr>
        <w:t>cos</w:t>
      </w:r>
      <w:r w:rsidR="00E710EE">
        <w:rPr>
          <w:rFonts w:ascii="Times New Roman" w:hAnsi="Times New Roman" w:cs="Times New Roman"/>
          <w:b/>
          <w:sz w:val="18"/>
          <w:szCs w:val="18"/>
        </w:rPr>
        <w:t>ì</w:t>
      </w:r>
      <w:r w:rsidRPr="004A2543">
        <w:rPr>
          <w:rFonts w:ascii="Times New Roman" w:hAnsi="Times New Roman" w:cs="Times New Roman"/>
          <w:b/>
          <w:sz w:val="18"/>
          <w:szCs w:val="18"/>
        </w:rPr>
        <w:t xml:space="preserve"> come classificati da Assogestioni</w:t>
      </w:r>
      <w:r>
        <w:rPr>
          <w:rFonts w:ascii="Times New Roman" w:hAnsi="Times New Roman" w:cs="Times New Roman"/>
          <w:b/>
          <w:sz w:val="26"/>
          <w:szCs w:val="26"/>
        </w:rPr>
        <w:t>)</w:t>
      </w:r>
      <w:r w:rsidRPr="0098276A">
        <w:rPr>
          <w:rFonts w:ascii="Times New Roman" w:hAnsi="Times New Roman" w:cs="Times New Roman"/>
          <w:b/>
          <w:sz w:val="26"/>
          <w:szCs w:val="26"/>
        </w:rPr>
        <w:t xml:space="preserve"> </w:t>
      </w:r>
    </w:p>
    <w:p w14:paraId="2DCF87D6" w14:textId="77777777" w:rsidR="004A2543" w:rsidRPr="00103341" w:rsidRDefault="004A2543" w:rsidP="004A2543">
      <w:pPr>
        <w:spacing w:after="0" w:line="240" w:lineRule="auto"/>
        <w:ind w:left="1276" w:hanging="1276"/>
        <w:jc w:val="both"/>
        <w:rPr>
          <w:rFonts w:ascii="Times New Roman" w:hAnsi="Times New Roman" w:cs="Times New Roman"/>
          <w:b/>
          <w:sz w:val="26"/>
          <w:szCs w:val="26"/>
        </w:rPr>
      </w:pPr>
    </w:p>
    <w:p w14:paraId="0D9AF922" w14:textId="77777777" w:rsidR="004A2543" w:rsidRDefault="004A2543" w:rsidP="004A2543">
      <w:pPr>
        <w:spacing w:after="0" w:line="360" w:lineRule="auto"/>
        <w:ind w:left="1276" w:hanging="1276"/>
        <w:jc w:val="center"/>
        <w:rPr>
          <w:rFonts w:ascii="Times New Roman" w:hAnsi="Times New Roman" w:cs="Times New Roman"/>
          <w:sz w:val="26"/>
          <w:szCs w:val="26"/>
        </w:rPr>
      </w:pPr>
      <w:r w:rsidRPr="004B14E3">
        <w:rPr>
          <w:noProof/>
          <w:lang w:eastAsia="it-IT"/>
        </w:rPr>
        <w:drawing>
          <wp:inline distT="0" distB="0" distL="0" distR="0" wp14:anchorId="72CBF0DE" wp14:editId="14E4627F">
            <wp:extent cx="4213622" cy="2473929"/>
            <wp:effectExtent l="0" t="0" r="0" b="31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4900" cy="2474679"/>
                    </a:xfrm>
                    <a:prstGeom prst="rect">
                      <a:avLst/>
                    </a:prstGeom>
                    <a:noFill/>
                    <a:ln>
                      <a:noFill/>
                    </a:ln>
                  </pic:spPr>
                </pic:pic>
              </a:graphicData>
            </a:graphic>
          </wp:inline>
        </w:drawing>
      </w:r>
    </w:p>
    <w:p w14:paraId="0D543F68" w14:textId="77777777" w:rsidR="004A2543" w:rsidRPr="00103341" w:rsidRDefault="004A2543" w:rsidP="004A2543">
      <w:pPr>
        <w:spacing w:after="0" w:line="360" w:lineRule="auto"/>
        <w:ind w:left="993"/>
        <w:jc w:val="both"/>
        <w:rPr>
          <w:rFonts w:ascii="Times New Roman" w:hAnsi="Times New Roman" w:cs="Times New Roman"/>
          <w:i/>
        </w:rPr>
      </w:pPr>
      <w:r w:rsidRPr="00103341">
        <w:rPr>
          <w:rFonts w:ascii="Times New Roman" w:hAnsi="Times New Roman" w:cs="Times New Roman"/>
          <w:i/>
        </w:rPr>
        <w:t>Fonte: Nostre elaborazioni su dati Assogestioni</w:t>
      </w:r>
      <w:r>
        <w:rPr>
          <w:rFonts w:ascii="Times New Roman" w:hAnsi="Times New Roman" w:cs="Times New Roman"/>
          <w:i/>
        </w:rPr>
        <w:t>.</w:t>
      </w:r>
    </w:p>
    <w:p w14:paraId="74113924" w14:textId="7C872BFF" w:rsidR="0098276A" w:rsidRDefault="0098276A" w:rsidP="0098276A">
      <w:pPr>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La crescita significativa del segmento dei prodotti flessibili trova un’ulteriore giustificazione nella spinta da parte dei canali distributivi. Tali prodotti presentano (</w:t>
      </w:r>
      <w:r w:rsidR="00225EB5">
        <w:rPr>
          <w:rFonts w:ascii="Times New Roman" w:hAnsi="Times New Roman" w:cs="Times New Roman"/>
          <w:sz w:val="26"/>
          <w:szCs w:val="26"/>
        </w:rPr>
        <w:t xml:space="preserve">e </w:t>
      </w:r>
      <w:r>
        <w:rPr>
          <w:rFonts w:ascii="Times New Roman" w:hAnsi="Times New Roman" w:cs="Times New Roman"/>
          <w:sz w:val="26"/>
          <w:szCs w:val="26"/>
        </w:rPr>
        <w:t xml:space="preserve">il loro complesso stile di gestione </w:t>
      </w:r>
      <w:r w:rsidR="00C65861">
        <w:rPr>
          <w:rFonts w:ascii="Times New Roman" w:hAnsi="Times New Roman" w:cs="Times New Roman"/>
          <w:sz w:val="26"/>
          <w:szCs w:val="26"/>
        </w:rPr>
        <w:t xml:space="preserve">in parte lo </w:t>
      </w:r>
      <w:r>
        <w:rPr>
          <w:rFonts w:ascii="Times New Roman" w:hAnsi="Times New Roman" w:cs="Times New Roman"/>
          <w:sz w:val="26"/>
          <w:szCs w:val="26"/>
        </w:rPr>
        <w:t>giustifica) commissioni di gestione elevate, di poco inferiori a quelle dei fondi azionari, ma sensibilmente superiori a quelle dei prodotti obbligazionari</w:t>
      </w:r>
      <w:r>
        <w:rPr>
          <w:rStyle w:val="Rimandonotaapidipagina"/>
          <w:rFonts w:ascii="Times New Roman" w:hAnsi="Times New Roman" w:cs="Times New Roman"/>
          <w:sz w:val="26"/>
          <w:szCs w:val="26"/>
        </w:rPr>
        <w:footnoteReference w:id="6"/>
      </w:r>
      <w:r>
        <w:rPr>
          <w:rFonts w:ascii="Times New Roman" w:hAnsi="Times New Roman" w:cs="Times New Roman"/>
          <w:sz w:val="26"/>
          <w:szCs w:val="26"/>
        </w:rPr>
        <w:t xml:space="preserve">. In un mercato, quello italiano, </w:t>
      </w:r>
      <w:r w:rsidR="00225EB5">
        <w:rPr>
          <w:rFonts w:ascii="Times New Roman" w:hAnsi="Times New Roman" w:cs="Times New Roman"/>
          <w:sz w:val="26"/>
          <w:szCs w:val="26"/>
        </w:rPr>
        <w:t>nel quale</w:t>
      </w:r>
      <w:r>
        <w:rPr>
          <w:rFonts w:ascii="Times New Roman" w:hAnsi="Times New Roman" w:cs="Times New Roman"/>
          <w:sz w:val="26"/>
          <w:szCs w:val="26"/>
        </w:rPr>
        <w:t xml:space="preserve"> la remunerazione degli intermediari finanziari è ancora basato sulle retrocessioni, esiste un interesse economico nel distribuire fondi flessibili, in quanto questi </w:t>
      </w:r>
      <w:r w:rsidR="00225EB5">
        <w:rPr>
          <w:rFonts w:ascii="Times New Roman" w:hAnsi="Times New Roman" w:cs="Times New Roman"/>
          <w:sz w:val="26"/>
          <w:szCs w:val="26"/>
        </w:rPr>
        <w:t>contribuiscono</w:t>
      </w:r>
      <w:r>
        <w:rPr>
          <w:rFonts w:ascii="Times New Roman" w:hAnsi="Times New Roman" w:cs="Times New Roman"/>
          <w:sz w:val="26"/>
          <w:szCs w:val="26"/>
        </w:rPr>
        <w:t xml:space="preserve"> ad accrescere il margine di intermediazione. </w:t>
      </w:r>
    </w:p>
    <w:p w14:paraId="0B8A2C0B" w14:textId="77777777" w:rsidR="00C029BD" w:rsidRDefault="00C029BD" w:rsidP="00C029B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Il successo dei fondi flessibili appare </w:t>
      </w:r>
      <w:r w:rsidR="00233DC2">
        <w:rPr>
          <w:rFonts w:ascii="Times New Roman" w:hAnsi="Times New Roman" w:cs="Times New Roman"/>
          <w:sz w:val="26"/>
          <w:szCs w:val="26"/>
        </w:rPr>
        <w:t>dunque</w:t>
      </w:r>
      <w:r>
        <w:rPr>
          <w:rFonts w:ascii="Times New Roman" w:hAnsi="Times New Roman" w:cs="Times New Roman"/>
          <w:sz w:val="26"/>
          <w:szCs w:val="26"/>
        </w:rPr>
        <w:t xml:space="preserve"> scontato, perché da un lato vi è l’interesse dell’intermediario distributore e dall’altro la propensione dell’investitore che, come un Ulisse contemporaneo, è attratto dalle sirene di un gestore potenzialmente sempre in </w:t>
      </w:r>
      <w:proofErr w:type="spellStart"/>
      <w:r w:rsidRPr="008F320D">
        <w:rPr>
          <w:rFonts w:ascii="Times New Roman" w:hAnsi="Times New Roman" w:cs="Times New Roman"/>
          <w:i/>
          <w:sz w:val="26"/>
          <w:szCs w:val="26"/>
        </w:rPr>
        <w:t>upside</w:t>
      </w:r>
      <w:proofErr w:type="spellEnd"/>
      <w:r>
        <w:rPr>
          <w:rFonts w:ascii="Times New Roman" w:hAnsi="Times New Roman" w:cs="Times New Roman"/>
          <w:sz w:val="26"/>
          <w:szCs w:val="26"/>
        </w:rPr>
        <w:t xml:space="preserve">. </w:t>
      </w:r>
    </w:p>
    <w:p w14:paraId="73314668" w14:textId="77777777" w:rsidR="009C090E" w:rsidRDefault="00B87949" w:rsidP="0009582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 fronte del</w:t>
      </w:r>
      <w:r w:rsidR="003A6304">
        <w:rPr>
          <w:rFonts w:ascii="Times New Roman" w:hAnsi="Times New Roman" w:cs="Times New Roman"/>
          <w:sz w:val="26"/>
          <w:szCs w:val="26"/>
        </w:rPr>
        <w:t xml:space="preserve"> peso</w:t>
      </w:r>
      <w:r>
        <w:rPr>
          <w:rFonts w:ascii="Times New Roman" w:hAnsi="Times New Roman" w:cs="Times New Roman"/>
          <w:sz w:val="26"/>
          <w:szCs w:val="26"/>
        </w:rPr>
        <w:t xml:space="preserve"> assunt</w:t>
      </w:r>
      <w:r w:rsidR="003A6304">
        <w:rPr>
          <w:rFonts w:ascii="Times New Roman" w:hAnsi="Times New Roman" w:cs="Times New Roman"/>
          <w:sz w:val="26"/>
          <w:szCs w:val="26"/>
        </w:rPr>
        <w:t>o</w:t>
      </w:r>
      <w:r>
        <w:rPr>
          <w:rFonts w:ascii="Times New Roman" w:hAnsi="Times New Roman" w:cs="Times New Roman"/>
          <w:sz w:val="26"/>
          <w:szCs w:val="26"/>
        </w:rPr>
        <w:t xml:space="preserve"> dal segmento dei fondi flessibili</w:t>
      </w:r>
      <w:r w:rsidR="003C00CA">
        <w:rPr>
          <w:rFonts w:ascii="Times New Roman" w:hAnsi="Times New Roman" w:cs="Times New Roman"/>
          <w:sz w:val="26"/>
          <w:szCs w:val="26"/>
        </w:rPr>
        <w:t>, un modello razionale di selezione è determinante al fine di produrre soluzioni di investimento robuste</w:t>
      </w:r>
      <w:r w:rsidR="004665E1">
        <w:rPr>
          <w:rFonts w:ascii="Times New Roman" w:hAnsi="Times New Roman" w:cs="Times New Roman"/>
          <w:sz w:val="26"/>
          <w:szCs w:val="26"/>
        </w:rPr>
        <w:t>.</w:t>
      </w:r>
      <w:r w:rsidR="003C00CA">
        <w:rPr>
          <w:rFonts w:ascii="Times New Roman" w:hAnsi="Times New Roman" w:cs="Times New Roman"/>
          <w:sz w:val="26"/>
          <w:szCs w:val="26"/>
        </w:rPr>
        <w:t xml:space="preserve"> Ma </w:t>
      </w:r>
      <w:r w:rsidR="004665E1">
        <w:rPr>
          <w:rFonts w:ascii="Times New Roman" w:hAnsi="Times New Roman" w:cs="Times New Roman"/>
          <w:sz w:val="26"/>
          <w:szCs w:val="26"/>
        </w:rPr>
        <w:t>utilizzare tali prodotti in modo adeguato, rispettando i</w:t>
      </w:r>
      <w:r w:rsidR="00233DC2">
        <w:rPr>
          <w:rFonts w:ascii="Times New Roman" w:hAnsi="Times New Roman" w:cs="Times New Roman"/>
          <w:sz w:val="26"/>
          <w:szCs w:val="26"/>
        </w:rPr>
        <w:t xml:space="preserve"> già</w:t>
      </w:r>
      <w:r w:rsidR="004665E1">
        <w:rPr>
          <w:rFonts w:ascii="Times New Roman" w:hAnsi="Times New Roman" w:cs="Times New Roman"/>
          <w:sz w:val="26"/>
          <w:szCs w:val="26"/>
        </w:rPr>
        <w:t xml:space="preserve"> menzionati principi che disciplinano il processo di costruzione di portafoglio è tutt’altro che </w:t>
      </w:r>
      <w:r w:rsidR="003F00DA">
        <w:rPr>
          <w:rFonts w:ascii="Times New Roman" w:hAnsi="Times New Roman" w:cs="Times New Roman"/>
          <w:sz w:val="26"/>
          <w:szCs w:val="26"/>
        </w:rPr>
        <w:t>agevole</w:t>
      </w:r>
      <w:r w:rsidR="004665E1">
        <w:rPr>
          <w:rFonts w:ascii="Times New Roman" w:hAnsi="Times New Roman" w:cs="Times New Roman"/>
          <w:sz w:val="26"/>
          <w:szCs w:val="26"/>
        </w:rPr>
        <w:t xml:space="preserve">. </w:t>
      </w:r>
      <w:r w:rsidR="00380A40">
        <w:rPr>
          <w:rFonts w:ascii="Times New Roman" w:hAnsi="Times New Roman" w:cs="Times New Roman"/>
          <w:sz w:val="26"/>
          <w:szCs w:val="26"/>
        </w:rPr>
        <w:t>Il</w:t>
      </w:r>
      <w:r w:rsidR="004665E1">
        <w:rPr>
          <w:rFonts w:ascii="Times New Roman" w:hAnsi="Times New Roman" w:cs="Times New Roman"/>
          <w:sz w:val="26"/>
          <w:szCs w:val="26"/>
        </w:rPr>
        <w:t xml:space="preserve"> prim</w:t>
      </w:r>
      <w:r w:rsidR="00380A40">
        <w:rPr>
          <w:rFonts w:ascii="Times New Roman" w:hAnsi="Times New Roman" w:cs="Times New Roman"/>
          <w:sz w:val="26"/>
          <w:szCs w:val="26"/>
        </w:rPr>
        <w:t>o fattore di difficoltà</w:t>
      </w:r>
      <w:r w:rsidR="004665E1">
        <w:rPr>
          <w:rFonts w:ascii="Times New Roman" w:hAnsi="Times New Roman" w:cs="Times New Roman"/>
          <w:sz w:val="26"/>
          <w:szCs w:val="26"/>
        </w:rPr>
        <w:t xml:space="preserve"> è rappresentato dalla loro eterogeneità.</w:t>
      </w:r>
      <w:r w:rsidR="00380A40">
        <w:rPr>
          <w:rFonts w:ascii="Times New Roman" w:hAnsi="Times New Roman" w:cs="Times New Roman"/>
          <w:sz w:val="26"/>
          <w:szCs w:val="26"/>
        </w:rPr>
        <w:t xml:space="preserve"> </w:t>
      </w:r>
      <w:r w:rsidR="00A22A4E">
        <w:rPr>
          <w:rFonts w:ascii="Times New Roman" w:hAnsi="Times New Roman" w:cs="Times New Roman"/>
          <w:sz w:val="26"/>
          <w:szCs w:val="26"/>
        </w:rPr>
        <w:t xml:space="preserve">I gestori flessibili hanno spazi di operatività così ampi da renderne difficile anche la semplice classificazione. </w:t>
      </w:r>
      <w:r w:rsidR="001F2078">
        <w:rPr>
          <w:rFonts w:ascii="Times New Roman" w:hAnsi="Times New Roman" w:cs="Times New Roman"/>
          <w:sz w:val="26"/>
          <w:szCs w:val="26"/>
        </w:rPr>
        <w:t xml:space="preserve">Quando, infatti, i fondi presentano una natura </w:t>
      </w:r>
      <w:r w:rsidR="001F2078" w:rsidRPr="001F2078">
        <w:rPr>
          <w:rFonts w:ascii="Times New Roman" w:hAnsi="Times New Roman" w:cs="Times New Roman"/>
          <w:i/>
          <w:sz w:val="26"/>
          <w:szCs w:val="26"/>
        </w:rPr>
        <w:t>multi-asset/multi-risk</w:t>
      </w:r>
      <w:r w:rsidR="004A2543">
        <w:rPr>
          <w:rFonts w:ascii="Times New Roman" w:hAnsi="Times New Roman" w:cs="Times New Roman"/>
          <w:i/>
          <w:sz w:val="26"/>
          <w:szCs w:val="26"/>
        </w:rPr>
        <w:t>,</w:t>
      </w:r>
      <w:r w:rsidR="001F2078">
        <w:rPr>
          <w:rFonts w:ascii="Times New Roman" w:hAnsi="Times New Roman" w:cs="Times New Roman"/>
          <w:sz w:val="26"/>
          <w:szCs w:val="26"/>
        </w:rPr>
        <w:t xml:space="preserve"> i gestori posso attivare modelli gestionali così </w:t>
      </w:r>
      <w:r w:rsidR="00663EE5">
        <w:rPr>
          <w:rFonts w:ascii="Times New Roman" w:hAnsi="Times New Roman" w:cs="Times New Roman"/>
          <w:sz w:val="26"/>
          <w:szCs w:val="26"/>
        </w:rPr>
        <w:t>eterogenei</w:t>
      </w:r>
      <w:r w:rsidR="001F2078">
        <w:rPr>
          <w:rFonts w:ascii="Times New Roman" w:hAnsi="Times New Roman" w:cs="Times New Roman"/>
          <w:sz w:val="26"/>
          <w:szCs w:val="26"/>
        </w:rPr>
        <w:t xml:space="preserve"> da rendere </w:t>
      </w:r>
      <w:r w:rsidR="00E95970">
        <w:rPr>
          <w:rFonts w:ascii="Times New Roman" w:hAnsi="Times New Roman" w:cs="Times New Roman"/>
          <w:sz w:val="26"/>
          <w:szCs w:val="26"/>
        </w:rPr>
        <w:t>complesso</w:t>
      </w:r>
      <w:r w:rsidR="001F2078">
        <w:rPr>
          <w:rFonts w:ascii="Times New Roman" w:hAnsi="Times New Roman" w:cs="Times New Roman"/>
          <w:sz w:val="26"/>
          <w:szCs w:val="26"/>
        </w:rPr>
        <w:t xml:space="preserve"> ricondurre i fondi a classi omogenee. </w:t>
      </w:r>
    </w:p>
    <w:p w14:paraId="446700C3" w14:textId="77777777" w:rsidR="00CE3A47" w:rsidRDefault="00205CC5" w:rsidP="0009582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Inoltre, </w:t>
      </w:r>
      <w:r w:rsidR="00E01DC5">
        <w:rPr>
          <w:rFonts w:ascii="Times New Roman" w:hAnsi="Times New Roman" w:cs="Times New Roman"/>
          <w:sz w:val="26"/>
          <w:szCs w:val="26"/>
        </w:rPr>
        <w:t>i fondi in esame</w:t>
      </w:r>
      <w:r>
        <w:rPr>
          <w:rFonts w:ascii="Times New Roman" w:hAnsi="Times New Roman" w:cs="Times New Roman"/>
          <w:sz w:val="26"/>
          <w:szCs w:val="26"/>
        </w:rPr>
        <w:t xml:space="preserve"> hanno caratteristiche che li collocano in una posizione intermedia tra i prodotti bilanciati e quelli a performance assoluta</w:t>
      </w:r>
      <w:r w:rsidR="00E01DC5">
        <w:rPr>
          <w:rFonts w:ascii="Times New Roman" w:hAnsi="Times New Roman" w:cs="Times New Roman"/>
          <w:sz w:val="26"/>
          <w:szCs w:val="26"/>
        </w:rPr>
        <w:t>:</w:t>
      </w:r>
      <w:r w:rsidR="002E2A30">
        <w:rPr>
          <w:rFonts w:ascii="Times New Roman" w:hAnsi="Times New Roman" w:cs="Times New Roman"/>
          <w:sz w:val="26"/>
          <w:szCs w:val="26"/>
        </w:rPr>
        <w:t xml:space="preserve"> con i primi condividono la natura multi-asset</w:t>
      </w:r>
      <w:r w:rsidR="00E01DC5">
        <w:rPr>
          <w:rFonts w:ascii="Times New Roman" w:hAnsi="Times New Roman" w:cs="Times New Roman"/>
          <w:sz w:val="26"/>
          <w:szCs w:val="26"/>
        </w:rPr>
        <w:t>/multi-risk; con i secondi l’assenza di un benchmark di riferimento e</w:t>
      </w:r>
      <w:r w:rsidR="008A26E5">
        <w:rPr>
          <w:rFonts w:ascii="Times New Roman" w:hAnsi="Times New Roman" w:cs="Times New Roman"/>
          <w:sz w:val="26"/>
          <w:szCs w:val="26"/>
        </w:rPr>
        <w:t xml:space="preserve"> il </w:t>
      </w:r>
      <w:r w:rsidR="004A2543">
        <w:rPr>
          <w:rFonts w:ascii="Times New Roman" w:hAnsi="Times New Roman" w:cs="Times New Roman"/>
          <w:sz w:val="26"/>
          <w:szCs w:val="26"/>
        </w:rPr>
        <w:t xml:space="preserve">conseguente </w:t>
      </w:r>
      <w:r w:rsidR="00E01DC5">
        <w:rPr>
          <w:rFonts w:ascii="Times New Roman" w:hAnsi="Times New Roman" w:cs="Times New Roman"/>
          <w:sz w:val="26"/>
          <w:szCs w:val="26"/>
        </w:rPr>
        <w:t xml:space="preserve">obiettivo di perseguire un rendimento </w:t>
      </w:r>
      <w:r w:rsidR="00E01DC5">
        <w:rPr>
          <w:rFonts w:ascii="Times New Roman" w:hAnsi="Times New Roman" w:cs="Times New Roman"/>
          <w:sz w:val="26"/>
          <w:szCs w:val="26"/>
        </w:rPr>
        <w:lastRenderedPageBreak/>
        <w:t xml:space="preserve">di tipo assoluto. </w:t>
      </w:r>
      <w:r w:rsidR="00E870D7">
        <w:rPr>
          <w:rFonts w:ascii="Times New Roman" w:hAnsi="Times New Roman" w:cs="Times New Roman"/>
          <w:sz w:val="26"/>
          <w:szCs w:val="26"/>
        </w:rPr>
        <w:t xml:space="preserve">Dati questi elementi di similitudine, è impossibile definire in modo netto i confini tra queste categorie ed è probabile che diversi </w:t>
      </w:r>
      <w:r w:rsidR="00095829" w:rsidRPr="00E95970">
        <w:rPr>
          <w:rFonts w:ascii="Times New Roman" w:hAnsi="Times New Roman" w:cs="Times New Roman"/>
          <w:i/>
          <w:sz w:val="26"/>
          <w:szCs w:val="26"/>
        </w:rPr>
        <w:t>provider</w:t>
      </w:r>
      <w:r w:rsidR="00E870D7">
        <w:rPr>
          <w:rFonts w:ascii="Times New Roman" w:hAnsi="Times New Roman" w:cs="Times New Roman"/>
          <w:sz w:val="26"/>
          <w:szCs w:val="26"/>
        </w:rPr>
        <w:t xml:space="preserve"> procedano a classificazioni diverse</w:t>
      </w:r>
      <w:r w:rsidR="00CE3A47">
        <w:rPr>
          <w:rFonts w:ascii="Times New Roman" w:hAnsi="Times New Roman" w:cs="Times New Roman"/>
          <w:sz w:val="26"/>
          <w:szCs w:val="26"/>
        </w:rPr>
        <w:t>:</w:t>
      </w:r>
    </w:p>
    <w:p w14:paraId="3E9511C8" w14:textId="3E5D7766" w:rsidR="00CE3A47" w:rsidRDefault="00CE3A47" w:rsidP="00095829">
      <w:pPr>
        <w:pStyle w:val="Paragrafoelenco"/>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la variabile discriminante tra fondi bilanciati e flessibili è rappresentata dal grado di dinamismo dell’asset </w:t>
      </w:r>
      <w:proofErr w:type="spellStart"/>
      <w:r>
        <w:rPr>
          <w:rFonts w:ascii="Times New Roman" w:hAnsi="Times New Roman" w:cs="Times New Roman"/>
          <w:sz w:val="26"/>
          <w:szCs w:val="26"/>
        </w:rPr>
        <w:t>allocation</w:t>
      </w:r>
      <w:proofErr w:type="spellEnd"/>
      <w:r>
        <w:rPr>
          <w:rFonts w:ascii="Times New Roman" w:hAnsi="Times New Roman" w:cs="Times New Roman"/>
          <w:sz w:val="26"/>
          <w:szCs w:val="26"/>
        </w:rPr>
        <w:t xml:space="preserve"> del fondo ma</w:t>
      </w:r>
      <w:r w:rsidR="00C65861">
        <w:rPr>
          <w:rFonts w:ascii="Times New Roman" w:hAnsi="Times New Roman" w:cs="Times New Roman"/>
          <w:sz w:val="26"/>
          <w:szCs w:val="26"/>
        </w:rPr>
        <w:t>,</w:t>
      </w:r>
      <w:r>
        <w:rPr>
          <w:rFonts w:ascii="Times New Roman" w:hAnsi="Times New Roman" w:cs="Times New Roman"/>
          <w:sz w:val="26"/>
          <w:szCs w:val="26"/>
        </w:rPr>
        <w:t xml:space="preserve"> non </w:t>
      </w:r>
      <w:r w:rsidR="003F00DA">
        <w:rPr>
          <w:rFonts w:ascii="Times New Roman" w:hAnsi="Times New Roman" w:cs="Times New Roman"/>
          <w:sz w:val="26"/>
          <w:szCs w:val="26"/>
        </w:rPr>
        <w:t>essendovi</w:t>
      </w:r>
      <w:r>
        <w:rPr>
          <w:rFonts w:ascii="Times New Roman" w:hAnsi="Times New Roman" w:cs="Times New Roman"/>
          <w:sz w:val="26"/>
          <w:szCs w:val="26"/>
        </w:rPr>
        <w:t xml:space="preserve"> un</w:t>
      </w:r>
      <w:r w:rsidR="00CC4B64">
        <w:rPr>
          <w:rFonts w:ascii="Times New Roman" w:hAnsi="Times New Roman" w:cs="Times New Roman"/>
          <w:sz w:val="26"/>
          <w:szCs w:val="26"/>
        </w:rPr>
        <w:t>a</w:t>
      </w:r>
      <w:r>
        <w:rPr>
          <w:rFonts w:ascii="Times New Roman" w:hAnsi="Times New Roman" w:cs="Times New Roman"/>
          <w:sz w:val="26"/>
          <w:szCs w:val="26"/>
        </w:rPr>
        <w:t xml:space="preserve"> </w:t>
      </w:r>
      <w:r w:rsidR="00CC4B64">
        <w:rPr>
          <w:rFonts w:ascii="Times New Roman" w:hAnsi="Times New Roman" w:cs="Times New Roman"/>
          <w:sz w:val="26"/>
          <w:szCs w:val="26"/>
        </w:rPr>
        <w:t>soglia di separazione</w:t>
      </w:r>
      <w:r>
        <w:rPr>
          <w:rFonts w:ascii="Times New Roman" w:hAnsi="Times New Roman" w:cs="Times New Roman"/>
          <w:sz w:val="26"/>
          <w:szCs w:val="26"/>
        </w:rPr>
        <w:t xml:space="preserve"> oggettiv</w:t>
      </w:r>
      <w:r w:rsidR="00CC4B64">
        <w:rPr>
          <w:rFonts w:ascii="Times New Roman" w:hAnsi="Times New Roman" w:cs="Times New Roman"/>
          <w:sz w:val="26"/>
          <w:szCs w:val="26"/>
        </w:rPr>
        <w:t>a</w:t>
      </w:r>
      <w:r>
        <w:rPr>
          <w:rFonts w:ascii="Times New Roman" w:hAnsi="Times New Roman" w:cs="Times New Roman"/>
          <w:sz w:val="26"/>
          <w:szCs w:val="26"/>
        </w:rPr>
        <w:t xml:space="preserve">, è assai probabile che i fondi dal dinamismo medio siano classificati </w:t>
      </w:r>
      <w:r w:rsidR="005A04FC">
        <w:rPr>
          <w:rFonts w:ascii="Times New Roman" w:hAnsi="Times New Roman" w:cs="Times New Roman"/>
          <w:sz w:val="26"/>
          <w:szCs w:val="26"/>
        </w:rPr>
        <w:t xml:space="preserve">da alcuni come bilanciati </w:t>
      </w:r>
      <w:r w:rsidR="004A2543">
        <w:rPr>
          <w:rFonts w:ascii="Times New Roman" w:hAnsi="Times New Roman" w:cs="Times New Roman"/>
          <w:sz w:val="26"/>
          <w:szCs w:val="26"/>
        </w:rPr>
        <w:t xml:space="preserve">e </w:t>
      </w:r>
      <w:r w:rsidR="005A04FC">
        <w:rPr>
          <w:rFonts w:ascii="Times New Roman" w:hAnsi="Times New Roman" w:cs="Times New Roman"/>
          <w:sz w:val="26"/>
          <w:szCs w:val="26"/>
        </w:rPr>
        <w:t>da altri come flessibili</w:t>
      </w:r>
      <w:r>
        <w:rPr>
          <w:rFonts w:ascii="Times New Roman" w:hAnsi="Times New Roman" w:cs="Times New Roman"/>
          <w:sz w:val="26"/>
          <w:szCs w:val="26"/>
        </w:rPr>
        <w:t>;</w:t>
      </w:r>
    </w:p>
    <w:p w14:paraId="77D7F06E" w14:textId="77777777" w:rsidR="001F2078" w:rsidRPr="00CE3A47" w:rsidRDefault="00CE3A47" w:rsidP="00095829">
      <w:pPr>
        <w:pStyle w:val="Paragrafoelenco"/>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la variabile discriminante tra fondi flessibili e a performance assoluta è rappresentata dal ricorso (assiduo in questi ultimi)</w:t>
      </w:r>
      <w:r w:rsidR="00D809CD" w:rsidRPr="00CE3A47">
        <w:rPr>
          <w:rFonts w:ascii="Times New Roman" w:hAnsi="Times New Roman" w:cs="Times New Roman"/>
          <w:sz w:val="26"/>
          <w:szCs w:val="26"/>
        </w:rPr>
        <w:t xml:space="preserve"> </w:t>
      </w:r>
      <w:r>
        <w:rPr>
          <w:rFonts w:ascii="Times New Roman" w:hAnsi="Times New Roman" w:cs="Times New Roman"/>
          <w:sz w:val="26"/>
          <w:szCs w:val="26"/>
        </w:rPr>
        <w:t xml:space="preserve">di strategie di gestione che comportano l’uso di derivati, </w:t>
      </w:r>
      <w:r w:rsidRPr="00CE3A47">
        <w:rPr>
          <w:rFonts w:ascii="Times New Roman" w:hAnsi="Times New Roman" w:cs="Times New Roman"/>
          <w:i/>
          <w:sz w:val="26"/>
          <w:szCs w:val="26"/>
        </w:rPr>
        <w:t>short selling</w:t>
      </w:r>
      <w:r w:rsidRPr="00CE3A47">
        <w:rPr>
          <w:rFonts w:ascii="Times New Roman" w:hAnsi="Times New Roman" w:cs="Times New Roman"/>
          <w:sz w:val="26"/>
          <w:szCs w:val="26"/>
        </w:rPr>
        <w:t xml:space="preserve">, </w:t>
      </w:r>
      <w:r>
        <w:rPr>
          <w:rFonts w:ascii="Times New Roman" w:hAnsi="Times New Roman" w:cs="Times New Roman"/>
          <w:sz w:val="26"/>
          <w:szCs w:val="26"/>
        </w:rPr>
        <w:t>arbitraggio</w:t>
      </w:r>
      <w:r w:rsidRPr="00CE3A47">
        <w:rPr>
          <w:rFonts w:ascii="Times New Roman" w:hAnsi="Times New Roman" w:cs="Times New Roman"/>
          <w:sz w:val="26"/>
          <w:szCs w:val="26"/>
        </w:rPr>
        <w:t xml:space="preserve">, </w:t>
      </w:r>
      <w:r>
        <w:rPr>
          <w:rFonts w:ascii="Times New Roman" w:hAnsi="Times New Roman" w:cs="Times New Roman"/>
          <w:sz w:val="26"/>
          <w:szCs w:val="26"/>
        </w:rPr>
        <w:t>leva nonché il ricorso ad asset class</w:t>
      </w:r>
      <w:r w:rsidRPr="00CE3A47">
        <w:rPr>
          <w:rFonts w:ascii="Times New Roman" w:hAnsi="Times New Roman" w:cs="Times New Roman"/>
          <w:sz w:val="26"/>
          <w:szCs w:val="26"/>
        </w:rPr>
        <w:t xml:space="preserve"> </w:t>
      </w:r>
      <w:r>
        <w:rPr>
          <w:rFonts w:ascii="Times New Roman" w:hAnsi="Times New Roman" w:cs="Times New Roman"/>
          <w:sz w:val="26"/>
          <w:szCs w:val="26"/>
        </w:rPr>
        <w:t xml:space="preserve">alternative; </w:t>
      </w:r>
      <w:r w:rsidR="00CE5F85">
        <w:rPr>
          <w:rFonts w:ascii="Times New Roman" w:hAnsi="Times New Roman" w:cs="Times New Roman"/>
          <w:sz w:val="26"/>
          <w:szCs w:val="26"/>
        </w:rPr>
        <w:t xml:space="preserve">ma poiché è impossibile </w:t>
      </w:r>
      <w:r w:rsidR="00CC4B64">
        <w:rPr>
          <w:rFonts w:ascii="Times New Roman" w:hAnsi="Times New Roman" w:cs="Times New Roman"/>
          <w:sz w:val="26"/>
          <w:szCs w:val="26"/>
        </w:rPr>
        <w:t>quantificare</w:t>
      </w:r>
      <w:r w:rsidR="00CE5F85">
        <w:rPr>
          <w:rFonts w:ascii="Times New Roman" w:hAnsi="Times New Roman" w:cs="Times New Roman"/>
          <w:sz w:val="26"/>
          <w:szCs w:val="26"/>
        </w:rPr>
        <w:t xml:space="preserve"> in modo </w:t>
      </w:r>
      <w:r w:rsidR="00CC4B64">
        <w:rPr>
          <w:rFonts w:ascii="Times New Roman" w:hAnsi="Times New Roman" w:cs="Times New Roman"/>
          <w:sz w:val="26"/>
          <w:szCs w:val="26"/>
        </w:rPr>
        <w:t>preciso</w:t>
      </w:r>
      <w:r w:rsidR="00CE5F85">
        <w:rPr>
          <w:rFonts w:ascii="Times New Roman" w:hAnsi="Times New Roman" w:cs="Times New Roman"/>
          <w:sz w:val="26"/>
          <w:szCs w:val="26"/>
        </w:rPr>
        <w:t xml:space="preserve"> l’entità del ricorso a queste tecniche, i</w:t>
      </w:r>
      <w:r w:rsidR="00E95970">
        <w:rPr>
          <w:rFonts w:ascii="Times New Roman" w:hAnsi="Times New Roman" w:cs="Times New Roman"/>
          <w:sz w:val="26"/>
          <w:szCs w:val="26"/>
        </w:rPr>
        <w:t>l</w:t>
      </w:r>
      <w:r w:rsidR="00CE5F85">
        <w:rPr>
          <w:rFonts w:ascii="Times New Roman" w:hAnsi="Times New Roman" w:cs="Times New Roman"/>
          <w:sz w:val="26"/>
          <w:szCs w:val="26"/>
        </w:rPr>
        <w:t xml:space="preserve"> </w:t>
      </w:r>
      <w:r w:rsidR="00E95970">
        <w:rPr>
          <w:rFonts w:ascii="Times New Roman" w:hAnsi="Times New Roman" w:cs="Times New Roman"/>
          <w:sz w:val="26"/>
          <w:szCs w:val="26"/>
        </w:rPr>
        <w:t xml:space="preserve">rischio di classificazioni eterogenee è </w:t>
      </w:r>
      <w:r w:rsidR="004A2543">
        <w:rPr>
          <w:rFonts w:ascii="Times New Roman" w:hAnsi="Times New Roman" w:cs="Times New Roman"/>
          <w:sz w:val="26"/>
          <w:szCs w:val="26"/>
        </w:rPr>
        <w:t>elevato</w:t>
      </w:r>
      <w:r w:rsidR="00CE5F85">
        <w:rPr>
          <w:rFonts w:ascii="Times New Roman" w:hAnsi="Times New Roman" w:cs="Times New Roman"/>
          <w:sz w:val="26"/>
          <w:szCs w:val="26"/>
        </w:rPr>
        <w:t xml:space="preserve">. </w:t>
      </w:r>
    </w:p>
    <w:p w14:paraId="322FB6CE" w14:textId="77777777" w:rsidR="004A2543" w:rsidRDefault="00F57FD8" w:rsidP="0098276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A riprova di ciò, la Tabella </w:t>
      </w:r>
      <w:r w:rsidR="00CA3690">
        <w:rPr>
          <w:rFonts w:ascii="Times New Roman" w:hAnsi="Times New Roman" w:cs="Times New Roman"/>
          <w:sz w:val="26"/>
          <w:szCs w:val="26"/>
        </w:rPr>
        <w:t>2</w:t>
      </w:r>
      <w:r>
        <w:rPr>
          <w:rFonts w:ascii="Times New Roman" w:hAnsi="Times New Roman" w:cs="Times New Roman"/>
          <w:sz w:val="26"/>
          <w:szCs w:val="26"/>
        </w:rPr>
        <w:t xml:space="preserve"> mostra la classificazione di </w:t>
      </w:r>
      <w:r w:rsidR="007E684D">
        <w:rPr>
          <w:rFonts w:ascii="Times New Roman" w:hAnsi="Times New Roman" w:cs="Times New Roman"/>
          <w:sz w:val="26"/>
          <w:szCs w:val="26"/>
        </w:rPr>
        <w:t xml:space="preserve">Assogestioni, </w:t>
      </w:r>
      <w:proofErr w:type="spellStart"/>
      <w:r>
        <w:rPr>
          <w:rFonts w:ascii="Times New Roman" w:hAnsi="Times New Roman" w:cs="Times New Roman"/>
          <w:sz w:val="26"/>
          <w:szCs w:val="26"/>
        </w:rPr>
        <w:t>Morningstar</w:t>
      </w:r>
      <w:proofErr w:type="spellEnd"/>
      <w:r>
        <w:rPr>
          <w:rFonts w:ascii="Times New Roman" w:hAnsi="Times New Roman" w:cs="Times New Roman"/>
          <w:sz w:val="26"/>
          <w:szCs w:val="26"/>
        </w:rPr>
        <w:t xml:space="preserve"> e </w:t>
      </w:r>
      <w:proofErr w:type="spellStart"/>
      <w:r>
        <w:rPr>
          <w:rFonts w:ascii="Times New Roman" w:hAnsi="Times New Roman" w:cs="Times New Roman"/>
          <w:sz w:val="26"/>
          <w:szCs w:val="26"/>
        </w:rPr>
        <w:t>Quantalys</w:t>
      </w:r>
      <w:proofErr w:type="spellEnd"/>
      <w:r>
        <w:rPr>
          <w:rFonts w:ascii="Times New Roman" w:hAnsi="Times New Roman" w:cs="Times New Roman"/>
          <w:sz w:val="26"/>
          <w:szCs w:val="26"/>
        </w:rPr>
        <w:t xml:space="preserve"> dei </w:t>
      </w:r>
      <w:r w:rsidRPr="007E684D">
        <w:rPr>
          <w:rFonts w:ascii="Times New Roman" w:hAnsi="Times New Roman" w:cs="Times New Roman"/>
          <w:sz w:val="26"/>
          <w:szCs w:val="26"/>
        </w:rPr>
        <w:t>10</w:t>
      </w:r>
      <w:r>
        <w:rPr>
          <w:rFonts w:ascii="Times New Roman" w:hAnsi="Times New Roman" w:cs="Times New Roman"/>
          <w:sz w:val="26"/>
          <w:szCs w:val="26"/>
        </w:rPr>
        <w:t xml:space="preserve"> </w:t>
      </w:r>
      <w:r w:rsidR="00CE5F85">
        <w:rPr>
          <w:rFonts w:ascii="Times New Roman" w:hAnsi="Times New Roman" w:cs="Times New Roman"/>
          <w:sz w:val="26"/>
          <w:szCs w:val="26"/>
        </w:rPr>
        <w:t>più grandi</w:t>
      </w:r>
      <w:r w:rsidR="00CE5F85">
        <w:rPr>
          <w:rStyle w:val="Rimandonotaapidipagina"/>
          <w:rFonts w:ascii="Times New Roman" w:hAnsi="Times New Roman" w:cs="Times New Roman"/>
          <w:sz w:val="26"/>
          <w:szCs w:val="26"/>
        </w:rPr>
        <w:footnoteReference w:id="7"/>
      </w:r>
      <w:r w:rsidR="00CE5F85">
        <w:rPr>
          <w:rFonts w:ascii="Times New Roman" w:hAnsi="Times New Roman" w:cs="Times New Roman"/>
          <w:sz w:val="26"/>
          <w:szCs w:val="26"/>
        </w:rPr>
        <w:t xml:space="preserve"> f</w:t>
      </w:r>
      <w:r>
        <w:rPr>
          <w:rFonts w:ascii="Times New Roman" w:hAnsi="Times New Roman" w:cs="Times New Roman"/>
          <w:sz w:val="26"/>
          <w:szCs w:val="26"/>
        </w:rPr>
        <w:t xml:space="preserve">ondi classificati “Flessibili” da </w:t>
      </w:r>
      <w:proofErr w:type="spellStart"/>
      <w:r>
        <w:rPr>
          <w:rFonts w:ascii="Times New Roman" w:hAnsi="Times New Roman" w:cs="Times New Roman"/>
          <w:sz w:val="26"/>
          <w:szCs w:val="26"/>
        </w:rPr>
        <w:t>Quantalys</w:t>
      </w:r>
      <w:proofErr w:type="spellEnd"/>
      <w:r w:rsidR="00CE3A47">
        <w:rPr>
          <w:rFonts w:ascii="Times New Roman" w:hAnsi="Times New Roman" w:cs="Times New Roman"/>
          <w:sz w:val="26"/>
          <w:szCs w:val="26"/>
        </w:rPr>
        <w:t>.</w:t>
      </w:r>
      <w:r w:rsidR="00CC4B64">
        <w:rPr>
          <w:rFonts w:ascii="Times New Roman" w:hAnsi="Times New Roman" w:cs="Times New Roman"/>
          <w:sz w:val="26"/>
          <w:szCs w:val="26"/>
        </w:rPr>
        <w:t xml:space="preserve"> </w:t>
      </w:r>
    </w:p>
    <w:p w14:paraId="6B84C6A3" w14:textId="77777777" w:rsidR="004A2543" w:rsidRDefault="004A2543" w:rsidP="004A2543">
      <w:pPr>
        <w:spacing w:after="0" w:line="240" w:lineRule="auto"/>
        <w:ind w:left="1276" w:hanging="1276"/>
        <w:jc w:val="both"/>
        <w:rPr>
          <w:rFonts w:ascii="Times New Roman" w:hAnsi="Times New Roman" w:cs="Times New Roman"/>
          <w:b/>
          <w:sz w:val="26"/>
          <w:szCs w:val="26"/>
        </w:rPr>
      </w:pPr>
      <w:bookmarkStart w:id="2" w:name="OLE_LINK140"/>
    </w:p>
    <w:p w14:paraId="5FC55832" w14:textId="77777777" w:rsidR="004A2543" w:rsidRDefault="004A2543" w:rsidP="004A2543">
      <w:pPr>
        <w:spacing w:after="0" w:line="240" w:lineRule="auto"/>
        <w:ind w:left="1276" w:hanging="1276"/>
        <w:jc w:val="both"/>
        <w:rPr>
          <w:rFonts w:ascii="Times New Roman" w:hAnsi="Times New Roman" w:cs="Times New Roman"/>
          <w:b/>
          <w:sz w:val="26"/>
          <w:szCs w:val="26"/>
        </w:rPr>
      </w:pPr>
      <w:r w:rsidRPr="00103341">
        <w:rPr>
          <w:rFonts w:ascii="Times New Roman" w:hAnsi="Times New Roman" w:cs="Times New Roman"/>
          <w:b/>
          <w:sz w:val="26"/>
          <w:szCs w:val="26"/>
        </w:rPr>
        <w:t xml:space="preserve">Tabella </w:t>
      </w:r>
      <w:r>
        <w:rPr>
          <w:rFonts w:ascii="Times New Roman" w:hAnsi="Times New Roman" w:cs="Times New Roman"/>
          <w:b/>
          <w:sz w:val="26"/>
          <w:szCs w:val="26"/>
        </w:rPr>
        <w:t>2</w:t>
      </w:r>
      <w:r w:rsidRPr="00103341">
        <w:rPr>
          <w:rFonts w:ascii="Times New Roman" w:hAnsi="Times New Roman" w:cs="Times New Roman"/>
          <w:b/>
          <w:sz w:val="26"/>
          <w:szCs w:val="26"/>
        </w:rPr>
        <w:t>:</w:t>
      </w:r>
      <w:r>
        <w:rPr>
          <w:rFonts w:ascii="Times New Roman" w:hAnsi="Times New Roman" w:cs="Times New Roman"/>
          <w:b/>
          <w:sz w:val="26"/>
          <w:szCs w:val="26"/>
        </w:rPr>
        <w:tab/>
        <w:t>La classificazione della TOP 10 dei Fondi Flessibili distribuiti in Italia</w:t>
      </w:r>
    </w:p>
    <w:p w14:paraId="30D54F1B" w14:textId="77777777" w:rsidR="004A2543" w:rsidRPr="00103341" w:rsidRDefault="004A2543" w:rsidP="004A2543">
      <w:pPr>
        <w:spacing w:after="0" w:line="240" w:lineRule="auto"/>
        <w:ind w:left="1276" w:hanging="1276"/>
        <w:jc w:val="both"/>
        <w:rPr>
          <w:rFonts w:ascii="Times New Roman" w:hAnsi="Times New Roman" w:cs="Times New Roman"/>
          <w:b/>
          <w:sz w:val="26"/>
          <w:szCs w:val="26"/>
        </w:rPr>
      </w:pPr>
      <w:r w:rsidRPr="0098276A">
        <w:rPr>
          <w:rFonts w:ascii="Times New Roman" w:hAnsi="Times New Roman" w:cs="Times New Roman"/>
          <w:b/>
          <w:sz w:val="26"/>
          <w:szCs w:val="26"/>
        </w:rPr>
        <w:t xml:space="preserve"> </w:t>
      </w:r>
    </w:p>
    <w:p w14:paraId="02488997" w14:textId="77777777" w:rsidR="004A2543" w:rsidRDefault="004A2543" w:rsidP="004A2543">
      <w:pPr>
        <w:spacing w:after="0" w:line="360" w:lineRule="auto"/>
        <w:ind w:left="1276" w:hanging="1276"/>
        <w:jc w:val="both"/>
        <w:rPr>
          <w:rFonts w:ascii="Times New Roman" w:hAnsi="Times New Roman" w:cs="Times New Roman"/>
          <w:sz w:val="26"/>
          <w:szCs w:val="26"/>
        </w:rPr>
      </w:pPr>
      <w:r w:rsidRPr="007E684D">
        <w:rPr>
          <w:noProof/>
          <w:lang w:eastAsia="it-IT"/>
        </w:rPr>
        <w:drawing>
          <wp:inline distT="0" distB="0" distL="0" distR="0" wp14:anchorId="761FE5F5" wp14:editId="40C5EDAD">
            <wp:extent cx="5400040" cy="1991539"/>
            <wp:effectExtent l="0" t="0" r="0" b="88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991539"/>
                    </a:xfrm>
                    <a:prstGeom prst="rect">
                      <a:avLst/>
                    </a:prstGeom>
                    <a:noFill/>
                    <a:ln>
                      <a:noFill/>
                    </a:ln>
                  </pic:spPr>
                </pic:pic>
              </a:graphicData>
            </a:graphic>
          </wp:inline>
        </w:drawing>
      </w:r>
    </w:p>
    <w:p w14:paraId="33D323F9" w14:textId="77777777" w:rsidR="004A2543" w:rsidRDefault="004A2543" w:rsidP="004A2543">
      <w:pPr>
        <w:spacing w:after="0" w:line="360" w:lineRule="auto"/>
        <w:jc w:val="both"/>
        <w:rPr>
          <w:rFonts w:ascii="Times New Roman" w:hAnsi="Times New Roman" w:cs="Times New Roman"/>
          <w:i/>
        </w:rPr>
      </w:pPr>
      <w:r w:rsidRPr="00103341">
        <w:rPr>
          <w:rFonts w:ascii="Times New Roman" w:hAnsi="Times New Roman" w:cs="Times New Roman"/>
          <w:i/>
        </w:rPr>
        <w:t>Fonte: Nostre elaborazioni su dati Assogestioni</w:t>
      </w:r>
      <w:r>
        <w:rPr>
          <w:rFonts w:ascii="Times New Roman" w:hAnsi="Times New Roman" w:cs="Times New Roman"/>
          <w:i/>
        </w:rPr>
        <w:t xml:space="preserve">, </w:t>
      </w:r>
      <w:proofErr w:type="spellStart"/>
      <w:r>
        <w:rPr>
          <w:rFonts w:ascii="Times New Roman" w:hAnsi="Times New Roman" w:cs="Times New Roman"/>
          <w:i/>
        </w:rPr>
        <w:t>Morningstar</w:t>
      </w:r>
      <w:proofErr w:type="spellEnd"/>
      <w:r>
        <w:rPr>
          <w:rFonts w:ascii="Times New Roman" w:hAnsi="Times New Roman" w:cs="Times New Roman"/>
          <w:i/>
        </w:rPr>
        <w:t>,</w:t>
      </w:r>
      <w:r w:rsidRPr="00095829">
        <w:rPr>
          <w:rFonts w:ascii="Times New Roman" w:hAnsi="Times New Roman" w:cs="Times New Roman"/>
          <w:i/>
        </w:rPr>
        <w:t xml:space="preserve"> </w:t>
      </w:r>
      <w:proofErr w:type="spellStart"/>
      <w:r>
        <w:rPr>
          <w:rFonts w:ascii="Times New Roman" w:hAnsi="Times New Roman" w:cs="Times New Roman"/>
          <w:i/>
        </w:rPr>
        <w:t>Quantalys</w:t>
      </w:r>
      <w:proofErr w:type="spellEnd"/>
      <w:r>
        <w:rPr>
          <w:rFonts w:ascii="Times New Roman" w:hAnsi="Times New Roman" w:cs="Times New Roman"/>
          <w:i/>
        </w:rPr>
        <w:t>.</w:t>
      </w:r>
    </w:p>
    <w:bookmarkEnd w:id="2"/>
    <w:p w14:paraId="4617D130" w14:textId="77777777" w:rsidR="004A2543" w:rsidRDefault="004A2543" w:rsidP="0098276A">
      <w:pPr>
        <w:spacing w:after="0" w:line="360" w:lineRule="auto"/>
        <w:jc w:val="both"/>
        <w:rPr>
          <w:rFonts w:ascii="Times New Roman" w:hAnsi="Times New Roman" w:cs="Times New Roman"/>
          <w:sz w:val="26"/>
          <w:szCs w:val="26"/>
        </w:rPr>
      </w:pPr>
    </w:p>
    <w:p w14:paraId="1AC10518" w14:textId="674C83B4" w:rsidR="0098276A" w:rsidRDefault="0098276A" w:rsidP="0098276A">
      <w:pPr>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Trattandosi non di </w:t>
      </w:r>
      <w:r w:rsidR="004A2543">
        <w:rPr>
          <w:rFonts w:ascii="Times New Roman" w:hAnsi="Times New Roman" w:cs="Times New Roman"/>
          <w:sz w:val="26"/>
          <w:szCs w:val="26"/>
        </w:rPr>
        <w:t xml:space="preserve">dieci </w:t>
      </w:r>
      <w:r>
        <w:rPr>
          <w:rFonts w:ascii="Times New Roman" w:hAnsi="Times New Roman" w:cs="Times New Roman"/>
          <w:sz w:val="26"/>
          <w:szCs w:val="26"/>
        </w:rPr>
        <w:t xml:space="preserve">generici fondi, bensì </w:t>
      </w:r>
      <w:r w:rsidR="007C117D">
        <w:rPr>
          <w:rFonts w:ascii="Times New Roman" w:hAnsi="Times New Roman" w:cs="Times New Roman"/>
          <w:sz w:val="26"/>
          <w:szCs w:val="26"/>
        </w:rPr>
        <w:t>di quelli</w:t>
      </w:r>
      <w:r>
        <w:rPr>
          <w:rFonts w:ascii="Times New Roman" w:hAnsi="Times New Roman" w:cs="Times New Roman"/>
          <w:sz w:val="26"/>
          <w:szCs w:val="26"/>
        </w:rPr>
        <w:t xml:space="preserve"> caratterizzati da</w:t>
      </w:r>
      <w:r w:rsidR="004A2543">
        <w:rPr>
          <w:rFonts w:ascii="Times New Roman" w:hAnsi="Times New Roman" w:cs="Times New Roman"/>
          <w:sz w:val="26"/>
          <w:szCs w:val="26"/>
        </w:rPr>
        <w:t xml:space="preserve">gli </w:t>
      </w:r>
      <w:r w:rsidR="0076319D">
        <w:rPr>
          <w:rFonts w:ascii="Times New Roman" w:hAnsi="Times New Roman" w:cs="Times New Roman"/>
          <w:sz w:val="26"/>
          <w:szCs w:val="26"/>
        </w:rPr>
        <w:t>a</w:t>
      </w:r>
      <w:r w:rsidR="004A2543">
        <w:rPr>
          <w:rFonts w:ascii="Times New Roman" w:hAnsi="Times New Roman" w:cs="Times New Roman"/>
          <w:sz w:val="26"/>
          <w:szCs w:val="26"/>
        </w:rPr>
        <w:t>sset under management di maggiore entità</w:t>
      </w:r>
      <w:r w:rsidR="0076319D">
        <w:rPr>
          <w:rFonts w:ascii="Times New Roman" w:hAnsi="Times New Roman" w:cs="Times New Roman"/>
          <w:sz w:val="26"/>
          <w:szCs w:val="26"/>
        </w:rPr>
        <w:t xml:space="preserve">, </w:t>
      </w:r>
      <w:r>
        <w:rPr>
          <w:rFonts w:ascii="Times New Roman" w:hAnsi="Times New Roman" w:cs="Times New Roman"/>
          <w:sz w:val="26"/>
          <w:szCs w:val="26"/>
        </w:rPr>
        <w:t xml:space="preserve">l’informazione che se ne trae è rilevante: </w:t>
      </w:r>
      <w:r w:rsidR="008C7BAD">
        <w:rPr>
          <w:rFonts w:ascii="Times New Roman" w:hAnsi="Times New Roman" w:cs="Times New Roman"/>
          <w:sz w:val="26"/>
          <w:szCs w:val="26"/>
        </w:rPr>
        <w:t xml:space="preserve">i provider hanno attribuito </w:t>
      </w:r>
      <w:r>
        <w:rPr>
          <w:rFonts w:ascii="Times New Roman" w:hAnsi="Times New Roman" w:cs="Times New Roman"/>
          <w:sz w:val="26"/>
          <w:szCs w:val="26"/>
        </w:rPr>
        <w:t>una diversa natura</w:t>
      </w:r>
      <w:r w:rsidR="008C7BAD">
        <w:rPr>
          <w:rFonts w:ascii="Times New Roman" w:hAnsi="Times New Roman" w:cs="Times New Roman"/>
          <w:sz w:val="26"/>
          <w:szCs w:val="26"/>
        </w:rPr>
        <w:t xml:space="preserve"> a ben 8 dei 10 prodotti</w:t>
      </w:r>
      <w:r>
        <w:rPr>
          <w:rFonts w:ascii="Times New Roman" w:hAnsi="Times New Roman" w:cs="Times New Roman"/>
          <w:sz w:val="26"/>
          <w:szCs w:val="26"/>
        </w:rPr>
        <w:t xml:space="preserve">. </w:t>
      </w:r>
      <w:r w:rsidR="008C7BAD">
        <w:rPr>
          <w:rFonts w:ascii="Times New Roman" w:hAnsi="Times New Roman" w:cs="Times New Roman"/>
          <w:sz w:val="26"/>
          <w:szCs w:val="26"/>
        </w:rPr>
        <w:t>Questo esempio</w:t>
      </w:r>
      <w:r>
        <w:rPr>
          <w:rFonts w:ascii="Times New Roman" w:hAnsi="Times New Roman" w:cs="Times New Roman"/>
          <w:sz w:val="26"/>
          <w:szCs w:val="26"/>
        </w:rPr>
        <w:t xml:space="preserve"> non </w:t>
      </w:r>
      <w:r w:rsidR="00E95970">
        <w:rPr>
          <w:rFonts w:ascii="Times New Roman" w:hAnsi="Times New Roman" w:cs="Times New Roman"/>
          <w:sz w:val="26"/>
          <w:szCs w:val="26"/>
        </w:rPr>
        <w:t>mostra</w:t>
      </w:r>
      <w:r>
        <w:rPr>
          <w:rFonts w:ascii="Times New Roman" w:hAnsi="Times New Roman" w:cs="Times New Roman"/>
          <w:sz w:val="26"/>
          <w:szCs w:val="26"/>
        </w:rPr>
        <w:t xml:space="preserve"> che la “punta dell’iceberg” di una problematica, quella della classificazione dei prodotti </w:t>
      </w:r>
      <w:r w:rsidRPr="00E94D08">
        <w:rPr>
          <w:rFonts w:ascii="Times New Roman" w:hAnsi="Times New Roman" w:cs="Times New Roman"/>
          <w:i/>
          <w:sz w:val="26"/>
          <w:szCs w:val="26"/>
        </w:rPr>
        <w:t>non convenzionali</w:t>
      </w:r>
      <w:r>
        <w:rPr>
          <w:rFonts w:ascii="Times New Roman" w:hAnsi="Times New Roman" w:cs="Times New Roman"/>
          <w:sz w:val="26"/>
          <w:szCs w:val="26"/>
        </w:rPr>
        <w:t>, che</w:t>
      </w:r>
      <w:r w:rsidR="0076319D">
        <w:rPr>
          <w:rFonts w:ascii="Times New Roman" w:hAnsi="Times New Roman" w:cs="Times New Roman"/>
          <w:sz w:val="26"/>
          <w:szCs w:val="26"/>
        </w:rPr>
        <w:t>,</w:t>
      </w:r>
      <w:r>
        <w:rPr>
          <w:rFonts w:ascii="Times New Roman" w:hAnsi="Times New Roman" w:cs="Times New Roman"/>
          <w:sz w:val="26"/>
          <w:szCs w:val="26"/>
        </w:rPr>
        <w:t xml:space="preserve"> alla luce del peso raggiunto</w:t>
      </w:r>
      <w:r w:rsidR="008B4547">
        <w:rPr>
          <w:rFonts w:ascii="Times New Roman" w:hAnsi="Times New Roman" w:cs="Times New Roman"/>
          <w:sz w:val="26"/>
          <w:szCs w:val="26"/>
        </w:rPr>
        <w:t xml:space="preserve"> </w:t>
      </w:r>
      <w:r>
        <w:rPr>
          <w:rFonts w:ascii="Times New Roman" w:hAnsi="Times New Roman" w:cs="Times New Roman"/>
          <w:sz w:val="26"/>
          <w:szCs w:val="26"/>
        </w:rPr>
        <w:t>nel</w:t>
      </w:r>
      <w:r w:rsidR="008B4547">
        <w:rPr>
          <w:rFonts w:ascii="Times New Roman" w:hAnsi="Times New Roman" w:cs="Times New Roman"/>
          <w:sz w:val="26"/>
          <w:szCs w:val="26"/>
        </w:rPr>
        <w:t xml:space="preserve"> </w:t>
      </w:r>
      <w:r>
        <w:rPr>
          <w:rFonts w:ascii="Times New Roman" w:hAnsi="Times New Roman" w:cs="Times New Roman"/>
          <w:sz w:val="26"/>
          <w:szCs w:val="26"/>
        </w:rPr>
        <w:t>settore del risparmio gestito</w:t>
      </w:r>
      <w:r w:rsidR="0076319D">
        <w:rPr>
          <w:rFonts w:ascii="Times New Roman" w:hAnsi="Times New Roman" w:cs="Times New Roman"/>
          <w:sz w:val="26"/>
          <w:szCs w:val="26"/>
        </w:rPr>
        <w:t>,</w:t>
      </w:r>
      <w:r>
        <w:rPr>
          <w:rFonts w:ascii="Times New Roman" w:hAnsi="Times New Roman" w:cs="Times New Roman"/>
          <w:sz w:val="26"/>
          <w:szCs w:val="26"/>
        </w:rPr>
        <w:t xml:space="preserve"> </w:t>
      </w:r>
      <w:r w:rsidR="00E95970">
        <w:rPr>
          <w:rFonts w:ascii="Times New Roman" w:hAnsi="Times New Roman" w:cs="Times New Roman"/>
          <w:sz w:val="26"/>
          <w:szCs w:val="26"/>
        </w:rPr>
        <w:t>è</w:t>
      </w:r>
      <w:r w:rsidR="008B4547">
        <w:rPr>
          <w:rFonts w:ascii="Times New Roman" w:hAnsi="Times New Roman" w:cs="Times New Roman"/>
          <w:sz w:val="26"/>
          <w:szCs w:val="26"/>
        </w:rPr>
        <w:t xml:space="preserve"> diventato</w:t>
      </w:r>
      <w:r>
        <w:rPr>
          <w:rFonts w:ascii="Times New Roman" w:hAnsi="Times New Roman" w:cs="Times New Roman"/>
          <w:sz w:val="26"/>
          <w:szCs w:val="26"/>
        </w:rPr>
        <w:t xml:space="preserve"> un tema </w:t>
      </w:r>
      <w:r w:rsidR="008B4547">
        <w:rPr>
          <w:rFonts w:ascii="Times New Roman" w:hAnsi="Times New Roman" w:cs="Times New Roman"/>
          <w:sz w:val="26"/>
          <w:szCs w:val="26"/>
        </w:rPr>
        <w:t>“sensibile”</w:t>
      </w:r>
      <w:r w:rsidR="0076319D">
        <w:rPr>
          <w:rFonts w:ascii="Times New Roman" w:hAnsi="Times New Roman" w:cs="Times New Roman"/>
          <w:sz w:val="26"/>
          <w:szCs w:val="26"/>
        </w:rPr>
        <w:t>. L</w:t>
      </w:r>
      <w:r>
        <w:rPr>
          <w:rFonts w:ascii="Times New Roman" w:hAnsi="Times New Roman" w:cs="Times New Roman"/>
          <w:sz w:val="26"/>
          <w:szCs w:val="26"/>
        </w:rPr>
        <w:t>a difficoltà di identificarne le peculiarità espone a</w:t>
      </w:r>
      <w:r w:rsidR="00CC4B64">
        <w:rPr>
          <w:rFonts w:ascii="Times New Roman" w:hAnsi="Times New Roman" w:cs="Times New Roman"/>
          <w:sz w:val="26"/>
          <w:szCs w:val="26"/>
        </w:rPr>
        <w:t>l</w:t>
      </w:r>
      <w:r>
        <w:rPr>
          <w:rFonts w:ascii="Times New Roman" w:hAnsi="Times New Roman" w:cs="Times New Roman"/>
          <w:sz w:val="26"/>
          <w:szCs w:val="26"/>
        </w:rPr>
        <w:t xml:space="preserve"> rischio di commettere pericolosi errori di selezione.</w:t>
      </w:r>
      <w:r w:rsidR="003F00DA">
        <w:rPr>
          <w:rFonts w:ascii="Times New Roman" w:hAnsi="Times New Roman" w:cs="Times New Roman"/>
          <w:sz w:val="26"/>
          <w:szCs w:val="26"/>
        </w:rPr>
        <w:t xml:space="preserve"> Né certo aiuta quanto dichiarato nei documenti ufficiali, </w:t>
      </w:r>
      <w:r w:rsidR="007C117D">
        <w:rPr>
          <w:rFonts w:ascii="Times New Roman" w:hAnsi="Times New Roman" w:cs="Times New Roman"/>
          <w:sz w:val="26"/>
          <w:szCs w:val="26"/>
        </w:rPr>
        <w:t>poiché</w:t>
      </w:r>
      <w:r w:rsidR="003F00DA">
        <w:rPr>
          <w:rFonts w:ascii="Times New Roman" w:hAnsi="Times New Roman" w:cs="Times New Roman"/>
          <w:sz w:val="26"/>
          <w:szCs w:val="26"/>
        </w:rPr>
        <w:t xml:space="preserve"> </w:t>
      </w:r>
      <w:r w:rsidR="007C117D">
        <w:rPr>
          <w:rFonts w:ascii="Times New Roman" w:hAnsi="Times New Roman" w:cs="Times New Roman"/>
          <w:sz w:val="26"/>
          <w:szCs w:val="26"/>
        </w:rPr>
        <w:t>i gestori</w:t>
      </w:r>
      <w:r w:rsidR="0076319D">
        <w:rPr>
          <w:rFonts w:ascii="Times New Roman" w:hAnsi="Times New Roman" w:cs="Times New Roman"/>
          <w:sz w:val="26"/>
          <w:szCs w:val="26"/>
        </w:rPr>
        <w:t>,</w:t>
      </w:r>
      <w:r w:rsidR="007C117D">
        <w:rPr>
          <w:rFonts w:ascii="Times New Roman" w:hAnsi="Times New Roman" w:cs="Times New Roman"/>
          <w:sz w:val="26"/>
          <w:szCs w:val="26"/>
        </w:rPr>
        <w:t xml:space="preserve"> </w:t>
      </w:r>
      <w:r w:rsidR="003F00DA">
        <w:rPr>
          <w:rFonts w:ascii="Times New Roman" w:hAnsi="Times New Roman" w:cs="Times New Roman"/>
          <w:sz w:val="26"/>
          <w:szCs w:val="26"/>
        </w:rPr>
        <w:t>da un lato</w:t>
      </w:r>
      <w:r w:rsidR="0076319D">
        <w:rPr>
          <w:rFonts w:ascii="Times New Roman" w:hAnsi="Times New Roman" w:cs="Times New Roman"/>
          <w:sz w:val="26"/>
          <w:szCs w:val="26"/>
        </w:rPr>
        <w:t>,</w:t>
      </w:r>
      <w:r w:rsidR="003F00DA">
        <w:rPr>
          <w:rFonts w:ascii="Times New Roman" w:hAnsi="Times New Roman" w:cs="Times New Roman"/>
          <w:sz w:val="26"/>
          <w:szCs w:val="26"/>
        </w:rPr>
        <w:t xml:space="preserve"> </w:t>
      </w:r>
      <w:r w:rsidR="007C117D">
        <w:rPr>
          <w:rFonts w:ascii="Times New Roman" w:hAnsi="Times New Roman" w:cs="Times New Roman"/>
          <w:sz w:val="26"/>
          <w:szCs w:val="26"/>
        </w:rPr>
        <w:t xml:space="preserve">hanno </w:t>
      </w:r>
      <w:r w:rsidR="0076319D">
        <w:rPr>
          <w:rFonts w:ascii="Times New Roman" w:hAnsi="Times New Roman" w:cs="Times New Roman"/>
          <w:sz w:val="26"/>
          <w:szCs w:val="26"/>
        </w:rPr>
        <w:t xml:space="preserve">un </w:t>
      </w:r>
      <w:r w:rsidR="007C117D">
        <w:rPr>
          <w:rFonts w:ascii="Times New Roman" w:hAnsi="Times New Roman" w:cs="Times New Roman"/>
          <w:sz w:val="26"/>
          <w:szCs w:val="26"/>
        </w:rPr>
        <w:t xml:space="preserve">interesse </w:t>
      </w:r>
      <w:r w:rsidR="0076319D">
        <w:rPr>
          <w:rFonts w:ascii="Times New Roman" w:hAnsi="Times New Roman" w:cs="Times New Roman"/>
          <w:sz w:val="26"/>
          <w:szCs w:val="26"/>
        </w:rPr>
        <w:t xml:space="preserve">a </w:t>
      </w:r>
      <w:r w:rsidR="007C117D">
        <w:rPr>
          <w:rFonts w:ascii="Times New Roman" w:hAnsi="Times New Roman" w:cs="Times New Roman"/>
          <w:sz w:val="26"/>
          <w:szCs w:val="26"/>
        </w:rPr>
        <w:t>comunicare politiche di gestione più attraenti (da qui, ad esempio, l’opportunismo di dichiarare una gestione flessibile piuttosto che bilanciata</w:t>
      </w:r>
      <w:r w:rsidR="0076319D">
        <w:rPr>
          <w:rFonts w:ascii="Times New Roman" w:hAnsi="Times New Roman" w:cs="Times New Roman"/>
          <w:sz w:val="26"/>
          <w:szCs w:val="26"/>
        </w:rPr>
        <w:t xml:space="preserve">, </w:t>
      </w:r>
      <w:r w:rsidR="007C117D">
        <w:rPr>
          <w:rFonts w:ascii="Times New Roman" w:hAnsi="Times New Roman" w:cs="Times New Roman"/>
          <w:sz w:val="26"/>
          <w:szCs w:val="26"/>
        </w:rPr>
        <w:t>o</w:t>
      </w:r>
      <w:r w:rsidR="0076319D">
        <w:rPr>
          <w:rFonts w:ascii="Times New Roman" w:hAnsi="Times New Roman" w:cs="Times New Roman"/>
          <w:sz w:val="26"/>
          <w:szCs w:val="26"/>
        </w:rPr>
        <w:t>ppure</w:t>
      </w:r>
      <w:r w:rsidR="007C117D">
        <w:rPr>
          <w:rFonts w:ascii="Times New Roman" w:hAnsi="Times New Roman" w:cs="Times New Roman"/>
          <w:sz w:val="26"/>
          <w:szCs w:val="26"/>
        </w:rPr>
        <w:t xml:space="preserve"> una attiva piuttosto che passiva), dall’altro </w:t>
      </w:r>
      <w:r w:rsidR="00BE7467">
        <w:rPr>
          <w:rFonts w:ascii="Times New Roman" w:hAnsi="Times New Roman" w:cs="Times New Roman"/>
          <w:sz w:val="26"/>
          <w:szCs w:val="26"/>
        </w:rPr>
        <w:t>comunicano</w:t>
      </w:r>
      <w:r w:rsidR="007C117D">
        <w:rPr>
          <w:rFonts w:ascii="Times New Roman" w:hAnsi="Times New Roman" w:cs="Times New Roman"/>
          <w:sz w:val="26"/>
          <w:szCs w:val="26"/>
        </w:rPr>
        <w:t xml:space="preserve"> - anche per ragioni di prudenza - spazi di gestione più ampi di quelli </w:t>
      </w:r>
      <w:r w:rsidR="0076319D">
        <w:rPr>
          <w:rFonts w:ascii="Times New Roman" w:hAnsi="Times New Roman" w:cs="Times New Roman"/>
          <w:sz w:val="26"/>
          <w:szCs w:val="26"/>
        </w:rPr>
        <w:t xml:space="preserve">che </w:t>
      </w:r>
      <w:r w:rsidR="007C117D">
        <w:rPr>
          <w:rFonts w:ascii="Times New Roman" w:hAnsi="Times New Roman" w:cs="Times New Roman"/>
          <w:sz w:val="26"/>
          <w:szCs w:val="26"/>
        </w:rPr>
        <w:t xml:space="preserve">poi </w:t>
      </w:r>
      <w:r w:rsidR="0076319D">
        <w:rPr>
          <w:rFonts w:ascii="Times New Roman" w:hAnsi="Times New Roman" w:cs="Times New Roman"/>
          <w:sz w:val="26"/>
          <w:szCs w:val="26"/>
        </w:rPr>
        <w:t xml:space="preserve">verranno </w:t>
      </w:r>
      <w:r w:rsidR="007C117D">
        <w:rPr>
          <w:rFonts w:ascii="Times New Roman" w:hAnsi="Times New Roman" w:cs="Times New Roman"/>
          <w:sz w:val="26"/>
          <w:szCs w:val="26"/>
        </w:rPr>
        <w:t xml:space="preserve">concretamente </w:t>
      </w:r>
      <w:r w:rsidR="0076319D">
        <w:rPr>
          <w:rFonts w:ascii="Times New Roman" w:hAnsi="Times New Roman" w:cs="Times New Roman"/>
          <w:sz w:val="26"/>
          <w:szCs w:val="26"/>
        </w:rPr>
        <w:t xml:space="preserve">utilizzati </w:t>
      </w:r>
      <w:r w:rsidR="007C117D">
        <w:rPr>
          <w:rFonts w:ascii="Times New Roman" w:hAnsi="Times New Roman" w:cs="Times New Roman"/>
          <w:sz w:val="26"/>
          <w:szCs w:val="26"/>
        </w:rPr>
        <w:t>(ad esempio, dichiarano di muovere la componente azionaria da 0% a 100%, senza però poi discostarsi da un range di oscillazione ben più limitato).</w:t>
      </w:r>
    </w:p>
    <w:p w14:paraId="79ED1759" w14:textId="582880F3" w:rsidR="0076319D" w:rsidRPr="00663EE5" w:rsidRDefault="00E710EE" w:rsidP="0098276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Alla luce di quanto sin qui esposto, una efficace classificazione dei fondi è essenziale al fine di evitare errori nella fase di </w:t>
      </w:r>
      <w:r>
        <w:rPr>
          <w:rFonts w:ascii="Times New Roman" w:hAnsi="Times New Roman" w:cs="Times New Roman"/>
          <w:i/>
          <w:sz w:val="26"/>
          <w:szCs w:val="26"/>
        </w:rPr>
        <w:t xml:space="preserve">product </w:t>
      </w:r>
      <w:proofErr w:type="spellStart"/>
      <w:r>
        <w:rPr>
          <w:rFonts w:ascii="Times New Roman" w:hAnsi="Times New Roman" w:cs="Times New Roman"/>
          <w:i/>
          <w:sz w:val="26"/>
          <w:szCs w:val="26"/>
        </w:rPr>
        <w:t>selection</w:t>
      </w:r>
      <w:proofErr w:type="spellEnd"/>
      <w:r>
        <w:rPr>
          <w:rFonts w:ascii="Times New Roman" w:hAnsi="Times New Roman" w:cs="Times New Roman"/>
          <w:sz w:val="26"/>
          <w:szCs w:val="26"/>
        </w:rPr>
        <w:t>. Questo tema sarà oggetto di analisi nel §5.</w:t>
      </w:r>
    </w:p>
    <w:p w14:paraId="17A5A2ED" w14:textId="77777777" w:rsidR="00120B5D" w:rsidRPr="00120B5D" w:rsidRDefault="000C0790" w:rsidP="00120B5D">
      <w:pPr>
        <w:pStyle w:val="Titolo1"/>
        <w:numPr>
          <w:ilvl w:val="0"/>
          <w:numId w:val="3"/>
        </w:numPr>
        <w:spacing w:after="120"/>
        <w:ind w:left="425" w:hanging="425"/>
        <w:rPr>
          <w:rFonts w:ascii="Times New Roman" w:hAnsi="Times New Roman" w:cs="Times New Roman"/>
          <w:color w:val="auto"/>
          <w:sz w:val="26"/>
          <w:szCs w:val="26"/>
        </w:rPr>
      </w:pPr>
      <w:bookmarkStart w:id="3" w:name="_Toc30702198"/>
      <w:r w:rsidRPr="00120B5D">
        <w:rPr>
          <w:rFonts w:ascii="Times New Roman" w:hAnsi="Times New Roman" w:cs="Times New Roman"/>
          <w:color w:val="auto"/>
          <w:sz w:val="26"/>
          <w:szCs w:val="26"/>
        </w:rPr>
        <w:t xml:space="preserve">Fondi flessibili e </w:t>
      </w:r>
      <w:r w:rsidRPr="00120B5D">
        <w:rPr>
          <w:rFonts w:ascii="Times New Roman" w:hAnsi="Times New Roman" w:cs="Times New Roman"/>
          <w:i/>
          <w:color w:val="auto"/>
          <w:sz w:val="26"/>
          <w:szCs w:val="26"/>
        </w:rPr>
        <w:t xml:space="preserve">portfolio </w:t>
      </w:r>
      <w:proofErr w:type="spellStart"/>
      <w:r w:rsidRPr="00120B5D">
        <w:rPr>
          <w:rFonts w:ascii="Times New Roman" w:hAnsi="Times New Roman" w:cs="Times New Roman"/>
          <w:i/>
          <w:color w:val="auto"/>
          <w:sz w:val="26"/>
          <w:szCs w:val="26"/>
        </w:rPr>
        <w:t>construction</w:t>
      </w:r>
      <w:bookmarkEnd w:id="3"/>
      <w:proofErr w:type="spellEnd"/>
    </w:p>
    <w:p w14:paraId="48681FA9" w14:textId="77777777" w:rsidR="00CE3A47" w:rsidRDefault="00120B5D" w:rsidP="00095829">
      <w:pPr>
        <w:spacing w:after="0" w:line="360" w:lineRule="auto"/>
        <w:jc w:val="both"/>
        <w:rPr>
          <w:rFonts w:ascii="Times New Roman" w:hAnsi="Times New Roman" w:cs="Times New Roman"/>
          <w:sz w:val="26"/>
          <w:szCs w:val="26"/>
        </w:rPr>
      </w:pPr>
      <w:r w:rsidRPr="00120B5D">
        <w:rPr>
          <w:rFonts w:ascii="Times New Roman" w:hAnsi="Times New Roman" w:cs="Times New Roman"/>
          <w:sz w:val="26"/>
          <w:szCs w:val="26"/>
        </w:rPr>
        <w:t xml:space="preserve">Data la dimensione </w:t>
      </w:r>
      <w:r>
        <w:rPr>
          <w:rFonts w:ascii="Times New Roman" w:hAnsi="Times New Roman" w:cs="Times New Roman"/>
          <w:sz w:val="26"/>
          <w:szCs w:val="26"/>
        </w:rPr>
        <w:t>assunta dal fenomeno</w:t>
      </w:r>
      <w:r w:rsidR="00075AC2">
        <w:rPr>
          <w:rFonts w:ascii="Times New Roman" w:hAnsi="Times New Roman" w:cs="Times New Roman"/>
          <w:sz w:val="26"/>
          <w:szCs w:val="26"/>
        </w:rPr>
        <w:t xml:space="preserve"> </w:t>
      </w:r>
      <w:r w:rsidR="0076319D">
        <w:rPr>
          <w:rFonts w:ascii="Times New Roman" w:hAnsi="Times New Roman" w:cs="Times New Roman"/>
          <w:sz w:val="26"/>
          <w:szCs w:val="26"/>
        </w:rPr>
        <w:t xml:space="preserve">dei </w:t>
      </w:r>
      <w:r w:rsidR="00075AC2">
        <w:rPr>
          <w:rFonts w:ascii="Times New Roman" w:hAnsi="Times New Roman" w:cs="Times New Roman"/>
          <w:sz w:val="26"/>
          <w:szCs w:val="26"/>
        </w:rPr>
        <w:t>fondi flessibili</w:t>
      </w:r>
      <w:r>
        <w:rPr>
          <w:rFonts w:ascii="Times New Roman" w:hAnsi="Times New Roman" w:cs="Times New Roman"/>
          <w:sz w:val="26"/>
          <w:szCs w:val="26"/>
        </w:rPr>
        <w:t xml:space="preserve">, </w:t>
      </w:r>
      <w:r w:rsidR="00773814">
        <w:rPr>
          <w:rFonts w:ascii="Times New Roman" w:hAnsi="Times New Roman" w:cs="Times New Roman"/>
          <w:sz w:val="26"/>
          <w:szCs w:val="26"/>
        </w:rPr>
        <w:t xml:space="preserve">lo sviluppo di efficaci modelli in grado di </w:t>
      </w:r>
      <w:r w:rsidR="00075AC2">
        <w:rPr>
          <w:rFonts w:ascii="Times New Roman" w:hAnsi="Times New Roman" w:cs="Times New Roman"/>
          <w:sz w:val="26"/>
          <w:szCs w:val="26"/>
        </w:rPr>
        <w:t xml:space="preserve">selezionare tali prodotti e </w:t>
      </w:r>
      <w:r w:rsidR="005C4B1A">
        <w:rPr>
          <w:rFonts w:ascii="Times New Roman" w:hAnsi="Times New Roman" w:cs="Times New Roman"/>
          <w:sz w:val="26"/>
          <w:szCs w:val="26"/>
        </w:rPr>
        <w:t>contemporaneamente</w:t>
      </w:r>
      <w:r w:rsidR="00075AC2">
        <w:rPr>
          <w:rFonts w:ascii="Times New Roman" w:hAnsi="Times New Roman" w:cs="Times New Roman"/>
          <w:sz w:val="26"/>
          <w:szCs w:val="26"/>
        </w:rPr>
        <w:t xml:space="preserve"> </w:t>
      </w:r>
      <w:r w:rsidR="005D0336">
        <w:rPr>
          <w:rFonts w:ascii="Times New Roman" w:hAnsi="Times New Roman" w:cs="Times New Roman"/>
          <w:sz w:val="26"/>
          <w:szCs w:val="26"/>
        </w:rPr>
        <w:t xml:space="preserve">preservare </w:t>
      </w:r>
      <w:r w:rsidR="005269FD">
        <w:rPr>
          <w:rFonts w:ascii="Times New Roman" w:hAnsi="Times New Roman" w:cs="Times New Roman"/>
          <w:sz w:val="26"/>
          <w:szCs w:val="26"/>
        </w:rPr>
        <w:t>le regole</w:t>
      </w:r>
      <w:r w:rsidR="00A225C2">
        <w:rPr>
          <w:rFonts w:ascii="Times New Roman" w:hAnsi="Times New Roman" w:cs="Times New Roman"/>
          <w:sz w:val="26"/>
          <w:szCs w:val="26"/>
        </w:rPr>
        <w:t xml:space="preserve"> </w:t>
      </w:r>
      <w:r w:rsidR="005269FD">
        <w:rPr>
          <w:rFonts w:ascii="Times New Roman" w:hAnsi="Times New Roman" w:cs="Times New Roman"/>
          <w:sz w:val="26"/>
          <w:szCs w:val="26"/>
        </w:rPr>
        <w:t>auree</w:t>
      </w:r>
      <w:r w:rsidR="00CB7F67">
        <w:rPr>
          <w:rFonts w:ascii="Times New Roman" w:hAnsi="Times New Roman" w:cs="Times New Roman"/>
          <w:sz w:val="26"/>
          <w:szCs w:val="26"/>
        </w:rPr>
        <w:t xml:space="preserve"> alla base</w:t>
      </w:r>
      <w:r w:rsidR="005D0336">
        <w:rPr>
          <w:rFonts w:ascii="Times New Roman" w:hAnsi="Times New Roman" w:cs="Times New Roman"/>
          <w:sz w:val="26"/>
          <w:szCs w:val="26"/>
        </w:rPr>
        <w:t xml:space="preserve"> </w:t>
      </w:r>
      <w:r w:rsidR="00CB7F67">
        <w:rPr>
          <w:rFonts w:ascii="Times New Roman" w:hAnsi="Times New Roman" w:cs="Times New Roman"/>
          <w:sz w:val="26"/>
          <w:szCs w:val="26"/>
        </w:rPr>
        <w:t>della</w:t>
      </w:r>
      <w:r w:rsidR="005D0336">
        <w:rPr>
          <w:rFonts w:ascii="Times New Roman" w:hAnsi="Times New Roman" w:cs="Times New Roman"/>
          <w:sz w:val="26"/>
          <w:szCs w:val="26"/>
        </w:rPr>
        <w:t xml:space="preserve"> costruzione del portafoglio</w:t>
      </w:r>
      <w:r w:rsidR="00A225C2">
        <w:rPr>
          <w:rFonts w:ascii="Times New Roman" w:hAnsi="Times New Roman" w:cs="Times New Roman"/>
          <w:sz w:val="26"/>
          <w:szCs w:val="26"/>
        </w:rPr>
        <w:t xml:space="preserve">, diventa una </w:t>
      </w:r>
      <w:r w:rsidR="00A225C2" w:rsidRPr="00A225C2">
        <w:rPr>
          <w:rFonts w:ascii="Times New Roman" w:hAnsi="Times New Roman" w:cs="Times New Roman"/>
          <w:i/>
          <w:sz w:val="26"/>
          <w:szCs w:val="26"/>
        </w:rPr>
        <w:t>condicio sine qua non</w:t>
      </w:r>
      <w:r w:rsidR="00A225C2">
        <w:rPr>
          <w:rFonts w:ascii="Times New Roman" w:hAnsi="Times New Roman" w:cs="Times New Roman"/>
          <w:sz w:val="26"/>
          <w:szCs w:val="26"/>
        </w:rPr>
        <w:t>.</w:t>
      </w:r>
      <w:r w:rsidR="00901FAD">
        <w:rPr>
          <w:rFonts w:ascii="Times New Roman" w:hAnsi="Times New Roman" w:cs="Times New Roman"/>
          <w:sz w:val="26"/>
          <w:szCs w:val="26"/>
        </w:rPr>
        <w:t xml:space="preserve"> </w:t>
      </w:r>
    </w:p>
    <w:p w14:paraId="5D936DC2" w14:textId="77777777" w:rsidR="005D0336" w:rsidRDefault="00CB7F67" w:rsidP="0009582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Un primo aspetto </w:t>
      </w:r>
      <w:r w:rsidR="00E8130D">
        <w:rPr>
          <w:rFonts w:ascii="Times New Roman" w:hAnsi="Times New Roman" w:cs="Times New Roman"/>
          <w:sz w:val="26"/>
          <w:szCs w:val="26"/>
        </w:rPr>
        <w:t>centrale</w:t>
      </w:r>
      <w:r>
        <w:rPr>
          <w:rFonts w:ascii="Times New Roman" w:hAnsi="Times New Roman" w:cs="Times New Roman"/>
          <w:sz w:val="26"/>
          <w:szCs w:val="26"/>
        </w:rPr>
        <w:t xml:space="preserve"> è quello </w:t>
      </w:r>
      <w:r w:rsidR="006176B4">
        <w:rPr>
          <w:rFonts w:ascii="Times New Roman" w:hAnsi="Times New Roman" w:cs="Times New Roman"/>
          <w:sz w:val="26"/>
          <w:szCs w:val="26"/>
        </w:rPr>
        <w:t>de</w:t>
      </w:r>
      <w:r w:rsidR="00304387">
        <w:rPr>
          <w:rFonts w:ascii="Times New Roman" w:hAnsi="Times New Roman" w:cs="Times New Roman"/>
          <w:sz w:val="26"/>
          <w:szCs w:val="26"/>
        </w:rPr>
        <w:t xml:space="preserve">l peso </w:t>
      </w:r>
      <w:r w:rsidR="005269FD">
        <w:rPr>
          <w:rFonts w:ascii="Times New Roman" w:hAnsi="Times New Roman" w:cs="Times New Roman"/>
          <w:sz w:val="26"/>
          <w:szCs w:val="26"/>
        </w:rPr>
        <w:t>da attribuire a</w:t>
      </w:r>
      <w:r w:rsidR="006176B4">
        <w:rPr>
          <w:rFonts w:ascii="Times New Roman" w:hAnsi="Times New Roman" w:cs="Times New Roman"/>
          <w:sz w:val="26"/>
          <w:szCs w:val="26"/>
        </w:rPr>
        <w:t xml:space="preserve"> tali prodotti</w:t>
      </w:r>
      <w:r w:rsidR="0076319D">
        <w:rPr>
          <w:rFonts w:ascii="Times New Roman" w:hAnsi="Times New Roman" w:cs="Times New Roman"/>
          <w:sz w:val="26"/>
          <w:szCs w:val="26"/>
        </w:rPr>
        <w:t xml:space="preserve"> nell’ambito del portafoglio</w:t>
      </w:r>
      <w:r w:rsidR="006176B4">
        <w:rPr>
          <w:rFonts w:ascii="Times New Roman" w:hAnsi="Times New Roman" w:cs="Times New Roman"/>
          <w:sz w:val="26"/>
          <w:szCs w:val="26"/>
        </w:rPr>
        <w:t>.</w:t>
      </w:r>
      <w:r w:rsidR="00325A5C">
        <w:rPr>
          <w:rFonts w:ascii="Times New Roman" w:hAnsi="Times New Roman" w:cs="Times New Roman"/>
          <w:sz w:val="26"/>
          <w:szCs w:val="26"/>
        </w:rPr>
        <w:t xml:space="preserve"> </w:t>
      </w:r>
      <w:r w:rsidR="002D4D87">
        <w:rPr>
          <w:rFonts w:ascii="Times New Roman" w:hAnsi="Times New Roman" w:cs="Times New Roman"/>
          <w:sz w:val="26"/>
          <w:szCs w:val="26"/>
        </w:rPr>
        <w:t>Se non</w:t>
      </w:r>
      <w:r w:rsidR="00075AC2">
        <w:rPr>
          <w:rFonts w:ascii="Times New Roman" w:hAnsi="Times New Roman" w:cs="Times New Roman"/>
          <w:sz w:val="26"/>
          <w:szCs w:val="26"/>
        </w:rPr>
        <w:t xml:space="preserve"> è possibile </w:t>
      </w:r>
      <w:r w:rsidR="002D4D87">
        <w:rPr>
          <w:rFonts w:ascii="Times New Roman" w:hAnsi="Times New Roman" w:cs="Times New Roman"/>
          <w:sz w:val="26"/>
          <w:szCs w:val="26"/>
        </w:rPr>
        <w:t>individuare</w:t>
      </w:r>
      <w:r w:rsidR="00075AC2">
        <w:rPr>
          <w:rFonts w:ascii="Times New Roman" w:hAnsi="Times New Roman" w:cs="Times New Roman"/>
          <w:sz w:val="26"/>
          <w:szCs w:val="26"/>
        </w:rPr>
        <w:t xml:space="preserve"> </w:t>
      </w:r>
      <w:r w:rsidR="005269FD">
        <w:rPr>
          <w:rFonts w:ascii="Times New Roman" w:hAnsi="Times New Roman" w:cs="Times New Roman"/>
          <w:sz w:val="26"/>
          <w:szCs w:val="26"/>
        </w:rPr>
        <w:t xml:space="preserve">un peso </w:t>
      </w:r>
      <w:r w:rsidR="005C4B1A">
        <w:rPr>
          <w:rFonts w:ascii="Times New Roman" w:hAnsi="Times New Roman" w:cs="Times New Roman"/>
          <w:sz w:val="26"/>
          <w:szCs w:val="26"/>
        </w:rPr>
        <w:t>“</w:t>
      </w:r>
      <w:r w:rsidR="005269FD">
        <w:rPr>
          <w:rFonts w:ascii="Times New Roman" w:hAnsi="Times New Roman" w:cs="Times New Roman"/>
          <w:sz w:val="26"/>
          <w:szCs w:val="26"/>
        </w:rPr>
        <w:t>ideale</w:t>
      </w:r>
      <w:r w:rsidR="005C4B1A">
        <w:rPr>
          <w:rFonts w:ascii="Times New Roman" w:hAnsi="Times New Roman" w:cs="Times New Roman"/>
          <w:sz w:val="26"/>
          <w:szCs w:val="26"/>
        </w:rPr>
        <w:t>”</w:t>
      </w:r>
      <w:r w:rsidR="005269FD">
        <w:rPr>
          <w:rFonts w:ascii="Times New Roman" w:hAnsi="Times New Roman" w:cs="Times New Roman"/>
          <w:sz w:val="26"/>
          <w:szCs w:val="26"/>
        </w:rPr>
        <w:t xml:space="preserve"> </w:t>
      </w:r>
      <w:r w:rsidR="002D4D87">
        <w:rPr>
          <w:rFonts w:ascii="Times New Roman" w:hAnsi="Times New Roman" w:cs="Times New Roman"/>
          <w:sz w:val="26"/>
          <w:szCs w:val="26"/>
        </w:rPr>
        <w:t xml:space="preserve">per </w:t>
      </w:r>
      <w:r w:rsidR="005269FD">
        <w:rPr>
          <w:rFonts w:ascii="Times New Roman" w:hAnsi="Times New Roman" w:cs="Times New Roman"/>
          <w:sz w:val="26"/>
          <w:szCs w:val="26"/>
        </w:rPr>
        <w:t xml:space="preserve">la componente flessibile, </w:t>
      </w:r>
      <w:r w:rsidR="002D4D87">
        <w:rPr>
          <w:rFonts w:ascii="Times New Roman" w:hAnsi="Times New Roman" w:cs="Times New Roman"/>
          <w:sz w:val="26"/>
          <w:szCs w:val="26"/>
        </w:rPr>
        <w:t xml:space="preserve">è quantomeno possibile </w:t>
      </w:r>
      <w:r w:rsidR="008B4547">
        <w:rPr>
          <w:rFonts w:ascii="Times New Roman" w:hAnsi="Times New Roman" w:cs="Times New Roman"/>
          <w:sz w:val="26"/>
          <w:szCs w:val="26"/>
        </w:rPr>
        <w:t>isolare</w:t>
      </w:r>
      <w:r w:rsidR="005269FD">
        <w:rPr>
          <w:rFonts w:ascii="Times New Roman" w:hAnsi="Times New Roman" w:cs="Times New Roman"/>
          <w:sz w:val="26"/>
          <w:szCs w:val="26"/>
        </w:rPr>
        <w:t xml:space="preserve"> alcuni </w:t>
      </w:r>
      <w:r w:rsidR="005269FD" w:rsidRPr="005269FD">
        <w:rPr>
          <w:rFonts w:ascii="Times New Roman" w:hAnsi="Times New Roman" w:cs="Times New Roman"/>
          <w:i/>
          <w:sz w:val="26"/>
          <w:szCs w:val="26"/>
        </w:rPr>
        <w:t>driver</w:t>
      </w:r>
      <w:r w:rsidR="005269FD">
        <w:rPr>
          <w:rFonts w:ascii="Times New Roman" w:hAnsi="Times New Roman" w:cs="Times New Roman"/>
          <w:sz w:val="26"/>
          <w:szCs w:val="26"/>
        </w:rPr>
        <w:t xml:space="preserve"> che aiutano nella </w:t>
      </w:r>
      <w:r w:rsidR="002D4D87">
        <w:rPr>
          <w:rFonts w:ascii="Times New Roman" w:hAnsi="Times New Roman" w:cs="Times New Roman"/>
          <w:sz w:val="26"/>
          <w:szCs w:val="26"/>
        </w:rPr>
        <w:t>quantificazione</w:t>
      </w:r>
      <w:r w:rsidR="005269FD">
        <w:rPr>
          <w:rFonts w:ascii="Times New Roman" w:hAnsi="Times New Roman" w:cs="Times New Roman"/>
          <w:sz w:val="26"/>
          <w:szCs w:val="26"/>
        </w:rPr>
        <w:t xml:space="preserve"> del peso</w:t>
      </w:r>
      <w:r w:rsidR="00A658F6">
        <w:rPr>
          <w:rFonts w:ascii="Times New Roman" w:hAnsi="Times New Roman" w:cs="Times New Roman"/>
          <w:sz w:val="26"/>
          <w:szCs w:val="26"/>
        </w:rPr>
        <w:t xml:space="preserve"> corretto</w:t>
      </w:r>
      <w:r w:rsidR="002D4D87">
        <w:rPr>
          <w:rFonts w:ascii="Times New Roman" w:hAnsi="Times New Roman" w:cs="Times New Roman"/>
          <w:sz w:val="26"/>
          <w:szCs w:val="26"/>
        </w:rPr>
        <w:t>.</w:t>
      </w:r>
      <w:r w:rsidR="005269FD">
        <w:rPr>
          <w:rFonts w:ascii="Times New Roman" w:hAnsi="Times New Roman" w:cs="Times New Roman"/>
          <w:sz w:val="26"/>
          <w:szCs w:val="26"/>
        </w:rPr>
        <w:t xml:space="preserve"> </w:t>
      </w:r>
      <w:r w:rsidR="00A658F6">
        <w:rPr>
          <w:rFonts w:ascii="Times New Roman" w:hAnsi="Times New Roman" w:cs="Times New Roman"/>
          <w:sz w:val="26"/>
          <w:szCs w:val="26"/>
        </w:rPr>
        <w:t xml:space="preserve">Il pericolo latente è quello di riporre in questa categoria di prodotti una fiducia eccessiva, attribuendo agli stessi un peso </w:t>
      </w:r>
      <w:r w:rsidR="00A658F6">
        <w:rPr>
          <w:rFonts w:ascii="Times New Roman" w:hAnsi="Times New Roman" w:cs="Times New Roman"/>
          <w:sz w:val="26"/>
          <w:szCs w:val="26"/>
        </w:rPr>
        <w:lastRenderedPageBreak/>
        <w:t>elevato. Quando ciò avviene, ci si espone ad una serie di problemi qui di seguito elencati</w:t>
      </w:r>
      <w:r w:rsidR="0076319D">
        <w:rPr>
          <w:rFonts w:ascii="Times New Roman" w:hAnsi="Times New Roman" w:cs="Times New Roman"/>
          <w:sz w:val="26"/>
          <w:szCs w:val="26"/>
        </w:rPr>
        <w:t xml:space="preserve">: </w:t>
      </w:r>
    </w:p>
    <w:p w14:paraId="7BE6A3BC" w14:textId="77777777" w:rsidR="002D4D87" w:rsidRDefault="0076319D" w:rsidP="00A658F6">
      <w:pPr>
        <w:pStyle w:val="Paragrafoelenco"/>
        <w:numPr>
          <w:ilvl w:val="0"/>
          <w:numId w:val="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w:t>
      </w:r>
      <w:r w:rsidR="00275B84">
        <w:rPr>
          <w:rFonts w:ascii="Times New Roman" w:hAnsi="Times New Roman" w:cs="Times New Roman"/>
          <w:sz w:val="26"/>
          <w:szCs w:val="26"/>
        </w:rPr>
        <w:t>uando i prodotti flessibili assumono un</w:t>
      </w:r>
      <w:r w:rsidR="000D4AFC">
        <w:rPr>
          <w:rFonts w:ascii="Times New Roman" w:hAnsi="Times New Roman" w:cs="Times New Roman"/>
          <w:sz w:val="26"/>
          <w:szCs w:val="26"/>
        </w:rPr>
        <w:t>a posizione dominante</w:t>
      </w:r>
      <w:r w:rsidR="00275B84">
        <w:rPr>
          <w:rFonts w:ascii="Times New Roman" w:hAnsi="Times New Roman" w:cs="Times New Roman"/>
          <w:sz w:val="26"/>
          <w:szCs w:val="26"/>
        </w:rPr>
        <w:t>, diventa impossibile quantificare il peso assunto dalle asset class nel lungo termine</w:t>
      </w:r>
      <w:r w:rsidR="00F325EB">
        <w:rPr>
          <w:rFonts w:ascii="Times New Roman" w:hAnsi="Times New Roman" w:cs="Times New Roman"/>
          <w:sz w:val="26"/>
          <w:szCs w:val="26"/>
        </w:rPr>
        <w:t xml:space="preserve"> e, conseguentemente, il portafoglio non è più guidato da </w:t>
      </w:r>
      <w:proofErr w:type="spellStart"/>
      <w:r w:rsidR="00F325EB">
        <w:rPr>
          <w:rFonts w:ascii="Times New Roman" w:hAnsi="Times New Roman" w:cs="Times New Roman"/>
          <w:sz w:val="26"/>
          <w:szCs w:val="26"/>
        </w:rPr>
        <w:t>un’asset</w:t>
      </w:r>
      <w:proofErr w:type="spellEnd"/>
      <w:r w:rsidR="00F325EB">
        <w:rPr>
          <w:rFonts w:ascii="Times New Roman" w:hAnsi="Times New Roman" w:cs="Times New Roman"/>
          <w:sz w:val="26"/>
          <w:szCs w:val="26"/>
        </w:rPr>
        <w:t xml:space="preserve"> </w:t>
      </w:r>
      <w:proofErr w:type="spellStart"/>
      <w:r w:rsidR="00F325EB">
        <w:rPr>
          <w:rFonts w:ascii="Times New Roman" w:hAnsi="Times New Roman" w:cs="Times New Roman"/>
          <w:sz w:val="26"/>
          <w:szCs w:val="26"/>
        </w:rPr>
        <w:t>allocation</w:t>
      </w:r>
      <w:proofErr w:type="spellEnd"/>
      <w:r w:rsidR="00F325EB">
        <w:rPr>
          <w:rFonts w:ascii="Times New Roman" w:hAnsi="Times New Roman" w:cs="Times New Roman"/>
          <w:sz w:val="26"/>
          <w:szCs w:val="26"/>
        </w:rPr>
        <w:t xml:space="preserve"> strategica. Questa circostanza ha delle ricadute negative in termini di pianificazione finanziaria, in quanto</w:t>
      </w:r>
      <w:r>
        <w:rPr>
          <w:rFonts w:ascii="Times New Roman" w:hAnsi="Times New Roman" w:cs="Times New Roman"/>
          <w:sz w:val="26"/>
          <w:szCs w:val="26"/>
        </w:rPr>
        <w:t>,</w:t>
      </w:r>
      <w:r w:rsidR="00F325EB">
        <w:rPr>
          <w:rFonts w:ascii="Times New Roman" w:hAnsi="Times New Roman" w:cs="Times New Roman"/>
          <w:sz w:val="26"/>
          <w:szCs w:val="26"/>
        </w:rPr>
        <w:t xml:space="preserve"> in assenza di una composizione </w:t>
      </w:r>
      <w:r w:rsidR="008C7BAD">
        <w:rPr>
          <w:rFonts w:ascii="Times New Roman" w:hAnsi="Times New Roman" w:cs="Times New Roman"/>
          <w:sz w:val="26"/>
          <w:szCs w:val="26"/>
        </w:rPr>
        <w:t xml:space="preserve">media </w:t>
      </w:r>
      <w:r w:rsidR="00F325EB">
        <w:rPr>
          <w:rFonts w:ascii="Times New Roman" w:hAnsi="Times New Roman" w:cs="Times New Roman"/>
          <w:sz w:val="26"/>
          <w:szCs w:val="26"/>
        </w:rPr>
        <w:t xml:space="preserve">che l’investitore </w:t>
      </w:r>
      <w:r w:rsidR="008C7BAD">
        <w:rPr>
          <w:rFonts w:ascii="Times New Roman" w:hAnsi="Times New Roman" w:cs="Times New Roman"/>
          <w:sz w:val="26"/>
          <w:szCs w:val="26"/>
        </w:rPr>
        <w:t>è chiamato a mantenere</w:t>
      </w:r>
      <w:r w:rsidR="00F325EB">
        <w:rPr>
          <w:rFonts w:ascii="Times New Roman" w:hAnsi="Times New Roman" w:cs="Times New Roman"/>
          <w:sz w:val="26"/>
          <w:szCs w:val="26"/>
        </w:rPr>
        <w:t xml:space="preserve"> </w:t>
      </w:r>
      <w:r w:rsidR="00F325EB">
        <w:rPr>
          <w:rFonts w:ascii="Times New Roman" w:hAnsi="Times New Roman" w:cs="Times New Roman"/>
          <w:i/>
          <w:sz w:val="26"/>
          <w:szCs w:val="26"/>
        </w:rPr>
        <w:t xml:space="preserve">in the long </w:t>
      </w:r>
      <w:proofErr w:type="spellStart"/>
      <w:r w:rsidR="00F325EB">
        <w:rPr>
          <w:rFonts w:ascii="Times New Roman" w:hAnsi="Times New Roman" w:cs="Times New Roman"/>
          <w:i/>
          <w:sz w:val="26"/>
          <w:szCs w:val="26"/>
        </w:rPr>
        <w:t>run</w:t>
      </w:r>
      <w:proofErr w:type="spellEnd"/>
      <w:r w:rsidR="00F90BCC">
        <w:rPr>
          <w:rFonts w:ascii="Times New Roman" w:hAnsi="Times New Roman" w:cs="Times New Roman"/>
          <w:sz w:val="26"/>
          <w:szCs w:val="26"/>
        </w:rPr>
        <w:t>: (</w:t>
      </w:r>
      <w:r w:rsidR="00F90BCC" w:rsidRPr="00F90BCC">
        <w:rPr>
          <w:rFonts w:ascii="Times New Roman" w:hAnsi="Times New Roman" w:cs="Times New Roman"/>
          <w:i/>
          <w:sz w:val="26"/>
          <w:szCs w:val="26"/>
        </w:rPr>
        <w:t>i</w:t>
      </w:r>
      <w:r w:rsidR="00F90BCC">
        <w:rPr>
          <w:rFonts w:ascii="Times New Roman" w:hAnsi="Times New Roman" w:cs="Times New Roman"/>
          <w:sz w:val="26"/>
          <w:szCs w:val="26"/>
        </w:rPr>
        <w:t>)</w:t>
      </w:r>
      <w:r w:rsidR="00F325EB">
        <w:rPr>
          <w:rFonts w:ascii="Times New Roman" w:hAnsi="Times New Roman" w:cs="Times New Roman"/>
          <w:sz w:val="26"/>
          <w:szCs w:val="26"/>
        </w:rPr>
        <w:t xml:space="preserve"> </w:t>
      </w:r>
      <w:r w:rsidR="00A7230F">
        <w:rPr>
          <w:rFonts w:ascii="Times New Roman" w:hAnsi="Times New Roman" w:cs="Times New Roman"/>
          <w:sz w:val="26"/>
          <w:szCs w:val="26"/>
        </w:rPr>
        <w:t>non è</w:t>
      </w:r>
      <w:r w:rsidR="00F325EB">
        <w:rPr>
          <w:rFonts w:ascii="Times New Roman" w:hAnsi="Times New Roman" w:cs="Times New Roman"/>
          <w:sz w:val="26"/>
          <w:szCs w:val="26"/>
        </w:rPr>
        <w:t xml:space="preserve"> </w:t>
      </w:r>
      <w:r>
        <w:rPr>
          <w:rFonts w:ascii="Times New Roman" w:hAnsi="Times New Roman" w:cs="Times New Roman"/>
          <w:sz w:val="26"/>
          <w:szCs w:val="26"/>
        </w:rPr>
        <w:t>p</w:t>
      </w:r>
      <w:r w:rsidR="00F325EB">
        <w:rPr>
          <w:rFonts w:ascii="Times New Roman" w:hAnsi="Times New Roman" w:cs="Times New Roman"/>
          <w:sz w:val="26"/>
          <w:szCs w:val="26"/>
        </w:rPr>
        <w:t>ossibile effettuare una stima d</w:t>
      </w:r>
      <w:r w:rsidR="001255B5">
        <w:rPr>
          <w:rFonts w:ascii="Times New Roman" w:hAnsi="Times New Roman" w:cs="Times New Roman"/>
          <w:sz w:val="26"/>
          <w:szCs w:val="26"/>
        </w:rPr>
        <w:t>el</w:t>
      </w:r>
      <w:r w:rsidR="00F325EB">
        <w:rPr>
          <w:rFonts w:ascii="Times New Roman" w:hAnsi="Times New Roman" w:cs="Times New Roman"/>
          <w:sz w:val="26"/>
          <w:szCs w:val="26"/>
        </w:rPr>
        <w:t xml:space="preserve"> rendimento atteso e</w:t>
      </w:r>
      <w:r w:rsidR="00A7230F">
        <w:rPr>
          <w:rFonts w:ascii="Times New Roman" w:hAnsi="Times New Roman" w:cs="Times New Roman"/>
          <w:sz w:val="26"/>
          <w:szCs w:val="26"/>
        </w:rPr>
        <w:t xml:space="preserve"> del</w:t>
      </w:r>
      <w:r w:rsidR="00F325EB">
        <w:rPr>
          <w:rFonts w:ascii="Times New Roman" w:hAnsi="Times New Roman" w:cs="Times New Roman"/>
          <w:sz w:val="26"/>
          <w:szCs w:val="26"/>
        </w:rPr>
        <w:t xml:space="preserve"> rischio di lungo temine e conseguentemente </w:t>
      </w:r>
      <w:r w:rsidR="00F90BCC">
        <w:rPr>
          <w:rFonts w:ascii="Times New Roman" w:hAnsi="Times New Roman" w:cs="Times New Roman"/>
          <w:sz w:val="26"/>
          <w:szCs w:val="26"/>
        </w:rPr>
        <w:t>(</w:t>
      </w:r>
      <w:r w:rsidR="00F90BCC" w:rsidRPr="00F90BCC">
        <w:rPr>
          <w:rFonts w:ascii="Times New Roman" w:hAnsi="Times New Roman" w:cs="Times New Roman"/>
          <w:i/>
          <w:sz w:val="26"/>
          <w:szCs w:val="26"/>
        </w:rPr>
        <w:t>ii</w:t>
      </w:r>
      <w:r w:rsidR="00F90BCC">
        <w:rPr>
          <w:rFonts w:ascii="Times New Roman" w:hAnsi="Times New Roman" w:cs="Times New Roman"/>
          <w:sz w:val="26"/>
          <w:szCs w:val="26"/>
        </w:rPr>
        <w:t xml:space="preserve">) </w:t>
      </w:r>
      <w:r w:rsidR="00F325EB">
        <w:rPr>
          <w:rFonts w:ascii="Times New Roman" w:hAnsi="Times New Roman" w:cs="Times New Roman"/>
          <w:sz w:val="26"/>
          <w:szCs w:val="26"/>
        </w:rPr>
        <w:t>non si possono applicare strumenti (ad esempio, il VaR, modelli di simulazion</w:t>
      </w:r>
      <w:r w:rsidR="00F90BCC">
        <w:rPr>
          <w:rFonts w:ascii="Times New Roman" w:hAnsi="Times New Roman" w:cs="Times New Roman"/>
          <w:sz w:val="26"/>
          <w:szCs w:val="26"/>
        </w:rPr>
        <w:t>e - parametrica e non - come</w:t>
      </w:r>
      <w:r w:rsidR="00F325EB">
        <w:rPr>
          <w:rFonts w:ascii="Times New Roman" w:hAnsi="Times New Roman" w:cs="Times New Roman"/>
          <w:sz w:val="26"/>
          <w:szCs w:val="26"/>
        </w:rPr>
        <w:t xml:space="preserve"> il cono </w:t>
      </w:r>
      <w:r w:rsidR="00F90BCC">
        <w:rPr>
          <w:rFonts w:ascii="Times New Roman" w:hAnsi="Times New Roman" w:cs="Times New Roman"/>
          <w:sz w:val="26"/>
          <w:szCs w:val="26"/>
        </w:rPr>
        <w:t>delle probabilità</w:t>
      </w:r>
      <w:r w:rsidR="00F325EB">
        <w:rPr>
          <w:rFonts w:ascii="Times New Roman" w:hAnsi="Times New Roman" w:cs="Times New Roman"/>
          <w:sz w:val="26"/>
          <w:szCs w:val="26"/>
        </w:rPr>
        <w:t xml:space="preserve">) in grado di fare proiezioni probabilistiche </w:t>
      </w:r>
      <w:r w:rsidR="000D4AFC">
        <w:rPr>
          <w:rFonts w:ascii="Times New Roman" w:hAnsi="Times New Roman" w:cs="Times New Roman"/>
          <w:sz w:val="26"/>
          <w:szCs w:val="26"/>
        </w:rPr>
        <w:t>sul</w:t>
      </w:r>
      <w:r w:rsidR="00F325EB">
        <w:rPr>
          <w:rFonts w:ascii="Times New Roman" w:hAnsi="Times New Roman" w:cs="Times New Roman"/>
          <w:sz w:val="26"/>
          <w:szCs w:val="26"/>
        </w:rPr>
        <w:t>l’andamento futuro dell’investimento</w:t>
      </w:r>
      <w:r>
        <w:rPr>
          <w:rFonts w:ascii="Times New Roman" w:hAnsi="Times New Roman" w:cs="Times New Roman"/>
          <w:sz w:val="26"/>
          <w:szCs w:val="26"/>
        </w:rPr>
        <w:t>;</w:t>
      </w:r>
      <w:r w:rsidR="00F325EB">
        <w:rPr>
          <w:rFonts w:ascii="Times New Roman" w:hAnsi="Times New Roman" w:cs="Times New Roman"/>
          <w:sz w:val="26"/>
          <w:szCs w:val="26"/>
        </w:rPr>
        <w:t xml:space="preserve"> </w:t>
      </w:r>
    </w:p>
    <w:p w14:paraId="5A245197" w14:textId="77777777" w:rsidR="00236A7C" w:rsidRDefault="0076319D" w:rsidP="00A658F6">
      <w:pPr>
        <w:pStyle w:val="Paragrafoelenco"/>
        <w:numPr>
          <w:ilvl w:val="0"/>
          <w:numId w:val="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l</w:t>
      </w:r>
      <w:r w:rsidR="00747767">
        <w:rPr>
          <w:rFonts w:ascii="Times New Roman" w:hAnsi="Times New Roman" w:cs="Times New Roman"/>
          <w:sz w:val="26"/>
          <w:szCs w:val="26"/>
        </w:rPr>
        <w:t>’investitore che concentra il portafoglio su</w:t>
      </w:r>
      <w:r>
        <w:rPr>
          <w:rFonts w:ascii="Times New Roman" w:hAnsi="Times New Roman" w:cs="Times New Roman"/>
          <w:sz w:val="26"/>
          <w:szCs w:val="26"/>
        </w:rPr>
        <w:t>i</w:t>
      </w:r>
      <w:r w:rsidR="00747767">
        <w:rPr>
          <w:rFonts w:ascii="Times New Roman" w:hAnsi="Times New Roman" w:cs="Times New Roman"/>
          <w:sz w:val="26"/>
          <w:szCs w:val="26"/>
        </w:rPr>
        <w:t xml:space="preserve"> prodotti flessibili assume implicitamente una fiducia </w:t>
      </w:r>
      <w:r w:rsidR="000B37B1">
        <w:rPr>
          <w:rFonts w:ascii="Times New Roman" w:hAnsi="Times New Roman" w:cs="Times New Roman"/>
          <w:sz w:val="26"/>
          <w:szCs w:val="26"/>
        </w:rPr>
        <w:t>“</w:t>
      </w:r>
      <w:r w:rsidR="00747767">
        <w:rPr>
          <w:rFonts w:ascii="Times New Roman" w:hAnsi="Times New Roman" w:cs="Times New Roman"/>
          <w:sz w:val="26"/>
          <w:szCs w:val="26"/>
        </w:rPr>
        <w:t>cieca</w:t>
      </w:r>
      <w:r w:rsidR="000B37B1">
        <w:rPr>
          <w:rFonts w:ascii="Times New Roman" w:hAnsi="Times New Roman" w:cs="Times New Roman"/>
          <w:sz w:val="26"/>
          <w:szCs w:val="26"/>
        </w:rPr>
        <w:t>”</w:t>
      </w:r>
      <w:r w:rsidR="00747767">
        <w:rPr>
          <w:rFonts w:ascii="Times New Roman" w:hAnsi="Times New Roman" w:cs="Times New Roman"/>
          <w:sz w:val="26"/>
          <w:szCs w:val="26"/>
        </w:rPr>
        <w:t xml:space="preserve"> nei confronti nell’asset </w:t>
      </w:r>
      <w:proofErr w:type="spellStart"/>
      <w:r w:rsidR="00747767">
        <w:rPr>
          <w:rFonts w:ascii="Times New Roman" w:hAnsi="Times New Roman" w:cs="Times New Roman"/>
          <w:sz w:val="26"/>
          <w:szCs w:val="26"/>
        </w:rPr>
        <w:t>allocation</w:t>
      </w:r>
      <w:proofErr w:type="spellEnd"/>
      <w:r w:rsidR="00747767">
        <w:rPr>
          <w:rFonts w:ascii="Times New Roman" w:hAnsi="Times New Roman" w:cs="Times New Roman"/>
          <w:sz w:val="26"/>
          <w:szCs w:val="26"/>
        </w:rPr>
        <w:t xml:space="preserve"> tattica, ossia nella capacità di prevedere l’andamento dei mercati nel breve termine e nella conseguente capacità dei gestori flessibili di </w:t>
      </w:r>
      <w:r w:rsidR="005E5BB3">
        <w:rPr>
          <w:rFonts w:ascii="Times New Roman" w:hAnsi="Times New Roman" w:cs="Times New Roman"/>
          <w:sz w:val="26"/>
          <w:szCs w:val="26"/>
        </w:rPr>
        <w:t>fare</w:t>
      </w:r>
      <w:r w:rsidR="00747767">
        <w:rPr>
          <w:rFonts w:ascii="Times New Roman" w:hAnsi="Times New Roman" w:cs="Times New Roman"/>
          <w:sz w:val="26"/>
          <w:szCs w:val="26"/>
        </w:rPr>
        <w:t xml:space="preserve"> </w:t>
      </w:r>
      <w:r w:rsidR="00747767" w:rsidRPr="000B37B1">
        <w:rPr>
          <w:rFonts w:ascii="Times New Roman" w:hAnsi="Times New Roman" w:cs="Times New Roman"/>
          <w:i/>
          <w:sz w:val="26"/>
          <w:szCs w:val="26"/>
        </w:rPr>
        <w:t>market timing</w:t>
      </w:r>
      <w:r w:rsidR="00747767">
        <w:rPr>
          <w:rFonts w:ascii="Times New Roman" w:hAnsi="Times New Roman" w:cs="Times New Roman"/>
          <w:sz w:val="26"/>
          <w:szCs w:val="26"/>
        </w:rPr>
        <w:t xml:space="preserve">. </w:t>
      </w:r>
      <w:r w:rsidR="005E5BB3">
        <w:rPr>
          <w:rFonts w:ascii="Times New Roman" w:hAnsi="Times New Roman" w:cs="Times New Roman"/>
          <w:sz w:val="26"/>
          <w:szCs w:val="26"/>
        </w:rPr>
        <w:t xml:space="preserve">Purtroppo, </w:t>
      </w:r>
      <w:r w:rsidR="008B4547">
        <w:rPr>
          <w:rFonts w:ascii="Times New Roman" w:hAnsi="Times New Roman" w:cs="Times New Roman"/>
          <w:sz w:val="26"/>
          <w:szCs w:val="26"/>
        </w:rPr>
        <w:t>l’</w:t>
      </w:r>
      <w:r w:rsidR="000D4AFC">
        <w:rPr>
          <w:rFonts w:ascii="Times New Roman" w:hAnsi="Times New Roman" w:cs="Times New Roman"/>
          <w:sz w:val="26"/>
          <w:szCs w:val="26"/>
        </w:rPr>
        <w:t>elevata</w:t>
      </w:r>
      <w:r w:rsidR="005E5BB3">
        <w:rPr>
          <w:rFonts w:ascii="Times New Roman" w:hAnsi="Times New Roman" w:cs="Times New Roman"/>
          <w:sz w:val="26"/>
          <w:szCs w:val="26"/>
        </w:rPr>
        <w:t xml:space="preserve"> fiducia nella capacità di anticipare l’andamento dei mercati </w:t>
      </w:r>
      <w:r w:rsidR="000B37B1" w:rsidRPr="000B37B1">
        <w:rPr>
          <w:rFonts w:ascii="Times New Roman" w:hAnsi="Times New Roman" w:cs="Times New Roman"/>
          <w:i/>
          <w:sz w:val="26"/>
          <w:szCs w:val="26"/>
        </w:rPr>
        <w:t xml:space="preserve">in the short </w:t>
      </w:r>
      <w:proofErr w:type="spellStart"/>
      <w:r w:rsidR="000B37B1" w:rsidRPr="000B37B1">
        <w:rPr>
          <w:rFonts w:ascii="Times New Roman" w:hAnsi="Times New Roman" w:cs="Times New Roman"/>
          <w:i/>
          <w:sz w:val="26"/>
          <w:szCs w:val="26"/>
        </w:rPr>
        <w:t>run</w:t>
      </w:r>
      <w:proofErr w:type="spellEnd"/>
      <w:r w:rsidR="005E5BB3">
        <w:rPr>
          <w:rFonts w:ascii="Times New Roman" w:hAnsi="Times New Roman" w:cs="Times New Roman"/>
          <w:sz w:val="26"/>
          <w:szCs w:val="26"/>
        </w:rPr>
        <w:t xml:space="preserve">, </w:t>
      </w:r>
      <w:r w:rsidR="009A59D9">
        <w:rPr>
          <w:rFonts w:ascii="Times New Roman" w:hAnsi="Times New Roman" w:cs="Times New Roman"/>
          <w:sz w:val="26"/>
          <w:szCs w:val="26"/>
        </w:rPr>
        <w:t>cozza</w:t>
      </w:r>
      <w:r w:rsidR="000B37B1">
        <w:rPr>
          <w:rFonts w:ascii="Times New Roman" w:hAnsi="Times New Roman" w:cs="Times New Roman"/>
          <w:sz w:val="26"/>
          <w:szCs w:val="26"/>
        </w:rPr>
        <w:t xml:space="preserve"> con la difficoltà di </w:t>
      </w:r>
      <w:r w:rsidR="009A59D9">
        <w:rPr>
          <w:rFonts w:ascii="Times New Roman" w:hAnsi="Times New Roman" w:cs="Times New Roman"/>
          <w:sz w:val="26"/>
          <w:szCs w:val="26"/>
        </w:rPr>
        <w:t>prevedere i mercati nel breve termine</w:t>
      </w:r>
      <w:r w:rsidR="00092CDD">
        <w:rPr>
          <w:rStyle w:val="Rimandonotaapidipagina"/>
          <w:rFonts w:ascii="Times New Roman" w:hAnsi="Times New Roman" w:cs="Times New Roman"/>
          <w:sz w:val="26"/>
          <w:szCs w:val="26"/>
        </w:rPr>
        <w:footnoteReference w:id="8"/>
      </w:r>
      <w:r w:rsidR="00A7230F">
        <w:rPr>
          <w:rFonts w:ascii="Times New Roman" w:hAnsi="Times New Roman" w:cs="Times New Roman"/>
          <w:sz w:val="26"/>
          <w:szCs w:val="26"/>
        </w:rPr>
        <w:t xml:space="preserve"> in un contesto di crescente efficienza informativa dei mercati</w:t>
      </w:r>
      <w:r w:rsidR="004447D4">
        <w:rPr>
          <w:rStyle w:val="Rimandonotaapidipagina"/>
          <w:rFonts w:ascii="Times New Roman" w:hAnsi="Times New Roman" w:cs="Times New Roman"/>
          <w:sz w:val="26"/>
          <w:szCs w:val="26"/>
        </w:rPr>
        <w:footnoteReference w:id="9"/>
      </w:r>
      <w:r>
        <w:rPr>
          <w:rFonts w:ascii="Times New Roman" w:hAnsi="Times New Roman" w:cs="Times New Roman"/>
          <w:sz w:val="26"/>
          <w:szCs w:val="26"/>
        </w:rPr>
        <w:t>;</w:t>
      </w:r>
    </w:p>
    <w:p w14:paraId="3E5AF615" w14:textId="77777777" w:rsidR="00A7230F" w:rsidRDefault="0076319D" w:rsidP="00A658F6">
      <w:pPr>
        <w:pStyle w:val="Paragrafoelenco"/>
        <w:numPr>
          <w:ilvl w:val="0"/>
          <w:numId w:val="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i</w:t>
      </w:r>
      <w:r w:rsidR="00A7230F">
        <w:rPr>
          <w:rFonts w:ascii="Times New Roman" w:hAnsi="Times New Roman" w:cs="Times New Roman"/>
          <w:sz w:val="26"/>
          <w:szCs w:val="26"/>
        </w:rPr>
        <w:t xml:space="preserve">n un portafoglio “dominato” dalla componente flessibile, l’asset </w:t>
      </w:r>
      <w:proofErr w:type="spellStart"/>
      <w:r w:rsidR="00A7230F">
        <w:rPr>
          <w:rFonts w:ascii="Times New Roman" w:hAnsi="Times New Roman" w:cs="Times New Roman"/>
          <w:sz w:val="26"/>
          <w:szCs w:val="26"/>
        </w:rPr>
        <w:t>allocation</w:t>
      </w:r>
      <w:proofErr w:type="spellEnd"/>
      <w:r w:rsidR="00A7230F">
        <w:rPr>
          <w:rFonts w:ascii="Times New Roman" w:hAnsi="Times New Roman" w:cs="Times New Roman"/>
          <w:sz w:val="26"/>
          <w:szCs w:val="26"/>
        </w:rPr>
        <w:t xml:space="preserve"> tattica </w:t>
      </w:r>
      <w:r w:rsidR="00FC25E5">
        <w:rPr>
          <w:rFonts w:ascii="Times New Roman" w:hAnsi="Times New Roman" w:cs="Times New Roman"/>
          <w:sz w:val="26"/>
          <w:szCs w:val="26"/>
        </w:rPr>
        <w:t>periodicamente implementata è ignota</w:t>
      </w:r>
      <w:r w:rsidR="006F3590">
        <w:rPr>
          <w:rFonts w:ascii="Times New Roman" w:hAnsi="Times New Roman" w:cs="Times New Roman"/>
          <w:sz w:val="26"/>
          <w:szCs w:val="26"/>
        </w:rPr>
        <w:t>,</w:t>
      </w:r>
      <w:r w:rsidR="00FC25E5">
        <w:rPr>
          <w:rFonts w:ascii="Times New Roman" w:hAnsi="Times New Roman" w:cs="Times New Roman"/>
          <w:sz w:val="26"/>
          <w:szCs w:val="26"/>
        </w:rPr>
        <w:t xml:space="preserve"> essendo una combinazione delle scelte di </w:t>
      </w:r>
      <w:r w:rsidR="00FC25E5" w:rsidRPr="00FC25E5">
        <w:rPr>
          <w:rFonts w:ascii="Times New Roman" w:hAnsi="Times New Roman" w:cs="Times New Roman"/>
          <w:i/>
          <w:sz w:val="26"/>
          <w:szCs w:val="26"/>
        </w:rPr>
        <w:t>market timing</w:t>
      </w:r>
      <w:r w:rsidR="00FC25E5">
        <w:rPr>
          <w:rFonts w:ascii="Times New Roman" w:hAnsi="Times New Roman" w:cs="Times New Roman"/>
          <w:sz w:val="26"/>
          <w:szCs w:val="26"/>
        </w:rPr>
        <w:t xml:space="preserve"> effettuate dai gestori selezionati. Ciò impedisce di formulare una regia tattica (</w:t>
      </w:r>
      <w:r w:rsidR="00FC25E5" w:rsidRPr="006F3590">
        <w:rPr>
          <w:rFonts w:ascii="Times New Roman" w:hAnsi="Times New Roman" w:cs="Times New Roman"/>
          <w:i/>
          <w:sz w:val="26"/>
          <w:szCs w:val="26"/>
        </w:rPr>
        <w:t>overlay</w:t>
      </w:r>
      <w:r w:rsidR="00FC25E5">
        <w:rPr>
          <w:rFonts w:ascii="Times New Roman" w:hAnsi="Times New Roman" w:cs="Times New Roman"/>
          <w:sz w:val="26"/>
          <w:szCs w:val="26"/>
        </w:rPr>
        <w:t xml:space="preserve"> tattico) che permetta</w:t>
      </w:r>
      <w:r>
        <w:rPr>
          <w:rFonts w:ascii="Times New Roman" w:hAnsi="Times New Roman" w:cs="Times New Roman"/>
          <w:sz w:val="26"/>
          <w:szCs w:val="26"/>
        </w:rPr>
        <w:t>,</w:t>
      </w:r>
      <w:r w:rsidR="00FC25E5">
        <w:rPr>
          <w:rFonts w:ascii="Times New Roman" w:hAnsi="Times New Roman" w:cs="Times New Roman"/>
          <w:sz w:val="26"/>
          <w:szCs w:val="26"/>
        </w:rPr>
        <w:t xml:space="preserve"> </w:t>
      </w:r>
      <w:r w:rsidR="006F3590">
        <w:rPr>
          <w:rFonts w:ascii="Times New Roman" w:hAnsi="Times New Roman" w:cs="Times New Roman"/>
          <w:sz w:val="26"/>
          <w:szCs w:val="26"/>
        </w:rPr>
        <w:t>da un lato</w:t>
      </w:r>
      <w:r>
        <w:rPr>
          <w:rFonts w:ascii="Times New Roman" w:hAnsi="Times New Roman" w:cs="Times New Roman"/>
          <w:sz w:val="26"/>
          <w:szCs w:val="26"/>
        </w:rPr>
        <w:t>,</w:t>
      </w:r>
      <w:r w:rsidR="006F3590">
        <w:rPr>
          <w:rFonts w:ascii="Times New Roman" w:hAnsi="Times New Roman" w:cs="Times New Roman"/>
          <w:sz w:val="26"/>
          <w:szCs w:val="26"/>
        </w:rPr>
        <w:t xml:space="preserve"> di avere una conoscenza costante del peso </w:t>
      </w:r>
      <w:r w:rsidR="006F3590">
        <w:rPr>
          <w:rFonts w:ascii="Times New Roman" w:hAnsi="Times New Roman" w:cs="Times New Roman"/>
          <w:sz w:val="26"/>
          <w:szCs w:val="26"/>
        </w:rPr>
        <w:lastRenderedPageBreak/>
        <w:t>assunto dalle singole asset class in portafoglio e</w:t>
      </w:r>
      <w:r>
        <w:rPr>
          <w:rFonts w:ascii="Times New Roman" w:hAnsi="Times New Roman" w:cs="Times New Roman"/>
          <w:sz w:val="26"/>
          <w:szCs w:val="26"/>
        </w:rPr>
        <w:t>,</w:t>
      </w:r>
      <w:r w:rsidR="006F3590">
        <w:rPr>
          <w:rFonts w:ascii="Times New Roman" w:hAnsi="Times New Roman" w:cs="Times New Roman"/>
          <w:sz w:val="26"/>
          <w:szCs w:val="26"/>
        </w:rPr>
        <w:t xml:space="preserve"> dall’altro</w:t>
      </w:r>
      <w:r>
        <w:rPr>
          <w:rFonts w:ascii="Times New Roman" w:hAnsi="Times New Roman" w:cs="Times New Roman"/>
          <w:sz w:val="26"/>
          <w:szCs w:val="26"/>
        </w:rPr>
        <w:t>,</w:t>
      </w:r>
      <w:r w:rsidR="006F3590">
        <w:rPr>
          <w:rFonts w:ascii="Times New Roman" w:hAnsi="Times New Roman" w:cs="Times New Roman"/>
          <w:sz w:val="26"/>
          <w:szCs w:val="26"/>
        </w:rPr>
        <w:t xml:space="preserve"> di effettuare la scomposizione del contributo reddituale riconducibile all’asset </w:t>
      </w:r>
      <w:proofErr w:type="spellStart"/>
      <w:r w:rsidR="006F3590">
        <w:rPr>
          <w:rFonts w:ascii="Times New Roman" w:hAnsi="Times New Roman" w:cs="Times New Roman"/>
          <w:sz w:val="26"/>
          <w:szCs w:val="26"/>
        </w:rPr>
        <w:t>allocation</w:t>
      </w:r>
      <w:proofErr w:type="spellEnd"/>
      <w:r w:rsidR="006F3590">
        <w:rPr>
          <w:rFonts w:ascii="Times New Roman" w:hAnsi="Times New Roman" w:cs="Times New Roman"/>
          <w:sz w:val="26"/>
          <w:szCs w:val="26"/>
        </w:rPr>
        <w:t xml:space="preserve"> strategica e tattica, senza la quale diventa impossibile </w:t>
      </w:r>
      <w:r w:rsidR="008B4547">
        <w:rPr>
          <w:rFonts w:ascii="Times New Roman" w:hAnsi="Times New Roman" w:cs="Times New Roman"/>
          <w:sz w:val="26"/>
          <w:szCs w:val="26"/>
        </w:rPr>
        <w:t>misurare</w:t>
      </w:r>
      <w:r w:rsidR="001255B5">
        <w:rPr>
          <w:rFonts w:ascii="Times New Roman" w:hAnsi="Times New Roman" w:cs="Times New Roman"/>
          <w:sz w:val="26"/>
          <w:szCs w:val="26"/>
        </w:rPr>
        <w:t xml:space="preserve"> i </w:t>
      </w:r>
      <w:r w:rsidR="00EA7AB7">
        <w:rPr>
          <w:rFonts w:ascii="Times New Roman" w:hAnsi="Times New Roman" w:cs="Times New Roman"/>
          <w:sz w:val="26"/>
          <w:szCs w:val="26"/>
        </w:rPr>
        <w:t xml:space="preserve">principali </w:t>
      </w:r>
      <w:r w:rsidR="001255B5" w:rsidRPr="008B4547">
        <w:rPr>
          <w:rFonts w:ascii="Times New Roman" w:hAnsi="Times New Roman" w:cs="Times New Roman"/>
          <w:i/>
          <w:sz w:val="26"/>
          <w:szCs w:val="26"/>
        </w:rPr>
        <w:t>driver</w:t>
      </w:r>
      <w:r w:rsidR="001255B5">
        <w:rPr>
          <w:rFonts w:ascii="Times New Roman" w:hAnsi="Times New Roman" w:cs="Times New Roman"/>
          <w:sz w:val="26"/>
          <w:szCs w:val="26"/>
        </w:rPr>
        <w:t xml:space="preserve"> della redditività</w:t>
      </w:r>
      <w:r w:rsidR="006F3590">
        <w:rPr>
          <w:rFonts w:ascii="Times New Roman" w:hAnsi="Times New Roman" w:cs="Times New Roman"/>
          <w:sz w:val="26"/>
          <w:szCs w:val="26"/>
        </w:rPr>
        <w:t>.</w:t>
      </w:r>
      <w:r w:rsidR="000D4AFC">
        <w:rPr>
          <w:rFonts w:ascii="Times New Roman" w:hAnsi="Times New Roman" w:cs="Times New Roman"/>
          <w:sz w:val="26"/>
          <w:szCs w:val="26"/>
        </w:rPr>
        <w:t xml:space="preserve"> È per certi versi paradossale che chi “crede” nell</w:t>
      </w:r>
      <w:r w:rsidR="008B4547">
        <w:rPr>
          <w:rFonts w:ascii="Times New Roman" w:hAnsi="Times New Roman" w:cs="Times New Roman"/>
          <w:sz w:val="26"/>
          <w:szCs w:val="26"/>
        </w:rPr>
        <w:t>’</w:t>
      </w:r>
      <w:r w:rsidR="000D4AFC">
        <w:rPr>
          <w:rFonts w:ascii="Times New Roman" w:hAnsi="Times New Roman" w:cs="Times New Roman"/>
          <w:sz w:val="26"/>
          <w:szCs w:val="26"/>
        </w:rPr>
        <w:t xml:space="preserve">asset </w:t>
      </w:r>
      <w:proofErr w:type="spellStart"/>
      <w:r w:rsidR="000D4AFC">
        <w:rPr>
          <w:rFonts w:ascii="Times New Roman" w:hAnsi="Times New Roman" w:cs="Times New Roman"/>
          <w:sz w:val="26"/>
          <w:szCs w:val="26"/>
        </w:rPr>
        <w:t>allocation</w:t>
      </w:r>
      <w:proofErr w:type="spellEnd"/>
      <w:r w:rsidR="000D4AFC">
        <w:rPr>
          <w:rFonts w:ascii="Times New Roman" w:hAnsi="Times New Roman" w:cs="Times New Roman"/>
          <w:sz w:val="26"/>
          <w:szCs w:val="26"/>
        </w:rPr>
        <w:t xml:space="preserve"> tattica</w:t>
      </w:r>
      <w:r w:rsidR="003B44C3">
        <w:rPr>
          <w:rFonts w:ascii="Times New Roman" w:hAnsi="Times New Roman" w:cs="Times New Roman"/>
          <w:sz w:val="26"/>
          <w:szCs w:val="26"/>
        </w:rPr>
        <w:t xml:space="preserve"> a tal punto</w:t>
      </w:r>
      <w:r w:rsidR="00EA7AB7">
        <w:rPr>
          <w:rFonts w:ascii="Times New Roman" w:hAnsi="Times New Roman" w:cs="Times New Roman"/>
          <w:sz w:val="26"/>
          <w:szCs w:val="26"/>
        </w:rPr>
        <w:t xml:space="preserve"> </w:t>
      </w:r>
      <w:r w:rsidR="003B44C3">
        <w:rPr>
          <w:rFonts w:ascii="Times New Roman" w:hAnsi="Times New Roman" w:cs="Times New Roman"/>
          <w:sz w:val="26"/>
          <w:szCs w:val="26"/>
        </w:rPr>
        <w:t xml:space="preserve">da </w:t>
      </w:r>
      <w:r w:rsidR="00EA7AB7">
        <w:rPr>
          <w:rFonts w:ascii="Times New Roman" w:hAnsi="Times New Roman" w:cs="Times New Roman"/>
          <w:sz w:val="26"/>
          <w:szCs w:val="26"/>
        </w:rPr>
        <w:t>invest</w:t>
      </w:r>
      <w:r w:rsidR="003B44C3">
        <w:rPr>
          <w:rFonts w:ascii="Times New Roman" w:hAnsi="Times New Roman" w:cs="Times New Roman"/>
          <w:sz w:val="26"/>
          <w:szCs w:val="26"/>
        </w:rPr>
        <w:t>ire</w:t>
      </w:r>
      <w:r w:rsidR="00EA7AB7">
        <w:rPr>
          <w:rFonts w:ascii="Times New Roman" w:hAnsi="Times New Roman" w:cs="Times New Roman"/>
          <w:sz w:val="26"/>
          <w:szCs w:val="26"/>
        </w:rPr>
        <w:t xml:space="preserve"> pesantemente in prodotti flessibili,</w:t>
      </w:r>
      <w:r w:rsidR="000D4AFC">
        <w:rPr>
          <w:rFonts w:ascii="Times New Roman" w:hAnsi="Times New Roman" w:cs="Times New Roman"/>
          <w:sz w:val="26"/>
          <w:szCs w:val="26"/>
        </w:rPr>
        <w:t xml:space="preserve"> non abbia</w:t>
      </w:r>
      <w:r w:rsidR="003B44C3">
        <w:rPr>
          <w:rFonts w:ascii="Times New Roman" w:hAnsi="Times New Roman" w:cs="Times New Roman"/>
          <w:sz w:val="26"/>
          <w:szCs w:val="26"/>
        </w:rPr>
        <w:t xml:space="preserve"> poi</w:t>
      </w:r>
      <w:r w:rsidR="000D4AFC">
        <w:rPr>
          <w:rFonts w:ascii="Times New Roman" w:hAnsi="Times New Roman" w:cs="Times New Roman"/>
          <w:sz w:val="26"/>
          <w:szCs w:val="26"/>
        </w:rPr>
        <w:t xml:space="preserve"> gli strumenti per </w:t>
      </w:r>
      <w:r w:rsidR="008C7BAD">
        <w:rPr>
          <w:rFonts w:ascii="Times New Roman" w:hAnsi="Times New Roman" w:cs="Times New Roman"/>
          <w:sz w:val="26"/>
          <w:szCs w:val="26"/>
        </w:rPr>
        <w:t>governare</w:t>
      </w:r>
      <w:r w:rsidR="003B44C3">
        <w:rPr>
          <w:rFonts w:ascii="Times New Roman" w:hAnsi="Times New Roman" w:cs="Times New Roman"/>
          <w:sz w:val="26"/>
          <w:szCs w:val="26"/>
        </w:rPr>
        <w:t xml:space="preserve"> la tattica</w:t>
      </w:r>
      <w:r w:rsidR="000D4AFC">
        <w:rPr>
          <w:rFonts w:ascii="Times New Roman" w:hAnsi="Times New Roman" w:cs="Times New Roman"/>
          <w:sz w:val="26"/>
          <w:szCs w:val="26"/>
        </w:rPr>
        <w:t xml:space="preserve"> né ex-ante</w:t>
      </w:r>
      <w:r w:rsidR="008C7BAD">
        <w:rPr>
          <w:rFonts w:ascii="Times New Roman" w:hAnsi="Times New Roman" w:cs="Times New Roman"/>
          <w:sz w:val="26"/>
          <w:szCs w:val="26"/>
        </w:rPr>
        <w:t>,</w:t>
      </w:r>
      <w:r w:rsidR="000D4AFC">
        <w:rPr>
          <w:rFonts w:ascii="Times New Roman" w:hAnsi="Times New Roman" w:cs="Times New Roman"/>
          <w:sz w:val="26"/>
          <w:szCs w:val="26"/>
        </w:rPr>
        <w:t xml:space="preserve"> né ex-post</w:t>
      </w:r>
      <w:r>
        <w:rPr>
          <w:rFonts w:ascii="Times New Roman" w:hAnsi="Times New Roman" w:cs="Times New Roman"/>
          <w:sz w:val="26"/>
          <w:szCs w:val="26"/>
        </w:rPr>
        <w:t xml:space="preserve">; </w:t>
      </w:r>
    </w:p>
    <w:p w14:paraId="429F5081" w14:textId="6D71EFE7" w:rsidR="006F3590" w:rsidRPr="00A658F6" w:rsidRDefault="0076319D" w:rsidP="00A658F6">
      <w:pPr>
        <w:pStyle w:val="Paragrafoelenco"/>
        <w:numPr>
          <w:ilvl w:val="0"/>
          <w:numId w:val="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l</w:t>
      </w:r>
      <w:r w:rsidR="006F3590">
        <w:rPr>
          <w:rFonts w:ascii="Times New Roman" w:hAnsi="Times New Roman" w:cs="Times New Roman"/>
          <w:sz w:val="26"/>
          <w:szCs w:val="26"/>
        </w:rPr>
        <w:t>’uso eccessivo dei prodotti flessibili (come quelli bilanciati) determina una crescita sensibile delle commissioni di gestione medie. Ciò avviene perché quando l’investitore copre una parte significativa della componente obbligazionaria del suo investimento ricorrendo a fondi multi</w:t>
      </w:r>
      <w:r w:rsidR="001255B5">
        <w:rPr>
          <w:rFonts w:ascii="Times New Roman" w:hAnsi="Times New Roman" w:cs="Times New Roman"/>
          <w:sz w:val="26"/>
          <w:szCs w:val="26"/>
        </w:rPr>
        <w:t>-</w:t>
      </w:r>
      <w:r w:rsidR="006F3590">
        <w:rPr>
          <w:rFonts w:ascii="Times New Roman" w:hAnsi="Times New Roman" w:cs="Times New Roman"/>
          <w:sz w:val="26"/>
          <w:szCs w:val="26"/>
        </w:rPr>
        <w:t>asset piuttosto che a fondi obbligazionari, il costo commissionale medio del portafoglio aumenta, in ragione della differenza tra le commissioni</w:t>
      </w:r>
      <w:r w:rsidR="000D4AFC">
        <w:rPr>
          <w:rFonts w:ascii="Times New Roman" w:hAnsi="Times New Roman" w:cs="Times New Roman"/>
          <w:sz w:val="26"/>
          <w:szCs w:val="26"/>
        </w:rPr>
        <w:t xml:space="preserve"> di gestione</w:t>
      </w:r>
      <w:r w:rsidR="00CD396F">
        <w:rPr>
          <w:rFonts w:ascii="Times New Roman" w:hAnsi="Times New Roman" w:cs="Times New Roman"/>
          <w:sz w:val="26"/>
          <w:szCs w:val="26"/>
        </w:rPr>
        <w:t xml:space="preserve"> medie</w:t>
      </w:r>
      <w:r w:rsidR="006F3590">
        <w:rPr>
          <w:rFonts w:ascii="Times New Roman" w:hAnsi="Times New Roman" w:cs="Times New Roman"/>
          <w:sz w:val="26"/>
          <w:szCs w:val="26"/>
        </w:rPr>
        <w:t xml:space="preserve"> applicate nel segmento flessibile (</w:t>
      </w:r>
      <w:r w:rsidR="006F3590">
        <w:rPr>
          <w:rFonts w:ascii="Times New Roman" w:hAnsi="Times New Roman" w:cs="Times New Roman"/>
          <w:sz w:val="26"/>
          <w:szCs w:val="26"/>
        </w:rPr>
        <w:sym w:font="Symbol" w:char="F040"/>
      </w:r>
      <w:r w:rsidR="006F3590">
        <w:rPr>
          <w:rFonts w:ascii="Times New Roman" w:hAnsi="Times New Roman" w:cs="Times New Roman"/>
          <w:sz w:val="26"/>
          <w:szCs w:val="26"/>
        </w:rPr>
        <w:t>1,3%</w:t>
      </w:r>
      <w:r w:rsidR="001255B5">
        <w:rPr>
          <w:rFonts w:ascii="Times New Roman" w:hAnsi="Times New Roman" w:cs="Times New Roman"/>
          <w:sz w:val="26"/>
          <w:szCs w:val="26"/>
        </w:rPr>
        <w:t>,</w:t>
      </w:r>
      <w:r w:rsidR="006F3590">
        <w:rPr>
          <w:rFonts w:ascii="Times New Roman" w:hAnsi="Times New Roman" w:cs="Times New Roman"/>
          <w:sz w:val="26"/>
          <w:szCs w:val="26"/>
        </w:rPr>
        <w:t xml:space="preserve"> per le classi retail) e</w:t>
      </w:r>
      <w:r w:rsidR="00033A53">
        <w:rPr>
          <w:rFonts w:ascii="Times New Roman" w:hAnsi="Times New Roman" w:cs="Times New Roman"/>
          <w:sz w:val="26"/>
          <w:szCs w:val="26"/>
        </w:rPr>
        <w:t>d</w:t>
      </w:r>
      <w:r w:rsidR="006F3590">
        <w:rPr>
          <w:rFonts w:ascii="Times New Roman" w:hAnsi="Times New Roman" w:cs="Times New Roman"/>
          <w:sz w:val="26"/>
          <w:szCs w:val="26"/>
        </w:rPr>
        <w:t xml:space="preserve"> </w:t>
      </w:r>
      <w:r w:rsidR="001255B5">
        <w:rPr>
          <w:rFonts w:ascii="Times New Roman" w:hAnsi="Times New Roman" w:cs="Times New Roman"/>
          <w:sz w:val="26"/>
          <w:szCs w:val="26"/>
        </w:rPr>
        <w:t>in quello</w:t>
      </w:r>
      <w:r w:rsidR="006F3590">
        <w:rPr>
          <w:rFonts w:ascii="Times New Roman" w:hAnsi="Times New Roman" w:cs="Times New Roman"/>
          <w:sz w:val="26"/>
          <w:szCs w:val="26"/>
        </w:rPr>
        <w:t xml:space="preserve"> obbligazionario</w:t>
      </w:r>
      <w:r w:rsidR="008B4547">
        <w:rPr>
          <w:rFonts w:ascii="Times New Roman" w:hAnsi="Times New Roman" w:cs="Times New Roman"/>
          <w:sz w:val="26"/>
          <w:szCs w:val="26"/>
        </w:rPr>
        <w:t xml:space="preserve"> </w:t>
      </w:r>
      <w:r w:rsidR="00033A53">
        <w:rPr>
          <w:rFonts w:ascii="Times New Roman" w:hAnsi="Times New Roman" w:cs="Times New Roman"/>
          <w:sz w:val="26"/>
          <w:szCs w:val="26"/>
        </w:rPr>
        <w:t>dell’area euro</w:t>
      </w:r>
      <w:r w:rsidR="006F3590">
        <w:rPr>
          <w:rFonts w:ascii="Times New Roman" w:hAnsi="Times New Roman" w:cs="Times New Roman"/>
          <w:sz w:val="26"/>
          <w:szCs w:val="26"/>
        </w:rPr>
        <w:t xml:space="preserve"> (</w:t>
      </w:r>
      <w:r w:rsidR="006F3590">
        <w:rPr>
          <w:rFonts w:ascii="Times New Roman" w:hAnsi="Times New Roman" w:cs="Times New Roman"/>
          <w:sz w:val="26"/>
          <w:szCs w:val="26"/>
        </w:rPr>
        <w:sym w:font="Symbol" w:char="F040"/>
      </w:r>
      <w:r w:rsidR="00CD396F">
        <w:rPr>
          <w:rFonts w:ascii="Times New Roman" w:hAnsi="Times New Roman" w:cs="Times New Roman"/>
          <w:sz w:val="26"/>
          <w:szCs w:val="26"/>
        </w:rPr>
        <w:t xml:space="preserve"> </w:t>
      </w:r>
      <w:r w:rsidR="006F3590">
        <w:rPr>
          <w:rFonts w:ascii="Times New Roman" w:hAnsi="Times New Roman" w:cs="Times New Roman"/>
          <w:sz w:val="26"/>
          <w:szCs w:val="26"/>
        </w:rPr>
        <w:t>0,86%</w:t>
      </w:r>
      <w:r w:rsidR="001255B5">
        <w:rPr>
          <w:rFonts w:ascii="Times New Roman" w:hAnsi="Times New Roman" w:cs="Times New Roman"/>
          <w:sz w:val="26"/>
          <w:szCs w:val="26"/>
        </w:rPr>
        <w:t>,</w:t>
      </w:r>
      <w:r w:rsidR="006F3590">
        <w:rPr>
          <w:rFonts w:ascii="Times New Roman" w:hAnsi="Times New Roman" w:cs="Times New Roman"/>
          <w:sz w:val="26"/>
          <w:szCs w:val="26"/>
        </w:rPr>
        <w:t xml:space="preserve"> </w:t>
      </w:r>
      <w:r w:rsidR="001255B5">
        <w:rPr>
          <w:rFonts w:ascii="Times New Roman" w:hAnsi="Times New Roman" w:cs="Times New Roman"/>
          <w:sz w:val="26"/>
          <w:szCs w:val="26"/>
        </w:rPr>
        <w:t xml:space="preserve">sempre </w:t>
      </w:r>
      <w:r w:rsidR="006F3590">
        <w:rPr>
          <w:rFonts w:ascii="Times New Roman" w:hAnsi="Times New Roman" w:cs="Times New Roman"/>
          <w:sz w:val="26"/>
          <w:szCs w:val="26"/>
        </w:rPr>
        <w:t>per le classi retail).</w:t>
      </w:r>
      <w:r w:rsidR="001255B5">
        <w:rPr>
          <w:rFonts w:ascii="Times New Roman" w:hAnsi="Times New Roman" w:cs="Times New Roman"/>
          <w:sz w:val="26"/>
          <w:szCs w:val="26"/>
        </w:rPr>
        <w:t xml:space="preserve"> Ma quest</w:t>
      </w:r>
      <w:r w:rsidR="000D4AFC">
        <w:rPr>
          <w:rFonts w:ascii="Times New Roman" w:hAnsi="Times New Roman" w:cs="Times New Roman"/>
          <w:sz w:val="26"/>
          <w:szCs w:val="26"/>
        </w:rPr>
        <w:t>o</w:t>
      </w:r>
      <w:r w:rsidR="001255B5">
        <w:rPr>
          <w:rFonts w:ascii="Times New Roman" w:hAnsi="Times New Roman" w:cs="Times New Roman"/>
          <w:sz w:val="26"/>
          <w:szCs w:val="26"/>
        </w:rPr>
        <w:t xml:space="preserve">, se ci pone </w:t>
      </w:r>
      <w:r>
        <w:rPr>
          <w:rFonts w:ascii="Times New Roman" w:hAnsi="Times New Roman" w:cs="Times New Roman"/>
          <w:sz w:val="26"/>
          <w:szCs w:val="26"/>
        </w:rPr>
        <w:t>n</w:t>
      </w:r>
      <w:r w:rsidR="001255B5">
        <w:rPr>
          <w:rFonts w:ascii="Times New Roman" w:hAnsi="Times New Roman" w:cs="Times New Roman"/>
          <w:sz w:val="26"/>
          <w:szCs w:val="26"/>
        </w:rPr>
        <w:t>ell’ottica del</w:t>
      </w:r>
      <w:r>
        <w:rPr>
          <w:rFonts w:ascii="Times New Roman" w:hAnsi="Times New Roman" w:cs="Times New Roman"/>
          <w:sz w:val="26"/>
          <w:szCs w:val="26"/>
        </w:rPr>
        <w:t>le reti e/o delle banche</w:t>
      </w:r>
      <w:r w:rsidR="001255B5">
        <w:rPr>
          <w:rFonts w:ascii="Times New Roman" w:hAnsi="Times New Roman" w:cs="Times New Roman"/>
          <w:sz w:val="26"/>
          <w:szCs w:val="26"/>
        </w:rPr>
        <w:t xml:space="preserve"> </w:t>
      </w:r>
      <w:r>
        <w:rPr>
          <w:rFonts w:ascii="Times New Roman" w:hAnsi="Times New Roman" w:cs="Times New Roman"/>
          <w:sz w:val="26"/>
          <w:szCs w:val="26"/>
        </w:rPr>
        <w:t xml:space="preserve">che operano </w:t>
      </w:r>
      <w:r w:rsidR="001255B5">
        <w:rPr>
          <w:rFonts w:ascii="Times New Roman" w:hAnsi="Times New Roman" w:cs="Times New Roman"/>
          <w:sz w:val="26"/>
          <w:szCs w:val="26"/>
        </w:rPr>
        <w:t xml:space="preserve">in un mercato il cui pricing è </w:t>
      </w:r>
      <w:r>
        <w:rPr>
          <w:rFonts w:ascii="Times New Roman" w:hAnsi="Times New Roman" w:cs="Times New Roman"/>
          <w:sz w:val="26"/>
          <w:szCs w:val="26"/>
        </w:rPr>
        <w:t xml:space="preserve">ancora </w:t>
      </w:r>
      <w:r w:rsidR="008B4547">
        <w:rPr>
          <w:rFonts w:ascii="Times New Roman" w:hAnsi="Times New Roman" w:cs="Times New Roman"/>
          <w:sz w:val="26"/>
          <w:szCs w:val="26"/>
        </w:rPr>
        <w:t>basato sulle</w:t>
      </w:r>
      <w:r w:rsidR="001255B5">
        <w:rPr>
          <w:rFonts w:ascii="Times New Roman" w:hAnsi="Times New Roman" w:cs="Times New Roman"/>
          <w:sz w:val="26"/>
          <w:szCs w:val="26"/>
        </w:rPr>
        <w:t xml:space="preserve"> retrocessioni</w:t>
      </w:r>
      <w:r>
        <w:rPr>
          <w:rFonts w:ascii="Times New Roman" w:hAnsi="Times New Roman" w:cs="Times New Roman"/>
          <w:sz w:val="26"/>
          <w:szCs w:val="26"/>
        </w:rPr>
        <w:t xml:space="preserve"> delle commissioni di gestione dei prodotti</w:t>
      </w:r>
      <w:r w:rsidR="001255B5">
        <w:rPr>
          <w:rFonts w:ascii="Times New Roman" w:hAnsi="Times New Roman" w:cs="Times New Roman"/>
          <w:sz w:val="26"/>
          <w:szCs w:val="26"/>
        </w:rPr>
        <w:t>, non è necessariamente un aspetto negativo.</w:t>
      </w:r>
    </w:p>
    <w:p w14:paraId="74E04CA3" w14:textId="77777777" w:rsidR="001255B5" w:rsidRPr="00846EE2" w:rsidRDefault="00C2355C" w:rsidP="0009582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I</w:t>
      </w:r>
      <w:r w:rsidR="001255B5">
        <w:rPr>
          <w:rFonts w:ascii="Times New Roman" w:hAnsi="Times New Roman" w:cs="Times New Roman"/>
          <w:sz w:val="26"/>
          <w:szCs w:val="26"/>
        </w:rPr>
        <w:t xml:space="preserve">l ricorso </w:t>
      </w:r>
      <w:r w:rsidR="00E95970">
        <w:rPr>
          <w:rFonts w:ascii="Times New Roman" w:hAnsi="Times New Roman" w:cs="Times New Roman"/>
          <w:sz w:val="26"/>
          <w:szCs w:val="26"/>
        </w:rPr>
        <w:t>cospicuo</w:t>
      </w:r>
      <w:r w:rsidR="001255B5">
        <w:rPr>
          <w:rFonts w:ascii="Times New Roman" w:hAnsi="Times New Roman" w:cs="Times New Roman"/>
          <w:sz w:val="26"/>
          <w:szCs w:val="26"/>
        </w:rPr>
        <w:t xml:space="preserve"> ai fondi flessibili ha</w:t>
      </w:r>
      <w:r w:rsidR="0076319D">
        <w:rPr>
          <w:rFonts w:ascii="Times New Roman" w:hAnsi="Times New Roman" w:cs="Times New Roman"/>
          <w:sz w:val="26"/>
          <w:szCs w:val="26"/>
        </w:rPr>
        <w:t>,</w:t>
      </w:r>
      <w:r>
        <w:rPr>
          <w:rFonts w:ascii="Times New Roman" w:hAnsi="Times New Roman" w:cs="Times New Roman"/>
          <w:sz w:val="26"/>
          <w:szCs w:val="26"/>
        </w:rPr>
        <w:t xml:space="preserve"> quindi</w:t>
      </w:r>
      <w:r w:rsidR="0076319D">
        <w:rPr>
          <w:rFonts w:ascii="Times New Roman" w:hAnsi="Times New Roman" w:cs="Times New Roman"/>
          <w:sz w:val="26"/>
          <w:szCs w:val="26"/>
        </w:rPr>
        <w:t>,</w:t>
      </w:r>
      <w:r w:rsidR="001255B5">
        <w:rPr>
          <w:rFonts w:ascii="Times New Roman" w:hAnsi="Times New Roman" w:cs="Times New Roman"/>
          <w:sz w:val="26"/>
          <w:szCs w:val="26"/>
        </w:rPr>
        <w:t xml:space="preserve"> delle </w:t>
      </w:r>
      <w:r w:rsidR="000D4AFC">
        <w:rPr>
          <w:rFonts w:ascii="Times New Roman" w:hAnsi="Times New Roman" w:cs="Times New Roman"/>
          <w:sz w:val="26"/>
          <w:szCs w:val="26"/>
        </w:rPr>
        <w:t>conseguenze significative sull’intero processo di costruzione del portafoglio.</w:t>
      </w:r>
      <w:r w:rsidR="00E52DA8">
        <w:rPr>
          <w:rFonts w:ascii="Times New Roman" w:hAnsi="Times New Roman" w:cs="Times New Roman"/>
          <w:sz w:val="26"/>
          <w:szCs w:val="26"/>
        </w:rPr>
        <w:t xml:space="preserve"> </w:t>
      </w:r>
      <w:r w:rsidR="000D4AFC">
        <w:rPr>
          <w:rFonts w:ascii="Times New Roman" w:hAnsi="Times New Roman" w:cs="Times New Roman"/>
          <w:sz w:val="26"/>
          <w:szCs w:val="26"/>
        </w:rPr>
        <w:t xml:space="preserve">L’asset </w:t>
      </w:r>
      <w:proofErr w:type="spellStart"/>
      <w:r w:rsidR="000D4AFC">
        <w:rPr>
          <w:rFonts w:ascii="Times New Roman" w:hAnsi="Times New Roman" w:cs="Times New Roman"/>
          <w:sz w:val="26"/>
          <w:szCs w:val="26"/>
        </w:rPr>
        <w:t>allocation</w:t>
      </w:r>
      <w:proofErr w:type="spellEnd"/>
      <w:r w:rsidR="000D4AFC">
        <w:rPr>
          <w:rFonts w:ascii="Times New Roman" w:hAnsi="Times New Roman" w:cs="Times New Roman"/>
          <w:sz w:val="26"/>
          <w:szCs w:val="26"/>
        </w:rPr>
        <w:t xml:space="preserve"> strategica viene svuotata di qualsiasi significato, sino a tal punto che, </w:t>
      </w:r>
      <w:r w:rsidR="001F498D">
        <w:rPr>
          <w:rFonts w:ascii="Times New Roman" w:hAnsi="Times New Roman" w:cs="Times New Roman"/>
          <w:sz w:val="26"/>
          <w:szCs w:val="26"/>
        </w:rPr>
        <w:t>coerentemente con quanto fanno i gestori flessibili</w:t>
      </w:r>
      <w:r w:rsidR="000D4AFC">
        <w:rPr>
          <w:rFonts w:ascii="Times New Roman" w:hAnsi="Times New Roman" w:cs="Times New Roman"/>
          <w:sz w:val="26"/>
          <w:szCs w:val="26"/>
        </w:rPr>
        <w:t xml:space="preserve">, </w:t>
      </w:r>
      <w:r w:rsidR="001F498D">
        <w:rPr>
          <w:rFonts w:ascii="Times New Roman" w:hAnsi="Times New Roman" w:cs="Times New Roman"/>
          <w:sz w:val="26"/>
          <w:szCs w:val="26"/>
        </w:rPr>
        <w:t xml:space="preserve">non si dovrebbe </w:t>
      </w:r>
      <w:r w:rsidR="003B44C3">
        <w:rPr>
          <w:rFonts w:ascii="Times New Roman" w:hAnsi="Times New Roman" w:cs="Times New Roman"/>
          <w:sz w:val="26"/>
          <w:szCs w:val="26"/>
        </w:rPr>
        <w:t>identificare</w:t>
      </w:r>
      <w:r w:rsidR="001F498D">
        <w:rPr>
          <w:rFonts w:ascii="Times New Roman" w:hAnsi="Times New Roman" w:cs="Times New Roman"/>
          <w:sz w:val="26"/>
          <w:szCs w:val="26"/>
        </w:rPr>
        <w:t xml:space="preserve"> un benchmark composito, ma solo un target di rischio e/o un obiettivo (</w:t>
      </w:r>
      <w:r>
        <w:rPr>
          <w:rFonts w:ascii="Times New Roman" w:hAnsi="Times New Roman" w:cs="Times New Roman"/>
          <w:sz w:val="26"/>
          <w:szCs w:val="26"/>
        </w:rPr>
        <w:t xml:space="preserve">si badi bene: </w:t>
      </w:r>
      <w:r w:rsidR="001F498D">
        <w:rPr>
          <w:rFonts w:ascii="Times New Roman" w:hAnsi="Times New Roman" w:cs="Times New Roman"/>
          <w:sz w:val="26"/>
          <w:szCs w:val="26"/>
        </w:rPr>
        <w:t xml:space="preserve">non una aspettativa) di redditività. </w:t>
      </w:r>
      <w:r>
        <w:rPr>
          <w:rFonts w:ascii="Times New Roman" w:hAnsi="Times New Roman" w:cs="Times New Roman"/>
          <w:sz w:val="26"/>
          <w:szCs w:val="26"/>
        </w:rPr>
        <w:t>S</w:t>
      </w:r>
      <w:r w:rsidR="00542948">
        <w:rPr>
          <w:rFonts w:ascii="Times New Roman" w:hAnsi="Times New Roman" w:cs="Times New Roman"/>
          <w:sz w:val="26"/>
          <w:szCs w:val="26"/>
        </w:rPr>
        <w:t xml:space="preserve">i rinuncia aprioristicamente </w:t>
      </w:r>
      <w:r>
        <w:rPr>
          <w:rFonts w:ascii="Times New Roman" w:hAnsi="Times New Roman" w:cs="Times New Roman"/>
          <w:sz w:val="26"/>
          <w:szCs w:val="26"/>
        </w:rPr>
        <w:t>a</w:t>
      </w:r>
      <w:r w:rsidR="003B44C3">
        <w:rPr>
          <w:rFonts w:ascii="Times New Roman" w:hAnsi="Times New Roman" w:cs="Times New Roman"/>
          <w:sz w:val="26"/>
          <w:szCs w:val="26"/>
        </w:rPr>
        <w:t xml:space="preserve"> misurare</w:t>
      </w:r>
      <w:r>
        <w:rPr>
          <w:rFonts w:ascii="Times New Roman" w:hAnsi="Times New Roman" w:cs="Times New Roman"/>
          <w:sz w:val="26"/>
          <w:szCs w:val="26"/>
        </w:rPr>
        <w:t xml:space="preserve"> il contributo reddituale riveniente dalle singole fasi di costruzione del portafoglio. In sintesi, dietro la scelta di attribuire un peso elevato a tali prodotti vi è un “atto di fede” circa la capacità dei gestori flessibili di svolgere efficacemente sia l’asset </w:t>
      </w:r>
      <w:proofErr w:type="spellStart"/>
      <w:r>
        <w:rPr>
          <w:rFonts w:ascii="Times New Roman" w:hAnsi="Times New Roman" w:cs="Times New Roman"/>
          <w:sz w:val="26"/>
          <w:szCs w:val="26"/>
        </w:rPr>
        <w:t>allocation</w:t>
      </w:r>
      <w:proofErr w:type="spellEnd"/>
      <w:r w:rsidR="0076319D">
        <w:rPr>
          <w:rFonts w:ascii="Times New Roman" w:hAnsi="Times New Roman" w:cs="Times New Roman"/>
          <w:sz w:val="26"/>
          <w:szCs w:val="26"/>
        </w:rPr>
        <w:t xml:space="preserve">, sia </w:t>
      </w:r>
      <w:r>
        <w:rPr>
          <w:rFonts w:ascii="Times New Roman" w:hAnsi="Times New Roman" w:cs="Times New Roman"/>
          <w:sz w:val="26"/>
          <w:szCs w:val="26"/>
        </w:rPr>
        <w:t xml:space="preserve">la </w:t>
      </w:r>
      <w:r w:rsidRPr="00846EE2">
        <w:rPr>
          <w:rFonts w:ascii="Times New Roman" w:hAnsi="Times New Roman" w:cs="Times New Roman"/>
          <w:i/>
          <w:sz w:val="26"/>
          <w:szCs w:val="26"/>
        </w:rPr>
        <w:t xml:space="preserve">stock/bond </w:t>
      </w:r>
      <w:proofErr w:type="spellStart"/>
      <w:r w:rsidRPr="00846EE2">
        <w:rPr>
          <w:rFonts w:ascii="Times New Roman" w:hAnsi="Times New Roman" w:cs="Times New Roman"/>
          <w:i/>
          <w:sz w:val="26"/>
          <w:szCs w:val="26"/>
        </w:rPr>
        <w:t>selection</w:t>
      </w:r>
      <w:proofErr w:type="spellEnd"/>
      <w:r>
        <w:rPr>
          <w:rFonts w:ascii="Times New Roman" w:hAnsi="Times New Roman" w:cs="Times New Roman"/>
          <w:sz w:val="26"/>
          <w:szCs w:val="26"/>
        </w:rPr>
        <w:t>. E</w:t>
      </w:r>
      <w:r w:rsidR="0076319D">
        <w:rPr>
          <w:rFonts w:ascii="Times New Roman" w:hAnsi="Times New Roman" w:cs="Times New Roman"/>
          <w:sz w:val="26"/>
          <w:szCs w:val="26"/>
        </w:rPr>
        <w:t>,</w:t>
      </w:r>
      <w:r>
        <w:rPr>
          <w:rFonts w:ascii="Times New Roman" w:hAnsi="Times New Roman" w:cs="Times New Roman"/>
          <w:sz w:val="26"/>
          <w:szCs w:val="26"/>
        </w:rPr>
        <w:t xml:space="preserve"> in effetti</w:t>
      </w:r>
      <w:r w:rsidR="0076319D">
        <w:rPr>
          <w:rFonts w:ascii="Times New Roman" w:hAnsi="Times New Roman" w:cs="Times New Roman"/>
          <w:sz w:val="26"/>
          <w:szCs w:val="26"/>
        </w:rPr>
        <w:t>,</w:t>
      </w:r>
      <w:r>
        <w:rPr>
          <w:rFonts w:ascii="Times New Roman" w:hAnsi="Times New Roman" w:cs="Times New Roman"/>
          <w:sz w:val="26"/>
          <w:szCs w:val="26"/>
        </w:rPr>
        <w:t xml:space="preserve"> solo una fiducia </w:t>
      </w:r>
      <w:r w:rsidR="009F53E3">
        <w:rPr>
          <w:rFonts w:ascii="Times New Roman" w:hAnsi="Times New Roman" w:cs="Times New Roman"/>
          <w:sz w:val="26"/>
          <w:szCs w:val="26"/>
        </w:rPr>
        <w:t>assoluta</w:t>
      </w:r>
      <w:r>
        <w:rPr>
          <w:rFonts w:ascii="Times New Roman" w:hAnsi="Times New Roman" w:cs="Times New Roman"/>
          <w:sz w:val="26"/>
          <w:szCs w:val="26"/>
        </w:rPr>
        <w:t xml:space="preserve"> può giustificare la decisione di rinunciare ad un governo ex-ante </w:t>
      </w:r>
      <w:proofErr w:type="gramStart"/>
      <w:r>
        <w:rPr>
          <w:rFonts w:ascii="Times New Roman" w:hAnsi="Times New Roman" w:cs="Times New Roman"/>
          <w:sz w:val="26"/>
          <w:szCs w:val="26"/>
        </w:rPr>
        <w:t>ed</w:t>
      </w:r>
      <w:proofErr w:type="gramEnd"/>
      <w:r>
        <w:rPr>
          <w:rFonts w:ascii="Times New Roman" w:hAnsi="Times New Roman" w:cs="Times New Roman"/>
          <w:sz w:val="26"/>
          <w:szCs w:val="26"/>
        </w:rPr>
        <w:t xml:space="preserve"> </w:t>
      </w:r>
      <w:r w:rsidR="0076319D">
        <w:rPr>
          <w:rFonts w:ascii="Times New Roman" w:hAnsi="Times New Roman" w:cs="Times New Roman"/>
          <w:sz w:val="26"/>
          <w:szCs w:val="26"/>
        </w:rPr>
        <w:t xml:space="preserve">ad </w:t>
      </w:r>
      <w:r>
        <w:rPr>
          <w:rFonts w:ascii="Times New Roman" w:hAnsi="Times New Roman" w:cs="Times New Roman"/>
          <w:sz w:val="26"/>
          <w:szCs w:val="26"/>
        </w:rPr>
        <w:t xml:space="preserve">un controllo </w:t>
      </w:r>
      <w:r>
        <w:rPr>
          <w:rFonts w:ascii="Times New Roman" w:hAnsi="Times New Roman" w:cs="Times New Roman"/>
          <w:sz w:val="26"/>
          <w:szCs w:val="26"/>
        </w:rPr>
        <w:lastRenderedPageBreak/>
        <w:t xml:space="preserve">ex-post del portafoglio. </w:t>
      </w:r>
      <w:proofErr w:type="spellStart"/>
      <w:r w:rsidR="00846EE2" w:rsidRPr="004816A0">
        <w:rPr>
          <w:rFonts w:ascii="Times New Roman" w:hAnsi="Times New Roman" w:cs="Times New Roman"/>
          <w:sz w:val="26"/>
          <w:szCs w:val="26"/>
          <w:lang w:val="en-US"/>
        </w:rPr>
        <w:t>Rielaborando</w:t>
      </w:r>
      <w:proofErr w:type="spellEnd"/>
      <w:r w:rsidR="00846EE2" w:rsidRPr="004816A0">
        <w:rPr>
          <w:rFonts w:ascii="Times New Roman" w:hAnsi="Times New Roman" w:cs="Times New Roman"/>
          <w:sz w:val="26"/>
          <w:szCs w:val="26"/>
          <w:lang w:val="en-US"/>
        </w:rPr>
        <w:t xml:space="preserve"> la </w:t>
      </w:r>
      <w:proofErr w:type="spellStart"/>
      <w:r w:rsidR="00846EE2" w:rsidRPr="004816A0">
        <w:rPr>
          <w:rFonts w:ascii="Times New Roman" w:hAnsi="Times New Roman" w:cs="Times New Roman"/>
          <w:sz w:val="26"/>
          <w:szCs w:val="26"/>
          <w:lang w:val="en-US"/>
        </w:rPr>
        <w:t>frase</w:t>
      </w:r>
      <w:proofErr w:type="spellEnd"/>
      <w:r w:rsidR="00846EE2" w:rsidRPr="004816A0">
        <w:rPr>
          <w:rFonts w:ascii="Times New Roman" w:hAnsi="Times New Roman" w:cs="Times New Roman"/>
          <w:sz w:val="26"/>
          <w:szCs w:val="26"/>
          <w:lang w:val="en-US"/>
        </w:rPr>
        <w:t xml:space="preserve"> </w:t>
      </w:r>
      <w:proofErr w:type="spellStart"/>
      <w:r w:rsidR="00846EE2" w:rsidRPr="004816A0">
        <w:rPr>
          <w:rFonts w:ascii="Times New Roman" w:hAnsi="Times New Roman" w:cs="Times New Roman"/>
          <w:sz w:val="26"/>
          <w:szCs w:val="26"/>
          <w:lang w:val="en-US"/>
        </w:rPr>
        <w:t>indimenticabile</w:t>
      </w:r>
      <w:proofErr w:type="spellEnd"/>
      <w:r w:rsidR="00846EE2" w:rsidRPr="004816A0">
        <w:rPr>
          <w:rFonts w:ascii="Times New Roman" w:hAnsi="Times New Roman" w:cs="Times New Roman"/>
          <w:sz w:val="26"/>
          <w:szCs w:val="26"/>
          <w:lang w:val="en-US"/>
        </w:rPr>
        <w:t xml:space="preserve"> di</w:t>
      </w:r>
      <w:r w:rsidRPr="004816A0">
        <w:rPr>
          <w:rFonts w:ascii="Times New Roman" w:hAnsi="Times New Roman" w:cs="Times New Roman"/>
          <w:sz w:val="26"/>
          <w:szCs w:val="26"/>
          <w:lang w:val="en-US"/>
        </w:rPr>
        <w:t xml:space="preserve"> </w:t>
      </w:r>
      <w:proofErr w:type="gramStart"/>
      <w:r w:rsidRPr="004816A0">
        <w:rPr>
          <w:rFonts w:ascii="Times New Roman" w:hAnsi="Times New Roman" w:cs="Times New Roman"/>
          <w:sz w:val="26"/>
          <w:szCs w:val="26"/>
          <w:lang w:val="en-US"/>
        </w:rPr>
        <w:t>un film</w:t>
      </w:r>
      <w:proofErr w:type="gramEnd"/>
      <w:r w:rsidRPr="004816A0">
        <w:rPr>
          <w:rFonts w:ascii="Times New Roman" w:hAnsi="Times New Roman" w:cs="Times New Roman"/>
          <w:sz w:val="26"/>
          <w:szCs w:val="26"/>
          <w:lang w:val="en-US"/>
        </w:rPr>
        <w:t xml:space="preserve"> </w:t>
      </w:r>
      <w:proofErr w:type="spellStart"/>
      <w:r w:rsidRPr="004816A0">
        <w:rPr>
          <w:rFonts w:ascii="Times New Roman" w:hAnsi="Times New Roman" w:cs="Times New Roman"/>
          <w:sz w:val="26"/>
          <w:szCs w:val="26"/>
          <w:lang w:val="en-US"/>
        </w:rPr>
        <w:t>indimenticabile</w:t>
      </w:r>
      <w:proofErr w:type="spellEnd"/>
      <w:r w:rsidRPr="004816A0">
        <w:rPr>
          <w:rFonts w:ascii="Times New Roman" w:hAnsi="Times New Roman" w:cs="Times New Roman"/>
          <w:sz w:val="26"/>
          <w:szCs w:val="26"/>
          <w:lang w:val="en-US"/>
        </w:rPr>
        <w:t xml:space="preserve">: </w:t>
      </w:r>
      <w:r w:rsidR="00846EE2" w:rsidRPr="003B44C3">
        <w:rPr>
          <w:rFonts w:ascii="Times New Roman" w:hAnsi="Times New Roman" w:cs="Times New Roman"/>
          <w:i/>
          <w:sz w:val="26"/>
          <w:szCs w:val="26"/>
          <w:lang w:val="en-US"/>
        </w:rPr>
        <w:t xml:space="preserve">Investing in flexible fund is “like a box of chocolates. You never know what you’re </w:t>
      </w:r>
      <w:proofErr w:type="spellStart"/>
      <w:r w:rsidR="00846EE2" w:rsidRPr="003B44C3">
        <w:rPr>
          <w:rFonts w:ascii="Times New Roman" w:hAnsi="Times New Roman" w:cs="Times New Roman"/>
          <w:i/>
          <w:sz w:val="26"/>
          <w:szCs w:val="26"/>
          <w:lang w:val="en-US"/>
        </w:rPr>
        <w:t>gonna</w:t>
      </w:r>
      <w:proofErr w:type="spellEnd"/>
      <w:r w:rsidR="00846EE2" w:rsidRPr="003B44C3">
        <w:rPr>
          <w:rFonts w:ascii="Times New Roman" w:hAnsi="Times New Roman" w:cs="Times New Roman"/>
          <w:i/>
          <w:sz w:val="26"/>
          <w:szCs w:val="26"/>
          <w:lang w:val="en-US"/>
        </w:rPr>
        <w:t xml:space="preserve"> get</w:t>
      </w:r>
      <w:r w:rsidRPr="003B44C3">
        <w:rPr>
          <w:rFonts w:ascii="Times New Roman" w:hAnsi="Times New Roman" w:cs="Times New Roman"/>
          <w:i/>
          <w:sz w:val="26"/>
          <w:szCs w:val="26"/>
          <w:lang w:val="en-US"/>
        </w:rPr>
        <w:t>”</w:t>
      </w:r>
      <w:r w:rsidR="00846EE2" w:rsidRPr="004816A0">
        <w:rPr>
          <w:rFonts w:ascii="Times New Roman" w:hAnsi="Times New Roman" w:cs="Times New Roman"/>
          <w:sz w:val="26"/>
          <w:szCs w:val="26"/>
          <w:lang w:val="en-US"/>
        </w:rPr>
        <w:t xml:space="preserve">. </w:t>
      </w:r>
      <w:r w:rsidR="00846EE2">
        <w:rPr>
          <w:rFonts w:ascii="Times New Roman" w:hAnsi="Times New Roman" w:cs="Times New Roman"/>
          <w:sz w:val="26"/>
          <w:szCs w:val="26"/>
        </w:rPr>
        <w:t xml:space="preserve">E </w:t>
      </w:r>
      <w:r w:rsidR="008C7BAD">
        <w:rPr>
          <w:rFonts w:ascii="Times New Roman" w:hAnsi="Times New Roman" w:cs="Times New Roman"/>
          <w:sz w:val="26"/>
          <w:szCs w:val="26"/>
        </w:rPr>
        <w:t>la</w:t>
      </w:r>
      <w:r w:rsidR="00846EE2">
        <w:rPr>
          <w:rFonts w:ascii="Times New Roman" w:hAnsi="Times New Roman" w:cs="Times New Roman"/>
          <w:sz w:val="26"/>
          <w:szCs w:val="26"/>
        </w:rPr>
        <w:t xml:space="preserve"> scatola è davvero immensa</w:t>
      </w:r>
      <w:r w:rsidR="008C7BAD">
        <w:rPr>
          <w:rFonts w:ascii="Times New Roman" w:hAnsi="Times New Roman" w:cs="Times New Roman"/>
          <w:sz w:val="26"/>
          <w:szCs w:val="26"/>
        </w:rPr>
        <w:t>,</w:t>
      </w:r>
      <w:r w:rsidR="00846EE2">
        <w:rPr>
          <w:rFonts w:ascii="Times New Roman" w:hAnsi="Times New Roman" w:cs="Times New Roman"/>
          <w:sz w:val="26"/>
          <w:szCs w:val="26"/>
        </w:rPr>
        <w:t xml:space="preserve"> scegliere i prodotti migliori è tutt’altro che facile</w:t>
      </w:r>
      <w:r w:rsidR="008C7BAD">
        <w:rPr>
          <w:rFonts w:ascii="Times New Roman" w:hAnsi="Times New Roman" w:cs="Times New Roman"/>
          <w:sz w:val="26"/>
          <w:szCs w:val="26"/>
        </w:rPr>
        <w:t xml:space="preserve"> e, soprattutto, non si vive di soli fondi flessibili</w:t>
      </w:r>
      <w:r w:rsidR="009F53E3">
        <w:rPr>
          <w:rFonts w:ascii="Times New Roman" w:hAnsi="Times New Roman" w:cs="Times New Roman"/>
          <w:sz w:val="26"/>
          <w:szCs w:val="26"/>
        </w:rPr>
        <w:t>.</w:t>
      </w:r>
      <w:r w:rsidR="00D57954">
        <w:rPr>
          <w:rFonts w:ascii="Times New Roman" w:hAnsi="Times New Roman" w:cs="Times New Roman"/>
          <w:sz w:val="26"/>
          <w:szCs w:val="26"/>
        </w:rPr>
        <w:t xml:space="preserve"> </w:t>
      </w:r>
    </w:p>
    <w:p w14:paraId="5BE8F902" w14:textId="77777777" w:rsidR="001255B5" w:rsidRPr="00846EE2" w:rsidRDefault="00E21AD8" w:rsidP="0009582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Il ricorso </w:t>
      </w:r>
      <w:r w:rsidR="009F53E3">
        <w:rPr>
          <w:rFonts w:ascii="Times New Roman" w:hAnsi="Times New Roman" w:cs="Times New Roman"/>
          <w:sz w:val="26"/>
          <w:szCs w:val="26"/>
        </w:rPr>
        <w:t>eccessivo</w:t>
      </w:r>
      <w:r>
        <w:rPr>
          <w:rFonts w:ascii="Times New Roman" w:hAnsi="Times New Roman" w:cs="Times New Roman"/>
          <w:sz w:val="26"/>
          <w:szCs w:val="26"/>
        </w:rPr>
        <w:t xml:space="preserve"> a questi prodotti comporta, quindi, una serie di esternalità negative </w:t>
      </w:r>
      <w:r w:rsidR="0076319D">
        <w:rPr>
          <w:rFonts w:ascii="Times New Roman" w:hAnsi="Times New Roman" w:cs="Times New Roman"/>
          <w:sz w:val="26"/>
          <w:szCs w:val="26"/>
        </w:rPr>
        <w:t xml:space="preserve">che </w:t>
      </w:r>
      <w:r>
        <w:rPr>
          <w:rFonts w:ascii="Times New Roman" w:hAnsi="Times New Roman" w:cs="Times New Roman"/>
          <w:sz w:val="26"/>
          <w:szCs w:val="26"/>
        </w:rPr>
        <w:t>ne giustificano un uso controllato</w:t>
      </w:r>
      <w:r w:rsidR="00D57954">
        <w:rPr>
          <w:rFonts w:ascii="Times New Roman" w:hAnsi="Times New Roman" w:cs="Times New Roman"/>
          <w:sz w:val="26"/>
          <w:szCs w:val="26"/>
        </w:rPr>
        <w:t xml:space="preserve"> </w:t>
      </w:r>
      <w:r w:rsidR="001866A9">
        <w:rPr>
          <w:rFonts w:ascii="Times New Roman" w:hAnsi="Times New Roman" w:cs="Times New Roman"/>
          <w:sz w:val="26"/>
          <w:szCs w:val="26"/>
        </w:rPr>
        <w:t>ed un loro</w:t>
      </w:r>
      <w:r w:rsidR="00D57954">
        <w:rPr>
          <w:rFonts w:ascii="Times New Roman" w:hAnsi="Times New Roman" w:cs="Times New Roman"/>
          <w:sz w:val="26"/>
          <w:szCs w:val="26"/>
        </w:rPr>
        <w:t xml:space="preserve"> </w:t>
      </w:r>
      <w:r w:rsidR="0076319D">
        <w:rPr>
          <w:rFonts w:ascii="Times New Roman" w:hAnsi="Times New Roman" w:cs="Times New Roman"/>
          <w:sz w:val="26"/>
          <w:szCs w:val="26"/>
        </w:rPr>
        <w:t>“</w:t>
      </w:r>
      <w:r w:rsidR="00D57954">
        <w:rPr>
          <w:rFonts w:ascii="Times New Roman" w:hAnsi="Times New Roman" w:cs="Times New Roman"/>
          <w:sz w:val="26"/>
          <w:szCs w:val="26"/>
        </w:rPr>
        <w:t>confina</w:t>
      </w:r>
      <w:r w:rsidR="001866A9">
        <w:rPr>
          <w:rFonts w:ascii="Times New Roman" w:hAnsi="Times New Roman" w:cs="Times New Roman"/>
          <w:sz w:val="26"/>
          <w:szCs w:val="26"/>
        </w:rPr>
        <w:t>mento</w:t>
      </w:r>
      <w:r w:rsidR="0076319D">
        <w:rPr>
          <w:rFonts w:ascii="Times New Roman" w:hAnsi="Times New Roman" w:cs="Times New Roman"/>
          <w:sz w:val="26"/>
          <w:szCs w:val="26"/>
        </w:rPr>
        <w:t>”</w:t>
      </w:r>
      <w:r w:rsidR="00D57954">
        <w:rPr>
          <w:rFonts w:ascii="Times New Roman" w:hAnsi="Times New Roman" w:cs="Times New Roman"/>
          <w:sz w:val="26"/>
          <w:szCs w:val="26"/>
        </w:rPr>
        <w:t xml:space="preserve"> nella </w:t>
      </w:r>
      <w:r w:rsidR="0076319D">
        <w:rPr>
          <w:rFonts w:ascii="Times New Roman" w:hAnsi="Times New Roman" w:cs="Times New Roman"/>
          <w:sz w:val="26"/>
          <w:szCs w:val="26"/>
        </w:rPr>
        <w:t xml:space="preserve">sola </w:t>
      </w:r>
      <w:r w:rsidR="00D57954">
        <w:rPr>
          <w:rFonts w:ascii="Times New Roman" w:hAnsi="Times New Roman" w:cs="Times New Roman"/>
          <w:sz w:val="26"/>
          <w:szCs w:val="26"/>
        </w:rPr>
        <w:t xml:space="preserve">componente </w:t>
      </w:r>
      <w:r w:rsidR="00D57954" w:rsidRPr="00D57954">
        <w:rPr>
          <w:rFonts w:ascii="Times New Roman" w:hAnsi="Times New Roman" w:cs="Times New Roman"/>
          <w:i/>
          <w:sz w:val="26"/>
          <w:szCs w:val="26"/>
        </w:rPr>
        <w:t>satellite</w:t>
      </w:r>
      <w:r w:rsidR="00D57954">
        <w:rPr>
          <w:rFonts w:ascii="Times New Roman" w:hAnsi="Times New Roman" w:cs="Times New Roman"/>
          <w:sz w:val="26"/>
          <w:szCs w:val="26"/>
        </w:rPr>
        <w:t xml:space="preserve"> </w:t>
      </w:r>
      <w:r w:rsidR="00F869C3">
        <w:rPr>
          <w:rFonts w:ascii="Times New Roman" w:hAnsi="Times New Roman" w:cs="Times New Roman"/>
          <w:sz w:val="26"/>
          <w:szCs w:val="26"/>
        </w:rPr>
        <w:t>del portafoglio</w:t>
      </w:r>
      <w:r w:rsidR="00D57954">
        <w:rPr>
          <w:rFonts w:ascii="Times New Roman" w:hAnsi="Times New Roman" w:cs="Times New Roman"/>
          <w:sz w:val="26"/>
          <w:szCs w:val="26"/>
        </w:rPr>
        <w:t>. L’esperienza, la sensibilità finanziaria ed il buon senso suggeriscono</w:t>
      </w:r>
      <w:r w:rsidR="0076319D">
        <w:rPr>
          <w:rFonts w:ascii="Times New Roman" w:hAnsi="Times New Roman" w:cs="Times New Roman"/>
          <w:sz w:val="26"/>
          <w:szCs w:val="26"/>
        </w:rPr>
        <w:t xml:space="preserve">, infatti, </w:t>
      </w:r>
      <w:r w:rsidR="00D57954">
        <w:rPr>
          <w:rFonts w:ascii="Times New Roman" w:hAnsi="Times New Roman" w:cs="Times New Roman"/>
          <w:sz w:val="26"/>
          <w:szCs w:val="26"/>
        </w:rPr>
        <w:t xml:space="preserve">che </w:t>
      </w:r>
      <w:r w:rsidR="00CD396F">
        <w:rPr>
          <w:rFonts w:ascii="Times New Roman" w:hAnsi="Times New Roman" w:cs="Times New Roman"/>
          <w:sz w:val="26"/>
          <w:szCs w:val="26"/>
        </w:rPr>
        <w:t>il pes</w:t>
      </w:r>
      <w:r w:rsidR="0076319D">
        <w:rPr>
          <w:rFonts w:ascii="Times New Roman" w:hAnsi="Times New Roman" w:cs="Times New Roman"/>
          <w:sz w:val="26"/>
          <w:szCs w:val="26"/>
        </w:rPr>
        <w:t>o</w:t>
      </w:r>
      <w:r w:rsidR="00CD396F">
        <w:rPr>
          <w:rFonts w:ascii="Times New Roman" w:hAnsi="Times New Roman" w:cs="Times New Roman"/>
          <w:sz w:val="26"/>
          <w:szCs w:val="26"/>
        </w:rPr>
        <w:t xml:space="preserve"> della</w:t>
      </w:r>
      <w:r w:rsidR="00D57954">
        <w:rPr>
          <w:rFonts w:ascii="Times New Roman" w:hAnsi="Times New Roman" w:cs="Times New Roman"/>
          <w:sz w:val="26"/>
          <w:szCs w:val="26"/>
        </w:rPr>
        <w:t xml:space="preserve"> componente </w:t>
      </w:r>
      <w:r w:rsidR="001866A9">
        <w:rPr>
          <w:rFonts w:ascii="Times New Roman" w:hAnsi="Times New Roman" w:cs="Times New Roman"/>
          <w:sz w:val="26"/>
          <w:szCs w:val="26"/>
        </w:rPr>
        <w:t>flessibile</w:t>
      </w:r>
      <w:r w:rsidR="00D57954">
        <w:rPr>
          <w:rFonts w:ascii="Times New Roman" w:hAnsi="Times New Roman" w:cs="Times New Roman"/>
          <w:sz w:val="26"/>
          <w:szCs w:val="26"/>
        </w:rPr>
        <w:t xml:space="preserve"> </w:t>
      </w:r>
      <w:r w:rsidR="008B4547">
        <w:rPr>
          <w:rFonts w:ascii="Times New Roman" w:hAnsi="Times New Roman" w:cs="Times New Roman"/>
          <w:sz w:val="26"/>
          <w:szCs w:val="26"/>
        </w:rPr>
        <w:t>dovrebbe</w:t>
      </w:r>
      <w:r w:rsidR="00D57954">
        <w:rPr>
          <w:rFonts w:ascii="Times New Roman" w:hAnsi="Times New Roman" w:cs="Times New Roman"/>
          <w:sz w:val="26"/>
          <w:szCs w:val="26"/>
        </w:rPr>
        <w:t xml:space="preserve"> variare</w:t>
      </w:r>
      <w:r w:rsidR="001866A9">
        <w:rPr>
          <w:rFonts w:ascii="Times New Roman" w:hAnsi="Times New Roman" w:cs="Times New Roman"/>
          <w:sz w:val="26"/>
          <w:szCs w:val="26"/>
        </w:rPr>
        <w:t xml:space="preserve">, in funzione della soggettiva propensione per questi prodotti e più in generale per il </w:t>
      </w:r>
      <w:r w:rsidR="001866A9" w:rsidRPr="00F1319C">
        <w:rPr>
          <w:rFonts w:ascii="Times New Roman" w:hAnsi="Times New Roman" w:cs="Times New Roman"/>
          <w:i/>
          <w:sz w:val="26"/>
          <w:szCs w:val="26"/>
        </w:rPr>
        <w:t>market timing</w:t>
      </w:r>
      <w:r w:rsidR="001866A9">
        <w:rPr>
          <w:rFonts w:ascii="Times New Roman" w:hAnsi="Times New Roman" w:cs="Times New Roman"/>
          <w:sz w:val="26"/>
          <w:szCs w:val="26"/>
        </w:rPr>
        <w:t>,</w:t>
      </w:r>
      <w:r w:rsidR="00D57954">
        <w:rPr>
          <w:rFonts w:ascii="Times New Roman" w:hAnsi="Times New Roman" w:cs="Times New Roman"/>
          <w:sz w:val="26"/>
          <w:szCs w:val="26"/>
        </w:rPr>
        <w:t xml:space="preserve"> in un range [0%; 20%]. </w:t>
      </w:r>
      <w:r w:rsidR="00F869C3">
        <w:rPr>
          <w:rFonts w:ascii="Times New Roman" w:hAnsi="Times New Roman" w:cs="Times New Roman"/>
          <w:sz w:val="26"/>
          <w:szCs w:val="26"/>
        </w:rPr>
        <w:t>Inoltre, la</w:t>
      </w:r>
      <w:r w:rsidR="00D57954">
        <w:rPr>
          <w:rFonts w:ascii="Times New Roman" w:hAnsi="Times New Roman" w:cs="Times New Roman"/>
          <w:sz w:val="26"/>
          <w:szCs w:val="26"/>
        </w:rPr>
        <w:t xml:space="preserve"> presenza (</w:t>
      </w:r>
      <w:r w:rsidR="00F1319C">
        <w:rPr>
          <w:rFonts w:ascii="Times New Roman" w:hAnsi="Times New Roman" w:cs="Times New Roman"/>
          <w:sz w:val="26"/>
          <w:szCs w:val="26"/>
        </w:rPr>
        <w:t>mancanza</w:t>
      </w:r>
      <w:r w:rsidR="00D57954">
        <w:rPr>
          <w:rFonts w:ascii="Times New Roman" w:hAnsi="Times New Roman" w:cs="Times New Roman"/>
          <w:sz w:val="26"/>
          <w:szCs w:val="26"/>
        </w:rPr>
        <w:t>) di un</w:t>
      </w:r>
      <w:r w:rsidR="001866A9">
        <w:rPr>
          <w:rFonts w:ascii="Times New Roman" w:hAnsi="Times New Roman" w:cs="Times New Roman"/>
          <w:sz w:val="26"/>
          <w:szCs w:val="26"/>
        </w:rPr>
        <w:t xml:space="preserve"> servizio di</w:t>
      </w:r>
      <w:r w:rsidR="00D57954">
        <w:rPr>
          <w:rFonts w:ascii="Times New Roman" w:hAnsi="Times New Roman" w:cs="Times New Roman"/>
          <w:sz w:val="26"/>
          <w:szCs w:val="26"/>
        </w:rPr>
        <w:t xml:space="preserve"> </w:t>
      </w:r>
      <w:r w:rsidR="00D57954" w:rsidRPr="00CD396F">
        <w:rPr>
          <w:rFonts w:ascii="Times New Roman" w:hAnsi="Times New Roman" w:cs="Times New Roman"/>
          <w:i/>
          <w:sz w:val="26"/>
          <w:szCs w:val="26"/>
        </w:rPr>
        <w:t>overlay</w:t>
      </w:r>
      <w:r w:rsidR="00D57954">
        <w:rPr>
          <w:rFonts w:ascii="Times New Roman" w:hAnsi="Times New Roman" w:cs="Times New Roman"/>
          <w:sz w:val="26"/>
          <w:szCs w:val="26"/>
        </w:rPr>
        <w:t xml:space="preserve"> tattico</w:t>
      </w:r>
      <w:r w:rsidR="00A86BE0">
        <w:rPr>
          <w:rFonts w:ascii="Times New Roman" w:hAnsi="Times New Roman" w:cs="Times New Roman"/>
          <w:sz w:val="26"/>
          <w:szCs w:val="26"/>
        </w:rPr>
        <w:t>,</w:t>
      </w:r>
      <w:r w:rsidR="001866A9">
        <w:rPr>
          <w:rFonts w:ascii="Times New Roman" w:hAnsi="Times New Roman" w:cs="Times New Roman"/>
          <w:sz w:val="26"/>
          <w:szCs w:val="26"/>
        </w:rPr>
        <w:t xml:space="preserve"> ossia </w:t>
      </w:r>
      <w:r w:rsidR="00F1319C">
        <w:rPr>
          <w:rFonts w:ascii="Times New Roman" w:hAnsi="Times New Roman" w:cs="Times New Roman"/>
          <w:sz w:val="26"/>
          <w:szCs w:val="26"/>
        </w:rPr>
        <w:t>di</w:t>
      </w:r>
      <w:r w:rsidR="001866A9">
        <w:rPr>
          <w:rFonts w:ascii="Times New Roman" w:hAnsi="Times New Roman" w:cs="Times New Roman"/>
          <w:sz w:val="26"/>
          <w:szCs w:val="26"/>
        </w:rPr>
        <w:t xml:space="preserve"> un governo accentrato delle manovre tattiche</w:t>
      </w:r>
      <w:r w:rsidR="00D57954">
        <w:rPr>
          <w:rFonts w:ascii="Times New Roman" w:hAnsi="Times New Roman" w:cs="Times New Roman"/>
          <w:sz w:val="26"/>
          <w:szCs w:val="26"/>
        </w:rPr>
        <w:t>, dovrebbe</w:t>
      </w:r>
      <w:r w:rsidR="00F1319C">
        <w:rPr>
          <w:rFonts w:ascii="Times New Roman" w:hAnsi="Times New Roman" w:cs="Times New Roman"/>
          <w:sz w:val="26"/>
          <w:szCs w:val="26"/>
        </w:rPr>
        <w:t xml:space="preserve"> suggerire una</w:t>
      </w:r>
      <w:r w:rsidR="00D57954">
        <w:rPr>
          <w:rFonts w:ascii="Times New Roman" w:hAnsi="Times New Roman" w:cs="Times New Roman"/>
          <w:sz w:val="26"/>
          <w:szCs w:val="26"/>
        </w:rPr>
        <w:t xml:space="preserve"> colloca</w:t>
      </w:r>
      <w:r w:rsidR="00F1319C">
        <w:rPr>
          <w:rFonts w:ascii="Times New Roman" w:hAnsi="Times New Roman" w:cs="Times New Roman"/>
          <w:sz w:val="26"/>
          <w:szCs w:val="26"/>
        </w:rPr>
        <w:t>zione</w:t>
      </w:r>
      <w:r w:rsidR="00D57954">
        <w:rPr>
          <w:rFonts w:ascii="Times New Roman" w:hAnsi="Times New Roman" w:cs="Times New Roman"/>
          <w:sz w:val="26"/>
          <w:szCs w:val="26"/>
        </w:rPr>
        <w:t xml:space="preserve"> </w:t>
      </w:r>
      <w:r w:rsidR="00F869C3">
        <w:rPr>
          <w:rFonts w:ascii="Times New Roman" w:hAnsi="Times New Roman" w:cs="Times New Roman"/>
          <w:sz w:val="26"/>
          <w:szCs w:val="26"/>
        </w:rPr>
        <w:t>nella parte</w:t>
      </w:r>
      <w:r w:rsidR="00D57954">
        <w:rPr>
          <w:rFonts w:ascii="Times New Roman" w:hAnsi="Times New Roman" w:cs="Times New Roman"/>
          <w:sz w:val="26"/>
          <w:szCs w:val="26"/>
        </w:rPr>
        <w:t xml:space="preserve"> </w:t>
      </w:r>
      <w:r w:rsidR="00F869C3">
        <w:rPr>
          <w:rFonts w:ascii="Times New Roman" w:hAnsi="Times New Roman" w:cs="Times New Roman"/>
          <w:sz w:val="26"/>
          <w:szCs w:val="26"/>
        </w:rPr>
        <w:t xml:space="preserve">più a </w:t>
      </w:r>
      <w:r w:rsidR="00D57954">
        <w:rPr>
          <w:rFonts w:ascii="Times New Roman" w:hAnsi="Times New Roman" w:cs="Times New Roman"/>
          <w:sz w:val="26"/>
          <w:szCs w:val="26"/>
        </w:rPr>
        <w:t xml:space="preserve">sinistra (destra) dell’intervallo. </w:t>
      </w:r>
    </w:p>
    <w:p w14:paraId="13A59BDE" w14:textId="77777777" w:rsidR="001255B5" w:rsidRPr="00846EE2" w:rsidRDefault="001255B5" w:rsidP="00095829">
      <w:pPr>
        <w:spacing w:after="0" w:line="360" w:lineRule="auto"/>
        <w:jc w:val="both"/>
        <w:rPr>
          <w:rFonts w:ascii="Times New Roman" w:hAnsi="Times New Roman" w:cs="Times New Roman"/>
          <w:sz w:val="26"/>
          <w:szCs w:val="26"/>
        </w:rPr>
      </w:pPr>
    </w:p>
    <w:p w14:paraId="53595AD4" w14:textId="77777777" w:rsidR="00F1319C" w:rsidRDefault="00FD33D5" w:rsidP="0009582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Detto, quindi, che la fiducia nel </w:t>
      </w:r>
      <w:r w:rsidRPr="00FD33D5">
        <w:rPr>
          <w:rFonts w:ascii="Times New Roman" w:hAnsi="Times New Roman" w:cs="Times New Roman"/>
          <w:i/>
          <w:sz w:val="26"/>
          <w:szCs w:val="26"/>
        </w:rPr>
        <w:t>market timing</w:t>
      </w:r>
      <w:r>
        <w:rPr>
          <w:rFonts w:ascii="Times New Roman" w:hAnsi="Times New Roman" w:cs="Times New Roman"/>
          <w:sz w:val="26"/>
          <w:szCs w:val="26"/>
        </w:rPr>
        <w:t xml:space="preserve"> e nella capacità di selezione dei migliori gestori flessibili, non sono condizioni sufficienti per rinunciare ai vantaggi </w:t>
      </w:r>
      <w:r w:rsidR="004249FE">
        <w:rPr>
          <w:rFonts w:ascii="Times New Roman" w:hAnsi="Times New Roman" w:cs="Times New Roman"/>
          <w:sz w:val="26"/>
          <w:szCs w:val="26"/>
        </w:rPr>
        <w:t xml:space="preserve">di un modello di costruzione del portafoglio </w:t>
      </w:r>
      <w:r w:rsidR="00706470">
        <w:rPr>
          <w:rFonts w:ascii="Times New Roman" w:hAnsi="Times New Roman" w:cs="Times New Roman"/>
          <w:sz w:val="26"/>
          <w:szCs w:val="26"/>
        </w:rPr>
        <w:t xml:space="preserve">basato sulla coesistenza tra asset </w:t>
      </w:r>
      <w:proofErr w:type="spellStart"/>
      <w:r w:rsidR="00706470">
        <w:rPr>
          <w:rFonts w:ascii="Times New Roman" w:hAnsi="Times New Roman" w:cs="Times New Roman"/>
          <w:sz w:val="26"/>
          <w:szCs w:val="26"/>
        </w:rPr>
        <w:t>allocation</w:t>
      </w:r>
      <w:proofErr w:type="spellEnd"/>
      <w:r w:rsidR="00706470">
        <w:rPr>
          <w:rFonts w:ascii="Times New Roman" w:hAnsi="Times New Roman" w:cs="Times New Roman"/>
          <w:sz w:val="26"/>
          <w:szCs w:val="26"/>
        </w:rPr>
        <w:t xml:space="preserve"> strategica ed asset </w:t>
      </w:r>
      <w:proofErr w:type="spellStart"/>
      <w:r w:rsidR="00706470">
        <w:rPr>
          <w:rFonts w:ascii="Times New Roman" w:hAnsi="Times New Roman" w:cs="Times New Roman"/>
          <w:sz w:val="26"/>
          <w:szCs w:val="26"/>
        </w:rPr>
        <w:t>allocation</w:t>
      </w:r>
      <w:proofErr w:type="spellEnd"/>
      <w:r w:rsidR="00706470">
        <w:rPr>
          <w:rFonts w:ascii="Times New Roman" w:hAnsi="Times New Roman" w:cs="Times New Roman"/>
          <w:sz w:val="26"/>
          <w:szCs w:val="26"/>
        </w:rPr>
        <w:t xml:space="preserve"> tattica, subentra l’esigenza di verificare quale sia il criterio più adatto per introdurre</w:t>
      </w:r>
      <w:r w:rsidR="009F53E3">
        <w:rPr>
          <w:rFonts w:ascii="Times New Roman" w:hAnsi="Times New Roman" w:cs="Times New Roman"/>
          <w:sz w:val="26"/>
          <w:szCs w:val="26"/>
        </w:rPr>
        <w:t xml:space="preserve"> in modo disciplinato</w:t>
      </w:r>
      <w:r w:rsidR="00706470">
        <w:rPr>
          <w:rFonts w:ascii="Times New Roman" w:hAnsi="Times New Roman" w:cs="Times New Roman"/>
          <w:sz w:val="26"/>
          <w:szCs w:val="26"/>
        </w:rPr>
        <w:t xml:space="preserve"> i fondi flessibili all’interno di un portafoglio </w:t>
      </w:r>
      <w:r w:rsidR="008B4547">
        <w:rPr>
          <w:rFonts w:ascii="Times New Roman" w:hAnsi="Times New Roman" w:cs="Times New Roman"/>
          <w:sz w:val="26"/>
          <w:szCs w:val="26"/>
        </w:rPr>
        <w:t>guidato</w:t>
      </w:r>
      <w:r w:rsidR="00706470">
        <w:rPr>
          <w:rFonts w:ascii="Times New Roman" w:hAnsi="Times New Roman" w:cs="Times New Roman"/>
          <w:sz w:val="26"/>
          <w:szCs w:val="26"/>
        </w:rPr>
        <w:t xml:space="preserve"> da </w:t>
      </w:r>
      <w:proofErr w:type="spellStart"/>
      <w:r w:rsidR="00706470">
        <w:rPr>
          <w:rFonts w:ascii="Times New Roman" w:hAnsi="Times New Roman" w:cs="Times New Roman"/>
          <w:sz w:val="26"/>
          <w:szCs w:val="26"/>
        </w:rPr>
        <w:t>un’asset</w:t>
      </w:r>
      <w:proofErr w:type="spellEnd"/>
      <w:r w:rsidR="00706470">
        <w:rPr>
          <w:rFonts w:ascii="Times New Roman" w:hAnsi="Times New Roman" w:cs="Times New Roman"/>
          <w:sz w:val="26"/>
          <w:szCs w:val="26"/>
        </w:rPr>
        <w:t xml:space="preserve"> </w:t>
      </w:r>
      <w:proofErr w:type="spellStart"/>
      <w:r w:rsidR="00706470">
        <w:rPr>
          <w:rFonts w:ascii="Times New Roman" w:hAnsi="Times New Roman" w:cs="Times New Roman"/>
          <w:sz w:val="26"/>
          <w:szCs w:val="26"/>
        </w:rPr>
        <w:t>allocation</w:t>
      </w:r>
      <w:proofErr w:type="spellEnd"/>
      <w:r w:rsidR="00706470">
        <w:rPr>
          <w:rFonts w:ascii="Times New Roman" w:hAnsi="Times New Roman" w:cs="Times New Roman"/>
          <w:sz w:val="26"/>
          <w:szCs w:val="26"/>
        </w:rPr>
        <w:t xml:space="preserve"> strategica. </w:t>
      </w:r>
      <w:r w:rsidR="00A86BE0">
        <w:rPr>
          <w:rFonts w:ascii="Times New Roman" w:hAnsi="Times New Roman" w:cs="Times New Roman"/>
          <w:sz w:val="26"/>
          <w:szCs w:val="26"/>
        </w:rPr>
        <w:t>I</w:t>
      </w:r>
      <w:r w:rsidR="00C5504C">
        <w:rPr>
          <w:rFonts w:ascii="Times New Roman" w:hAnsi="Times New Roman" w:cs="Times New Roman"/>
          <w:sz w:val="26"/>
          <w:szCs w:val="26"/>
        </w:rPr>
        <w:t xml:space="preserve">l </w:t>
      </w:r>
      <w:r w:rsidR="00A86BE0">
        <w:rPr>
          <w:rFonts w:ascii="Times New Roman" w:hAnsi="Times New Roman" w:cs="Times New Roman"/>
          <w:sz w:val="26"/>
          <w:szCs w:val="26"/>
        </w:rPr>
        <w:t xml:space="preserve">quesito </w:t>
      </w:r>
      <w:r w:rsidR="00C5504C">
        <w:rPr>
          <w:rFonts w:ascii="Times New Roman" w:hAnsi="Times New Roman" w:cs="Times New Roman"/>
          <w:sz w:val="26"/>
          <w:szCs w:val="26"/>
        </w:rPr>
        <w:t xml:space="preserve">centrale </w:t>
      </w:r>
      <w:r w:rsidR="00A86BE0">
        <w:rPr>
          <w:rFonts w:ascii="Times New Roman" w:hAnsi="Times New Roman" w:cs="Times New Roman"/>
          <w:sz w:val="26"/>
          <w:szCs w:val="26"/>
        </w:rPr>
        <w:t xml:space="preserve">da porsi </w:t>
      </w:r>
      <w:r w:rsidR="00C5504C">
        <w:rPr>
          <w:rFonts w:ascii="Times New Roman" w:hAnsi="Times New Roman" w:cs="Times New Roman"/>
          <w:sz w:val="26"/>
          <w:szCs w:val="26"/>
        </w:rPr>
        <w:t xml:space="preserve">è se </w:t>
      </w:r>
      <w:r w:rsidR="00BB4044">
        <w:rPr>
          <w:rFonts w:ascii="Times New Roman" w:hAnsi="Times New Roman" w:cs="Times New Roman"/>
          <w:sz w:val="26"/>
          <w:szCs w:val="26"/>
        </w:rPr>
        <w:t>selezionare</w:t>
      </w:r>
      <w:r w:rsidR="00A86BE0">
        <w:rPr>
          <w:rFonts w:ascii="Times New Roman" w:hAnsi="Times New Roman" w:cs="Times New Roman"/>
          <w:sz w:val="26"/>
          <w:szCs w:val="26"/>
        </w:rPr>
        <w:t>,</w:t>
      </w:r>
      <w:r w:rsidR="00C5504C">
        <w:rPr>
          <w:rFonts w:ascii="Times New Roman" w:hAnsi="Times New Roman" w:cs="Times New Roman"/>
          <w:sz w:val="26"/>
          <w:szCs w:val="26"/>
        </w:rPr>
        <w:t xml:space="preserve"> o meno</w:t>
      </w:r>
      <w:r w:rsidR="00BB4044">
        <w:rPr>
          <w:rFonts w:ascii="Times New Roman" w:hAnsi="Times New Roman" w:cs="Times New Roman"/>
          <w:sz w:val="26"/>
          <w:szCs w:val="26"/>
        </w:rPr>
        <w:t>,</w:t>
      </w:r>
      <w:r w:rsidR="00C5504C">
        <w:rPr>
          <w:rFonts w:ascii="Times New Roman" w:hAnsi="Times New Roman" w:cs="Times New Roman"/>
          <w:sz w:val="26"/>
          <w:szCs w:val="26"/>
        </w:rPr>
        <w:t xml:space="preserve"> </w:t>
      </w:r>
      <w:r w:rsidR="00BB4044">
        <w:rPr>
          <w:rFonts w:ascii="Times New Roman" w:hAnsi="Times New Roman" w:cs="Times New Roman"/>
          <w:sz w:val="26"/>
          <w:szCs w:val="26"/>
        </w:rPr>
        <w:t>ai fini della costruzione dell’</w:t>
      </w:r>
      <w:r w:rsidR="00C5504C">
        <w:rPr>
          <w:rFonts w:ascii="Times New Roman" w:hAnsi="Times New Roman" w:cs="Times New Roman"/>
          <w:sz w:val="26"/>
          <w:szCs w:val="26"/>
        </w:rPr>
        <w:t xml:space="preserve">asset </w:t>
      </w:r>
      <w:proofErr w:type="spellStart"/>
      <w:r w:rsidR="00C5504C">
        <w:rPr>
          <w:rFonts w:ascii="Times New Roman" w:hAnsi="Times New Roman" w:cs="Times New Roman"/>
          <w:sz w:val="26"/>
          <w:szCs w:val="26"/>
        </w:rPr>
        <w:t>allocation</w:t>
      </w:r>
      <w:proofErr w:type="spellEnd"/>
      <w:r w:rsidR="00BB4044">
        <w:rPr>
          <w:rFonts w:ascii="Times New Roman" w:hAnsi="Times New Roman" w:cs="Times New Roman"/>
          <w:sz w:val="26"/>
          <w:szCs w:val="26"/>
        </w:rPr>
        <w:t>,</w:t>
      </w:r>
      <w:r w:rsidR="00C5504C">
        <w:rPr>
          <w:rFonts w:ascii="Times New Roman" w:hAnsi="Times New Roman" w:cs="Times New Roman"/>
          <w:sz w:val="26"/>
          <w:szCs w:val="26"/>
        </w:rPr>
        <w:t xml:space="preserve"> specifiche asset class dedicate ai prodotti flessibili</w:t>
      </w:r>
      <w:r w:rsidR="00BB4044">
        <w:rPr>
          <w:rFonts w:ascii="Times New Roman" w:hAnsi="Times New Roman" w:cs="Times New Roman"/>
          <w:sz w:val="26"/>
          <w:szCs w:val="26"/>
        </w:rPr>
        <w:t xml:space="preserve">. </w:t>
      </w:r>
    </w:p>
    <w:p w14:paraId="25FE6649" w14:textId="77777777" w:rsidR="00F12369" w:rsidRDefault="00BB4044" w:rsidP="0009582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Nel caso in cui si optasse per l’assenza di specifiche </w:t>
      </w:r>
      <w:r w:rsidR="003B44C3">
        <w:rPr>
          <w:rFonts w:ascii="Times New Roman" w:hAnsi="Times New Roman" w:cs="Times New Roman"/>
          <w:sz w:val="26"/>
          <w:szCs w:val="26"/>
        </w:rPr>
        <w:t>classi</w:t>
      </w:r>
      <w:r>
        <w:rPr>
          <w:rFonts w:ascii="Times New Roman" w:hAnsi="Times New Roman" w:cs="Times New Roman"/>
          <w:sz w:val="26"/>
          <w:szCs w:val="26"/>
        </w:rPr>
        <w:t xml:space="preserve"> flessibili, l’asset </w:t>
      </w:r>
      <w:proofErr w:type="spellStart"/>
      <w:r>
        <w:rPr>
          <w:rFonts w:ascii="Times New Roman" w:hAnsi="Times New Roman" w:cs="Times New Roman"/>
          <w:sz w:val="26"/>
          <w:szCs w:val="26"/>
        </w:rPr>
        <w:t>allocation</w:t>
      </w:r>
      <w:proofErr w:type="spellEnd"/>
      <w:r>
        <w:rPr>
          <w:rFonts w:ascii="Times New Roman" w:hAnsi="Times New Roman" w:cs="Times New Roman"/>
          <w:sz w:val="26"/>
          <w:szCs w:val="26"/>
        </w:rPr>
        <w:t xml:space="preserve"> </w:t>
      </w:r>
      <w:proofErr w:type="gramStart"/>
      <w:r>
        <w:rPr>
          <w:rFonts w:ascii="Times New Roman" w:hAnsi="Times New Roman" w:cs="Times New Roman"/>
          <w:sz w:val="26"/>
          <w:szCs w:val="26"/>
        </w:rPr>
        <w:t>sarebbe composta</w:t>
      </w:r>
      <w:proofErr w:type="gramEnd"/>
      <w:r>
        <w:rPr>
          <w:rFonts w:ascii="Times New Roman" w:hAnsi="Times New Roman" w:cs="Times New Roman"/>
          <w:sz w:val="26"/>
          <w:szCs w:val="26"/>
        </w:rPr>
        <w:t xml:space="preserve"> da asset class monetarie, obbligazionarie, azionarie ed</w:t>
      </w:r>
      <w:r w:rsidR="00A86BE0">
        <w:rPr>
          <w:rFonts w:ascii="Times New Roman" w:hAnsi="Times New Roman" w:cs="Times New Roman"/>
          <w:sz w:val="26"/>
          <w:szCs w:val="26"/>
        </w:rPr>
        <w:t>,</w:t>
      </w:r>
      <w:r>
        <w:rPr>
          <w:rFonts w:ascii="Times New Roman" w:hAnsi="Times New Roman" w:cs="Times New Roman"/>
          <w:sz w:val="26"/>
          <w:szCs w:val="26"/>
        </w:rPr>
        <w:t xml:space="preserve"> eventualmente</w:t>
      </w:r>
      <w:r w:rsidR="00A86BE0">
        <w:rPr>
          <w:rFonts w:ascii="Times New Roman" w:hAnsi="Times New Roman" w:cs="Times New Roman"/>
          <w:sz w:val="26"/>
          <w:szCs w:val="26"/>
        </w:rPr>
        <w:t>,</w:t>
      </w:r>
      <w:r>
        <w:rPr>
          <w:rFonts w:ascii="Times New Roman" w:hAnsi="Times New Roman" w:cs="Times New Roman"/>
          <w:sz w:val="26"/>
          <w:szCs w:val="26"/>
        </w:rPr>
        <w:t xml:space="preserve"> anche da altre asset class rappresentative del mondo investimenti alternativi. In assenza di una specifica classe di attività alla quale ricondurre</w:t>
      </w:r>
      <w:r w:rsidR="00CD396F">
        <w:rPr>
          <w:rFonts w:ascii="Times New Roman" w:hAnsi="Times New Roman" w:cs="Times New Roman"/>
          <w:sz w:val="26"/>
          <w:szCs w:val="26"/>
        </w:rPr>
        <w:t xml:space="preserve"> in modo univoco</w:t>
      </w:r>
      <w:r>
        <w:rPr>
          <w:rFonts w:ascii="Times New Roman" w:hAnsi="Times New Roman" w:cs="Times New Roman"/>
          <w:sz w:val="26"/>
          <w:szCs w:val="26"/>
        </w:rPr>
        <w:t xml:space="preserve"> i prodotti flessibili, questi ultimi </w:t>
      </w:r>
      <w:r w:rsidR="003B44C3">
        <w:rPr>
          <w:rFonts w:ascii="Times New Roman" w:hAnsi="Times New Roman" w:cs="Times New Roman"/>
          <w:sz w:val="26"/>
          <w:szCs w:val="26"/>
        </w:rPr>
        <w:t>devono</w:t>
      </w:r>
      <w:r>
        <w:rPr>
          <w:rFonts w:ascii="Times New Roman" w:hAnsi="Times New Roman" w:cs="Times New Roman"/>
          <w:sz w:val="26"/>
          <w:szCs w:val="26"/>
        </w:rPr>
        <w:t xml:space="preserve"> essere </w:t>
      </w:r>
      <w:r>
        <w:rPr>
          <w:rFonts w:ascii="Times New Roman" w:hAnsi="Times New Roman" w:cs="Times New Roman"/>
          <w:sz w:val="26"/>
          <w:szCs w:val="26"/>
        </w:rPr>
        <w:lastRenderedPageBreak/>
        <w:t xml:space="preserve">oggetto di una scomposizione (tramite </w:t>
      </w:r>
      <w:r w:rsidRPr="00BB4044">
        <w:rPr>
          <w:rFonts w:ascii="Times New Roman" w:hAnsi="Times New Roman" w:cs="Times New Roman"/>
          <w:i/>
          <w:sz w:val="26"/>
          <w:szCs w:val="26"/>
        </w:rPr>
        <w:t xml:space="preserve">look </w:t>
      </w:r>
      <w:proofErr w:type="spellStart"/>
      <w:r w:rsidRPr="00BB4044">
        <w:rPr>
          <w:rFonts w:ascii="Times New Roman" w:hAnsi="Times New Roman" w:cs="Times New Roman"/>
          <w:i/>
          <w:sz w:val="26"/>
          <w:szCs w:val="26"/>
        </w:rPr>
        <w:t>through</w:t>
      </w:r>
      <w:proofErr w:type="spellEnd"/>
      <w:r>
        <w:rPr>
          <w:rFonts w:ascii="Times New Roman" w:hAnsi="Times New Roman" w:cs="Times New Roman"/>
          <w:sz w:val="26"/>
          <w:szCs w:val="26"/>
        </w:rPr>
        <w:t xml:space="preserve"> o </w:t>
      </w:r>
      <w:r w:rsidRPr="007403B6">
        <w:rPr>
          <w:rFonts w:ascii="Times New Roman" w:hAnsi="Times New Roman" w:cs="Times New Roman"/>
          <w:i/>
          <w:sz w:val="26"/>
          <w:szCs w:val="26"/>
        </w:rPr>
        <w:t xml:space="preserve">style </w:t>
      </w:r>
      <w:proofErr w:type="spellStart"/>
      <w:r w:rsidRPr="007403B6">
        <w:rPr>
          <w:rFonts w:ascii="Times New Roman" w:hAnsi="Times New Roman" w:cs="Times New Roman"/>
          <w:i/>
          <w:sz w:val="26"/>
          <w:szCs w:val="26"/>
        </w:rPr>
        <w:t>analysis</w:t>
      </w:r>
      <w:proofErr w:type="spellEnd"/>
      <w:r w:rsidR="004311CB">
        <w:rPr>
          <w:rStyle w:val="Rimandonotaapidipagina"/>
          <w:rFonts w:ascii="Times New Roman" w:hAnsi="Times New Roman" w:cs="Times New Roman"/>
          <w:i/>
          <w:sz w:val="26"/>
          <w:szCs w:val="26"/>
        </w:rPr>
        <w:footnoteReference w:id="10"/>
      </w:r>
      <w:r>
        <w:rPr>
          <w:rFonts w:ascii="Times New Roman" w:hAnsi="Times New Roman" w:cs="Times New Roman"/>
          <w:sz w:val="26"/>
          <w:szCs w:val="26"/>
        </w:rPr>
        <w:t>)</w:t>
      </w:r>
      <w:r w:rsidR="007403B6">
        <w:rPr>
          <w:rFonts w:ascii="Times New Roman" w:hAnsi="Times New Roman" w:cs="Times New Roman"/>
          <w:sz w:val="26"/>
          <w:szCs w:val="26"/>
        </w:rPr>
        <w:t xml:space="preserve"> grazie alla quale desumere quale sia la porzione dell’asset </w:t>
      </w:r>
      <w:proofErr w:type="spellStart"/>
      <w:r w:rsidR="007403B6">
        <w:rPr>
          <w:rFonts w:ascii="Times New Roman" w:hAnsi="Times New Roman" w:cs="Times New Roman"/>
          <w:sz w:val="26"/>
          <w:szCs w:val="26"/>
        </w:rPr>
        <w:t>allocation</w:t>
      </w:r>
      <w:proofErr w:type="spellEnd"/>
      <w:r w:rsidR="007403B6">
        <w:rPr>
          <w:rFonts w:ascii="Times New Roman" w:hAnsi="Times New Roman" w:cs="Times New Roman"/>
          <w:sz w:val="26"/>
          <w:szCs w:val="26"/>
        </w:rPr>
        <w:t xml:space="preserve"> coperta da ogni singolo fondo flessibile. </w:t>
      </w:r>
      <w:r w:rsidR="00C42DE0">
        <w:rPr>
          <w:rFonts w:ascii="Times New Roman" w:hAnsi="Times New Roman" w:cs="Times New Roman"/>
          <w:sz w:val="26"/>
          <w:szCs w:val="26"/>
        </w:rPr>
        <w:t xml:space="preserve">Optando per tale soluzione, i fondi flessibili contribuiscono a popolare </w:t>
      </w:r>
      <w:r w:rsidR="003B44C3">
        <w:rPr>
          <w:rFonts w:ascii="Times New Roman" w:hAnsi="Times New Roman" w:cs="Times New Roman"/>
          <w:sz w:val="26"/>
          <w:szCs w:val="26"/>
        </w:rPr>
        <w:t>contemporaneamente più</w:t>
      </w:r>
      <w:r w:rsidR="00C42DE0">
        <w:rPr>
          <w:rFonts w:ascii="Times New Roman" w:hAnsi="Times New Roman" w:cs="Times New Roman"/>
          <w:sz w:val="26"/>
          <w:szCs w:val="26"/>
        </w:rPr>
        <w:t xml:space="preserve"> asset class. Tale soluzione, tuttavia, </w:t>
      </w:r>
      <w:r w:rsidR="003B44C3">
        <w:rPr>
          <w:rFonts w:ascii="Times New Roman" w:hAnsi="Times New Roman" w:cs="Times New Roman"/>
          <w:sz w:val="26"/>
          <w:szCs w:val="26"/>
        </w:rPr>
        <w:t>presenta alcuni punti di debolezza</w:t>
      </w:r>
      <w:r w:rsidR="00C42DE0">
        <w:rPr>
          <w:rFonts w:ascii="Times New Roman" w:hAnsi="Times New Roman" w:cs="Times New Roman"/>
          <w:sz w:val="26"/>
          <w:szCs w:val="26"/>
        </w:rPr>
        <w:t xml:space="preserve"> </w:t>
      </w:r>
      <w:r w:rsidR="007D2C2A">
        <w:rPr>
          <w:rFonts w:ascii="Times New Roman" w:hAnsi="Times New Roman" w:cs="Times New Roman"/>
          <w:sz w:val="26"/>
          <w:szCs w:val="26"/>
        </w:rPr>
        <w:t xml:space="preserve">qui di seguito </w:t>
      </w:r>
      <w:r w:rsidR="00A86BE0">
        <w:rPr>
          <w:rFonts w:ascii="Times New Roman" w:hAnsi="Times New Roman" w:cs="Times New Roman"/>
          <w:sz w:val="26"/>
          <w:szCs w:val="26"/>
        </w:rPr>
        <w:t xml:space="preserve">elencati ed </w:t>
      </w:r>
      <w:r w:rsidR="007D2C2A">
        <w:rPr>
          <w:rFonts w:ascii="Times New Roman" w:hAnsi="Times New Roman" w:cs="Times New Roman"/>
          <w:sz w:val="26"/>
          <w:szCs w:val="26"/>
        </w:rPr>
        <w:t>analizzat</w:t>
      </w:r>
      <w:r w:rsidR="003B44C3">
        <w:rPr>
          <w:rFonts w:ascii="Times New Roman" w:hAnsi="Times New Roman" w:cs="Times New Roman"/>
          <w:sz w:val="26"/>
          <w:szCs w:val="26"/>
        </w:rPr>
        <w:t>i</w:t>
      </w:r>
      <w:r w:rsidR="00A86BE0">
        <w:rPr>
          <w:rFonts w:ascii="Times New Roman" w:hAnsi="Times New Roman" w:cs="Times New Roman"/>
          <w:sz w:val="26"/>
          <w:szCs w:val="26"/>
        </w:rPr>
        <w:t>:</w:t>
      </w:r>
    </w:p>
    <w:p w14:paraId="2BA6CE3F" w14:textId="77777777" w:rsidR="00F1319C" w:rsidRDefault="00A86BE0" w:rsidP="00C42DE0">
      <w:pPr>
        <w:pStyle w:val="Paragrafoelenco"/>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è</w:t>
      </w:r>
      <w:r w:rsidR="00C42DE0">
        <w:rPr>
          <w:rFonts w:ascii="Times New Roman" w:hAnsi="Times New Roman" w:cs="Times New Roman"/>
          <w:sz w:val="26"/>
          <w:szCs w:val="26"/>
        </w:rPr>
        <w:t xml:space="preserve"> </w:t>
      </w:r>
      <w:r w:rsidR="004816A0">
        <w:rPr>
          <w:rFonts w:ascii="Times New Roman" w:hAnsi="Times New Roman" w:cs="Times New Roman"/>
          <w:sz w:val="26"/>
          <w:szCs w:val="26"/>
        </w:rPr>
        <w:t>invero</w:t>
      </w:r>
      <w:r w:rsidR="00A02BAA">
        <w:rPr>
          <w:rFonts w:ascii="Times New Roman" w:hAnsi="Times New Roman" w:cs="Times New Roman"/>
          <w:sz w:val="26"/>
          <w:szCs w:val="26"/>
        </w:rPr>
        <w:t xml:space="preserve">simile pensare che si riesca a </w:t>
      </w:r>
      <w:r w:rsidR="0080517F">
        <w:rPr>
          <w:rFonts w:ascii="Times New Roman" w:hAnsi="Times New Roman" w:cs="Times New Roman"/>
          <w:sz w:val="26"/>
          <w:szCs w:val="26"/>
        </w:rPr>
        <w:t>misurare</w:t>
      </w:r>
      <w:r w:rsidR="00A02BAA">
        <w:rPr>
          <w:rFonts w:ascii="Times New Roman" w:hAnsi="Times New Roman" w:cs="Times New Roman"/>
          <w:sz w:val="26"/>
          <w:szCs w:val="26"/>
        </w:rPr>
        <w:t xml:space="preserve"> con esattezza la composizione in asset class dei fondi flessibili</w:t>
      </w:r>
      <w:r w:rsidR="007D2C2A">
        <w:rPr>
          <w:rFonts w:ascii="Times New Roman" w:hAnsi="Times New Roman" w:cs="Times New Roman"/>
          <w:sz w:val="26"/>
          <w:szCs w:val="26"/>
        </w:rPr>
        <w:t>, a prescindere dalle tecnica di stima utilizzata</w:t>
      </w:r>
      <w:r w:rsidR="003B44C3">
        <w:rPr>
          <w:rFonts w:ascii="Times New Roman" w:hAnsi="Times New Roman" w:cs="Times New Roman"/>
          <w:sz w:val="26"/>
          <w:szCs w:val="26"/>
        </w:rPr>
        <w:t>:</w:t>
      </w:r>
      <w:r w:rsidR="007D2C2A">
        <w:rPr>
          <w:rFonts w:ascii="Times New Roman" w:hAnsi="Times New Roman" w:cs="Times New Roman"/>
          <w:sz w:val="26"/>
          <w:szCs w:val="26"/>
        </w:rPr>
        <w:t xml:space="preserve"> il </w:t>
      </w:r>
      <w:r w:rsidR="007D2C2A" w:rsidRPr="007D2C2A">
        <w:rPr>
          <w:rFonts w:ascii="Times New Roman" w:hAnsi="Times New Roman" w:cs="Times New Roman"/>
          <w:i/>
          <w:sz w:val="26"/>
          <w:szCs w:val="26"/>
        </w:rPr>
        <w:t xml:space="preserve">look </w:t>
      </w:r>
      <w:proofErr w:type="spellStart"/>
      <w:r w:rsidR="007D2C2A" w:rsidRPr="007D2C2A">
        <w:rPr>
          <w:rFonts w:ascii="Times New Roman" w:hAnsi="Times New Roman" w:cs="Times New Roman"/>
          <w:i/>
          <w:sz w:val="26"/>
          <w:szCs w:val="26"/>
        </w:rPr>
        <w:t>through</w:t>
      </w:r>
      <w:proofErr w:type="spellEnd"/>
      <w:r w:rsidR="007D2C2A">
        <w:rPr>
          <w:rFonts w:ascii="Times New Roman" w:hAnsi="Times New Roman" w:cs="Times New Roman"/>
          <w:sz w:val="26"/>
          <w:szCs w:val="26"/>
        </w:rPr>
        <w:t xml:space="preserve"> è possibile solo in finestre temporali discrete</w:t>
      </w:r>
      <w:r>
        <w:rPr>
          <w:rFonts w:ascii="Times New Roman" w:hAnsi="Times New Roman" w:cs="Times New Roman"/>
          <w:sz w:val="26"/>
          <w:szCs w:val="26"/>
        </w:rPr>
        <w:t>,</w:t>
      </w:r>
      <w:r w:rsidR="007D2C2A">
        <w:rPr>
          <w:rFonts w:ascii="Times New Roman" w:hAnsi="Times New Roman" w:cs="Times New Roman"/>
          <w:sz w:val="26"/>
          <w:szCs w:val="26"/>
        </w:rPr>
        <w:t xml:space="preserve"> poco frequenti </w:t>
      </w:r>
      <w:r>
        <w:rPr>
          <w:rFonts w:ascii="Times New Roman" w:hAnsi="Times New Roman" w:cs="Times New Roman"/>
          <w:sz w:val="26"/>
          <w:szCs w:val="26"/>
        </w:rPr>
        <w:t xml:space="preserve">e spesso ritardate </w:t>
      </w:r>
      <w:r w:rsidR="007D2C2A">
        <w:rPr>
          <w:rFonts w:ascii="Times New Roman" w:hAnsi="Times New Roman" w:cs="Times New Roman"/>
          <w:sz w:val="26"/>
          <w:szCs w:val="26"/>
        </w:rPr>
        <w:t>e ciò impedisce - al di fuori di queste finestre - di fare assunzioni circa la composizione</w:t>
      </w:r>
      <w:r>
        <w:rPr>
          <w:rFonts w:ascii="Times New Roman" w:hAnsi="Times New Roman" w:cs="Times New Roman"/>
          <w:sz w:val="26"/>
          <w:szCs w:val="26"/>
        </w:rPr>
        <w:t xml:space="preserve"> dei prodotti</w:t>
      </w:r>
      <w:r w:rsidR="003B44C3">
        <w:rPr>
          <w:rFonts w:ascii="Times New Roman" w:hAnsi="Times New Roman" w:cs="Times New Roman"/>
          <w:sz w:val="26"/>
          <w:szCs w:val="26"/>
        </w:rPr>
        <w:t>;</w:t>
      </w:r>
      <w:r w:rsidR="007D2C2A">
        <w:rPr>
          <w:rFonts w:ascii="Times New Roman" w:hAnsi="Times New Roman" w:cs="Times New Roman"/>
          <w:sz w:val="26"/>
          <w:szCs w:val="26"/>
        </w:rPr>
        <w:t xml:space="preserve"> la </w:t>
      </w:r>
      <w:r w:rsidR="007D2C2A" w:rsidRPr="007D2C2A">
        <w:rPr>
          <w:rFonts w:ascii="Times New Roman" w:hAnsi="Times New Roman" w:cs="Times New Roman"/>
          <w:i/>
          <w:sz w:val="26"/>
          <w:szCs w:val="26"/>
        </w:rPr>
        <w:t xml:space="preserve">style </w:t>
      </w:r>
      <w:proofErr w:type="spellStart"/>
      <w:r w:rsidR="007D2C2A" w:rsidRPr="007D2C2A">
        <w:rPr>
          <w:rFonts w:ascii="Times New Roman" w:hAnsi="Times New Roman" w:cs="Times New Roman"/>
          <w:i/>
          <w:sz w:val="26"/>
          <w:szCs w:val="26"/>
        </w:rPr>
        <w:t>analysis</w:t>
      </w:r>
      <w:proofErr w:type="spellEnd"/>
      <w:r w:rsidR="007D2C2A">
        <w:rPr>
          <w:rFonts w:ascii="Times New Roman" w:hAnsi="Times New Roman" w:cs="Times New Roman"/>
          <w:sz w:val="26"/>
          <w:szCs w:val="26"/>
        </w:rPr>
        <w:t>, soprattutto per i fondi flessibili, non è sempre in grado di restituire risultati affidabili</w:t>
      </w:r>
      <w:r>
        <w:rPr>
          <w:rFonts w:ascii="Times New Roman" w:hAnsi="Times New Roman" w:cs="Times New Roman"/>
          <w:sz w:val="26"/>
          <w:szCs w:val="26"/>
        </w:rPr>
        <w:t>,</w:t>
      </w:r>
      <w:r w:rsidR="007D2C2A">
        <w:rPr>
          <w:rFonts w:ascii="Times New Roman" w:hAnsi="Times New Roman" w:cs="Times New Roman"/>
          <w:sz w:val="26"/>
          <w:szCs w:val="26"/>
        </w:rPr>
        <w:t xml:space="preserve"> a causa della difficoltà della </w:t>
      </w:r>
      <w:r>
        <w:rPr>
          <w:rFonts w:ascii="Times New Roman" w:hAnsi="Times New Roman" w:cs="Times New Roman"/>
          <w:sz w:val="26"/>
          <w:szCs w:val="26"/>
        </w:rPr>
        <w:t xml:space="preserve">tecnica di </w:t>
      </w:r>
      <w:r w:rsidR="007D2C2A">
        <w:rPr>
          <w:rFonts w:ascii="Times New Roman" w:hAnsi="Times New Roman" w:cs="Times New Roman"/>
          <w:sz w:val="26"/>
          <w:szCs w:val="26"/>
        </w:rPr>
        <w:t xml:space="preserve">regressione di trovare una combinazione di asset class </w:t>
      </w:r>
      <w:r w:rsidR="008B4547">
        <w:rPr>
          <w:rFonts w:ascii="Times New Roman" w:hAnsi="Times New Roman" w:cs="Times New Roman"/>
          <w:sz w:val="26"/>
          <w:szCs w:val="26"/>
        </w:rPr>
        <w:t>capace</w:t>
      </w:r>
      <w:r w:rsidR="007D2C2A">
        <w:rPr>
          <w:rFonts w:ascii="Times New Roman" w:hAnsi="Times New Roman" w:cs="Times New Roman"/>
          <w:sz w:val="26"/>
          <w:szCs w:val="26"/>
        </w:rPr>
        <w:t xml:space="preserve"> di spiegare il comportamento di un gestore la cui natura è quella di variare frequentemente la composizione di portafoglio. Ne consegue che la presenza di fondi flessibili in portafoglio contribuisce ad accrescere il rischio di errori nella lettura dell’asset </w:t>
      </w:r>
      <w:proofErr w:type="spellStart"/>
      <w:r w:rsidR="007D2C2A">
        <w:rPr>
          <w:rFonts w:ascii="Times New Roman" w:hAnsi="Times New Roman" w:cs="Times New Roman"/>
          <w:sz w:val="26"/>
          <w:szCs w:val="26"/>
        </w:rPr>
        <w:t>allocation</w:t>
      </w:r>
      <w:proofErr w:type="spellEnd"/>
      <w:r w:rsidR="007D2C2A">
        <w:rPr>
          <w:rFonts w:ascii="Times New Roman" w:hAnsi="Times New Roman" w:cs="Times New Roman"/>
          <w:sz w:val="26"/>
          <w:szCs w:val="26"/>
        </w:rPr>
        <w:t xml:space="preserve"> del portafoglio</w:t>
      </w:r>
      <w:r>
        <w:rPr>
          <w:rFonts w:ascii="Times New Roman" w:hAnsi="Times New Roman" w:cs="Times New Roman"/>
          <w:sz w:val="26"/>
          <w:szCs w:val="26"/>
        </w:rPr>
        <w:t>;</w:t>
      </w:r>
    </w:p>
    <w:p w14:paraId="3943048E" w14:textId="77777777" w:rsidR="007D2C2A" w:rsidRDefault="00A86BE0" w:rsidP="00C42DE0">
      <w:pPr>
        <w:pStyle w:val="Paragrafoelenco"/>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l</w:t>
      </w:r>
      <w:r w:rsidR="007D2C2A">
        <w:rPr>
          <w:rFonts w:ascii="Times New Roman" w:hAnsi="Times New Roman" w:cs="Times New Roman"/>
          <w:sz w:val="26"/>
          <w:szCs w:val="26"/>
        </w:rPr>
        <w:t xml:space="preserve">a </w:t>
      </w:r>
      <w:r w:rsidR="003B44C3">
        <w:rPr>
          <w:rFonts w:ascii="Times New Roman" w:hAnsi="Times New Roman" w:cs="Times New Roman"/>
          <w:sz w:val="26"/>
          <w:szCs w:val="26"/>
        </w:rPr>
        <w:t xml:space="preserve">traduzione di un fondo flessibile come combinazione di asset class può alimentare la falsa credenza che una combinazione di fondi attivi multi-asset </w:t>
      </w:r>
      <w:r w:rsidR="004311CB">
        <w:rPr>
          <w:rFonts w:ascii="Times New Roman" w:hAnsi="Times New Roman" w:cs="Times New Roman"/>
          <w:sz w:val="26"/>
          <w:szCs w:val="26"/>
        </w:rPr>
        <w:t>sia</w:t>
      </w:r>
      <w:r w:rsidR="003B44C3">
        <w:rPr>
          <w:rFonts w:ascii="Times New Roman" w:hAnsi="Times New Roman" w:cs="Times New Roman"/>
          <w:sz w:val="26"/>
          <w:szCs w:val="26"/>
        </w:rPr>
        <w:t xml:space="preserve"> compatibile con un modello</w:t>
      </w:r>
      <w:r w:rsidR="00552C59">
        <w:rPr>
          <w:rFonts w:ascii="Times New Roman" w:hAnsi="Times New Roman" w:cs="Times New Roman"/>
          <w:sz w:val="26"/>
          <w:szCs w:val="26"/>
        </w:rPr>
        <w:t xml:space="preserve"> di portafoglio basato sul concetto di</w:t>
      </w:r>
      <w:r w:rsidR="003B44C3">
        <w:rPr>
          <w:rFonts w:ascii="Times New Roman" w:hAnsi="Times New Roman" w:cs="Times New Roman"/>
          <w:sz w:val="26"/>
          <w:szCs w:val="26"/>
        </w:rPr>
        <w:t xml:space="preserve"> asset </w:t>
      </w:r>
      <w:proofErr w:type="spellStart"/>
      <w:r w:rsidR="003B44C3">
        <w:rPr>
          <w:rFonts w:ascii="Times New Roman" w:hAnsi="Times New Roman" w:cs="Times New Roman"/>
          <w:sz w:val="26"/>
          <w:szCs w:val="26"/>
        </w:rPr>
        <w:t>allocation</w:t>
      </w:r>
      <w:proofErr w:type="spellEnd"/>
      <w:r w:rsidR="003B44C3">
        <w:rPr>
          <w:rFonts w:ascii="Times New Roman" w:hAnsi="Times New Roman" w:cs="Times New Roman"/>
          <w:sz w:val="26"/>
          <w:szCs w:val="26"/>
        </w:rPr>
        <w:t xml:space="preserve"> e </w:t>
      </w:r>
      <w:r w:rsidR="00552C59">
        <w:rPr>
          <w:rFonts w:ascii="Times New Roman" w:hAnsi="Times New Roman" w:cs="Times New Roman"/>
          <w:sz w:val="26"/>
          <w:szCs w:val="26"/>
        </w:rPr>
        <w:t>può</w:t>
      </w:r>
      <w:r>
        <w:rPr>
          <w:rFonts w:ascii="Times New Roman" w:hAnsi="Times New Roman" w:cs="Times New Roman"/>
          <w:sz w:val="26"/>
          <w:szCs w:val="26"/>
        </w:rPr>
        <w:t>,</w:t>
      </w:r>
      <w:r w:rsidR="003B44C3">
        <w:rPr>
          <w:rFonts w:ascii="Times New Roman" w:hAnsi="Times New Roman" w:cs="Times New Roman"/>
          <w:sz w:val="26"/>
          <w:szCs w:val="26"/>
        </w:rPr>
        <w:t xml:space="preserve"> quindi</w:t>
      </w:r>
      <w:r>
        <w:rPr>
          <w:rFonts w:ascii="Times New Roman" w:hAnsi="Times New Roman" w:cs="Times New Roman"/>
          <w:sz w:val="26"/>
          <w:szCs w:val="26"/>
        </w:rPr>
        <w:t>,</w:t>
      </w:r>
      <w:r w:rsidR="003B44C3">
        <w:rPr>
          <w:rFonts w:ascii="Times New Roman" w:hAnsi="Times New Roman" w:cs="Times New Roman"/>
          <w:sz w:val="26"/>
          <w:szCs w:val="26"/>
        </w:rPr>
        <w:t xml:space="preserve"> indurre l’investitore (o il suo consulente) ad ecceder</w:t>
      </w:r>
      <w:r w:rsidR="008B4547">
        <w:rPr>
          <w:rFonts w:ascii="Times New Roman" w:hAnsi="Times New Roman" w:cs="Times New Roman"/>
          <w:sz w:val="26"/>
          <w:szCs w:val="26"/>
        </w:rPr>
        <w:t>n</w:t>
      </w:r>
      <w:r w:rsidR="003B44C3">
        <w:rPr>
          <w:rFonts w:ascii="Times New Roman" w:hAnsi="Times New Roman" w:cs="Times New Roman"/>
          <w:sz w:val="26"/>
          <w:szCs w:val="26"/>
        </w:rPr>
        <w:t>e nel</w:t>
      </w:r>
      <w:r w:rsidR="008B4547">
        <w:rPr>
          <w:rFonts w:ascii="Times New Roman" w:hAnsi="Times New Roman" w:cs="Times New Roman"/>
          <w:sz w:val="26"/>
          <w:szCs w:val="26"/>
        </w:rPr>
        <w:t>l’</w:t>
      </w:r>
      <w:r w:rsidR="003B44C3">
        <w:rPr>
          <w:rFonts w:ascii="Times New Roman" w:hAnsi="Times New Roman" w:cs="Times New Roman"/>
          <w:sz w:val="26"/>
          <w:szCs w:val="26"/>
        </w:rPr>
        <w:t>uso</w:t>
      </w:r>
      <w:r>
        <w:rPr>
          <w:rFonts w:ascii="Times New Roman" w:hAnsi="Times New Roman" w:cs="Times New Roman"/>
          <w:sz w:val="26"/>
          <w:szCs w:val="26"/>
        </w:rPr>
        <w:t xml:space="preserve">; </w:t>
      </w:r>
      <w:r w:rsidR="00552C59">
        <w:rPr>
          <w:rFonts w:ascii="Times New Roman" w:hAnsi="Times New Roman" w:cs="Times New Roman"/>
          <w:sz w:val="26"/>
          <w:szCs w:val="26"/>
        </w:rPr>
        <w:t xml:space="preserve"> </w:t>
      </w:r>
    </w:p>
    <w:p w14:paraId="5B1281DE" w14:textId="77777777" w:rsidR="00552C59" w:rsidRDefault="00A86BE0" w:rsidP="00C42DE0">
      <w:pPr>
        <w:pStyle w:val="Paragrafoelenco"/>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l</w:t>
      </w:r>
      <w:r w:rsidR="0080517F">
        <w:rPr>
          <w:rFonts w:ascii="Times New Roman" w:hAnsi="Times New Roman" w:cs="Times New Roman"/>
          <w:sz w:val="26"/>
          <w:szCs w:val="26"/>
        </w:rPr>
        <w:t>’assenza di asset class dedicate ai flessibili</w:t>
      </w:r>
      <w:r w:rsidR="00552C59">
        <w:rPr>
          <w:rFonts w:ascii="Times New Roman" w:hAnsi="Times New Roman" w:cs="Times New Roman"/>
          <w:sz w:val="26"/>
          <w:szCs w:val="26"/>
        </w:rPr>
        <w:t xml:space="preserve"> crea delle difficoltà quasi insormontabili in fase di riallocazione periodica del portafoglio. </w:t>
      </w:r>
      <w:r w:rsidR="00DA5E6F">
        <w:rPr>
          <w:rFonts w:ascii="Times New Roman" w:hAnsi="Times New Roman" w:cs="Times New Roman"/>
          <w:sz w:val="26"/>
          <w:szCs w:val="26"/>
        </w:rPr>
        <w:t xml:space="preserve">Infatti, nel momento stesso in cui il modello di lettura della composizione di un fondo </w:t>
      </w:r>
      <w:r w:rsidR="00B13E43">
        <w:rPr>
          <w:rFonts w:ascii="Times New Roman" w:hAnsi="Times New Roman" w:cs="Times New Roman"/>
          <w:sz w:val="26"/>
          <w:szCs w:val="26"/>
        </w:rPr>
        <w:t>segnala una modifica (</w:t>
      </w:r>
      <w:r w:rsidR="00492581">
        <w:rPr>
          <w:rFonts w:ascii="Times New Roman" w:hAnsi="Times New Roman" w:cs="Times New Roman"/>
          <w:sz w:val="26"/>
          <w:szCs w:val="26"/>
        </w:rPr>
        <w:t xml:space="preserve">che </w:t>
      </w:r>
      <w:r w:rsidR="00B13E43">
        <w:rPr>
          <w:rFonts w:ascii="Times New Roman" w:hAnsi="Times New Roman" w:cs="Times New Roman"/>
          <w:sz w:val="26"/>
          <w:szCs w:val="26"/>
        </w:rPr>
        <w:t>data la natura dei prodotti</w:t>
      </w:r>
      <w:r w:rsidR="00492581">
        <w:rPr>
          <w:rFonts w:ascii="Times New Roman" w:hAnsi="Times New Roman" w:cs="Times New Roman"/>
          <w:sz w:val="26"/>
          <w:szCs w:val="26"/>
        </w:rPr>
        <w:t xml:space="preserve"> è spesso</w:t>
      </w:r>
      <w:r w:rsidR="00B13E43">
        <w:rPr>
          <w:rFonts w:ascii="Times New Roman" w:hAnsi="Times New Roman" w:cs="Times New Roman"/>
          <w:sz w:val="26"/>
          <w:szCs w:val="26"/>
        </w:rPr>
        <w:t xml:space="preserve"> </w:t>
      </w:r>
      <w:r w:rsidR="00492581">
        <w:rPr>
          <w:rFonts w:ascii="Times New Roman" w:hAnsi="Times New Roman" w:cs="Times New Roman"/>
          <w:sz w:val="26"/>
          <w:szCs w:val="26"/>
        </w:rPr>
        <w:t>rilevante</w:t>
      </w:r>
      <w:r w:rsidR="00B13E43">
        <w:rPr>
          <w:rFonts w:ascii="Times New Roman" w:hAnsi="Times New Roman" w:cs="Times New Roman"/>
          <w:sz w:val="26"/>
          <w:szCs w:val="26"/>
        </w:rPr>
        <w:t>)</w:t>
      </w:r>
      <w:r w:rsidR="00552C59">
        <w:rPr>
          <w:rFonts w:ascii="Times New Roman" w:hAnsi="Times New Roman" w:cs="Times New Roman"/>
          <w:sz w:val="26"/>
          <w:szCs w:val="26"/>
        </w:rPr>
        <w:t xml:space="preserve"> </w:t>
      </w:r>
      <w:r w:rsidR="00B13E43">
        <w:rPr>
          <w:rFonts w:ascii="Times New Roman" w:hAnsi="Times New Roman" w:cs="Times New Roman"/>
          <w:sz w:val="26"/>
          <w:szCs w:val="26"/>
        </w:rPr>
        <w:t>del</w:t>
      </w:r>
      <w:r w:rsidR="009F53E3">
        <w:rPr>
          <w:rFonts w:ascii="Times New Roman" w:hAnsi="Times New Roman" w:cs="Times New Roman"/>
          <w:sz w:val="26"/>
          <w:szCs w:val="26"/>
        </w:rPr>
        <w:t xml:space="preserve"> mix</w:t>
      </w:r>
      <w:r w:rsidR="00B13E43">
        <w:rPr>
          <w:rFonts w:ascii="Times New Roman" w:hAnsi="Times New Roman" w:cs="Times New Roman"/>
          <w:sz w:val="26"/>
          <w:szCs w:val="26"/>
        </w:rPr>
        <w:t xml:space="preserve"> in asset class, tale variazione </w:t>
      </w:r>
      <w:r w:rsidR="00DD6953">
        <w:rPr>
          <w:rFonts w:ascii="Times New Roman" w:hAnsi="Times New Roman" w:cs="Times New Roman"/>
          <w:sz w:val="26"/>
          <w:szCs w:val="26"/>
        </w:rPr>
        <w:t xml:space="preserve">produce un effetto che si riverbera sulla totalità delle asset class che compongono il portafoglio, con la conseguenza di dover effettuare una molteplicità di compravendite allo </w:t>
      </w:r>
      <w:r w:rsidR="00DD6953">
        <w:rPr>
          <w:rFonts w:ascii="Times New Roman" w:hAnsi="Times New Roman" w:cs="Times New Roman"/>
          <w:sz w:val="26"/>
          <w:szCs w:val="26"/>
        </w:rPr>
        <w:lastRenderedPageBreak/>
        <w:t>scopo di riallineare il portafoglio</w:t>
      </w:r>
      <w:r w:rsidR="00492581">
        <w:rPr>
          <w:rFonts w:ascii="Times New Roman" w:hAnsi="Times New Roman" w:cs="Times New Roman"/>
          <w:sz w:val="26"/>
          <w:szCs w:val="26"/>
        </w:rPr>
        <w:t xml:space="preserve"> in pr</w:t>
      </w:r>
      <w:r>
        <w:rPr>
          <w:rFonts w:ascii="Times New Roman" w:hAnsi="Times New Roman" w:cs="Times New Roman"/>
          <w:sz w:val="26"/>
          <w:szCs w:val="26"/>
        </w:rPr>
        <w:t>o</w:t>
      </w:r>
      <w:r w:rsidR="00492581">
        <w:rPr>
          <w:rFonts w:ascii="Times New Roman" w:hAnsi="Times New Roman" w:cs="Times New Roman"/>
          <w:sz w:val="26"/>
          <w:szCs w:val="26"/>
        </w:rPr>
        <w:t>dotti</w:t>
      </w:r>
      <w:r w:rsidR="00DD6953">
        <w:rPr>
          <w:rFonts w:ascii="Times New Roman" w:hAnsi="Times New Roman" w:cs="Times New Roman"/>
          <w:sz w:val="26"/>
          <w:szCs w:val="26"/>
        </w:rPr>
        <w:t xml:space="preserve"> all’asset </w:t>
      </w:r>
      <w:proofErr w:type="spellStart"/>
      <w:r w:rsidR="00DD6953">
        <w:rPr>
          <w:rFonts w:ascii="Times New Roman" w:hAnsi="Times New Roman" w:cs="Times New Roman"/>
          <w:sz w:val="26"/>
          <w:szCs w:val="26"/>
        </w:rPr>
        <w:t>allocation</w:t>
      </w:r>
      <w:proofErr w:type="spellEnd"/>
      <w:r w:rsidR="00DD6953">
        <w:rPr>
          <w:rFonts w:ascii="Times New Roman" w:hAnsi="Times New Roman" w:cs="Times New Roman"/>
          <w:sz w:val="26"/>
          <w:szCs w:val="26"/>
        </w:rPr>
        <w:t xml:space="preserve"> </w:t>
      </w:r>
      <w:r w:rsidR="009F53E3">
        <w:rPr>
          <w:rFonts w:ascii="Times New Roman" w:hAnsi="Times New Roman" w:cs="Times New Roman"/>
          <w:sz w:val="26"/>
          <w:szCs w:val="26"/>
        </w:rPr>
        <w:t>target</w:t>
      </w:r>
      <w:r w:rsidR="00DD6953">
        <w:rPr>
          <w:rFonts w:ascii="Times New Roman" w:hAnsi="Times New Roman" w:cs="Times New Roman"/>
          <w:sz w:val="26"/>
          <w:szCs w:val="26"/>
        </w:rPr>
        <w:t>. In pratica, la modifica della composizione de</w:t>
      </w:r>
      <w:r w:rsidR="00492581">
        <w:rPr>
          <w:rFonts w:ascii="Times New Roman" w:hAnsi="Times New Roman" w:cs="Times New Roman"/>
          <w:sz w:val="26"/>
          <w:szCs w:val="26"/>
        </w:rPr>
        <w:t>i</w:t>
      </w:r>
      <w:r w:rsidR="00DD6953">
        <w:rPr>
          <w:rFonts w:ascii="Times New Roman" w:hAnsi="Times New Roman" w:cs="Times New Roman"/>
          <w:sz w:val="26"/>
          <w:szCs w:val="26"/>
        </w:rPr>
        <w:t xml:space="preserve"> fond</w:t>
      </w:r>
      <w:r w:rsidR="00492581">
        <w:rPr>
          <w:rFonts w:ascii="Times New Roman" w:hAnsi="Times New Roman" w:cs="Times New Roman"/>
          <w:sz w:val="26"/>
          <w:szCs w:val="26"/>
        </w:rPr>
        <w:t>i</w:t>
      </w:r>
      <w:r w:rsidR="00DD6953">
        <w:rPr>
          <w:rFonts w:ascii="Times New Roman" w:hAnsi="Times New Roman" w:cs="Times New Roman"/>
          <w:sz w:val="26"/>
          <w:szCs w:val="26"/>
        </w:rPr>
        <w:t xml:space="preserve"> flessibil</w:t>
      </w:r>
      <w:r w:rsidR="00492581">
        <w:rPr>
          <w:rFonts w:ascii="Times New Roman" w:hAnsi="Times New Roman" w:cs="Times New Roman"/>
          <w:sz w:val="26"/>
          <w:szCs w:val="26"/>
        </w:rPr>
        <w:t>i</w:t>
      </w:r>
      <w:r w:rsidR="00DD6953">
        <w:rPr>
          <w:rFonts w:ascii="Times New Roman" w:hAnsi="Times New Roman" w:cs="Times New Roman"/>
          <w:sz w:val="26"/>
          <w:szCs w:val="26"/>
        </w:rPr>
        <w:t xml:space="preserve"> produce un effetto che si propaga a (quasi) tutte le asset class, </w:t>
      </w:r>
      <w:r w:rsidR="005D058F">
        <w:rPr>
          <w:rFonts w:ascii="Times New Roman" w:hAnsi="Times New Roman" w:cs="Times New Roman"/>
          <w:sz w:val="26"/>
          <w:szCs w:val="26"/>
        </w:rPr>
        <w:t>obbligando</w:t>
      </w:r>
      <w:r w:rsidR="00DD6953">
        <w:rPr>
          <w:rFonts w:ascii="Times New Roman" w:hAnsi="Times New Roman" w:cs="Times New Roman"/>
          <w:sz w:val="26"/>
          <w:szCs w:val="26"/>
        </w:rPr>
        <w:t xml:space="preserve"> </w:t>
      </w:r>
      <w:r w:rsidR="005D058F">
        <w:rPr>
          <w:rFonts w:ascii="Times New Roman" w:hAnsi="Times New Roman" w:cs="Times New Roman"/>
          <w:sz w:val="26"/>
          <w:szCs w:val="26"/>
        </w:rPr>
        <w:t>(ai fini del</w:t>
      </w:r>
      <w:r w:rsidR="00DD6953">
        <w:rPr>
          <w:rFonts w:ascii="Times New Roman" w:hAnsi="Times New Roman" w:cs="Times New Roman"/>
          <w:sz w:val="26"/>
          <w:szCs w:val="26"/>
        </w:rPr>
        <w:t xml:space="preserve"> </w:t>
      </w:r>
      <w:r w:rsidR="0080517F">
        <w:rPr>
          <w:rFonts w:ascii="Times New Roman" w:hAnsi="Times New Roman" w:cs="Times New Roman"/>
          <w:sz w:val="26"/>
          <w:szCs w:val="26"/>
        </w:rPr>
        <w:t xml:space="preserve">ripristino della </w:t>
      </w:r>
      <w:r w:rsidR="00DD6953">
        <w:rPr>
          <w:rFonts w:ascii="Times New Roman" w:hAnsi="Times New Roman" w:cs="Times New Roman"/>
          <w:sz w:val="26"/>
          <w:szCs w:val="26"/>
        </w:rPr>
        <w:t>coerenza</w:t>
      </w:r>
      <w:r w:rsidR="0080517F">
        <w:rPr>
          <w:rFonts w:ascii="Times New Roman" w:hAnsi="Times New Roman" w:cs="Times New Roman"/>
          <w:sz w:val="26"/>
          <w:szCs w:val="26"/>
        </w:rPr>
        <w:t xml:space="preserve"> con l’asset </w:t>
      </w:r>
      <w:proofErr w:type="spellStart"/>
      <w:r w:rsidR="0080517F">
        <w:rPr>
          <w:rFonts w:ascii="Times New Roman" w:hAnsi="Times New Roman" w:cs="Times New Roman"/>
          <w:sz w:val="26"/>
          <w:szCs w:val="26"/>
        </w:rPr>
        <w:t>allocation</w:t>
      </w:r>
      <w:proofErr w:type="spellEnd"/>
      <w:r w:rsidR="005D058F">
        <w:rPr>
          <w:rFonts w:ascii="Times New Roman" w:hAnsi="Times New Roman" w:cs="Times New Roman"/>
          <w:sz w:val="26"/>
          <w:szCs w:val="26"/>
        </w:rPr>
        <w:t>)</w:t>
      </w:r>
      <w:r w:rsidR="00DD6953">
        <w:rPr>
          <w:rFonts w:ascii="Times New Roman" w:hAnsi="Times New Roman" w:cs="Times New Roman"/>
          <w:sz w:val="26"/>
          <w:szCs w:val="26"/>
        </w:rPr>
        <w:t xml:space="preserve"> </w:t>
      </w:r>
      <w:r w:rsidR="005D058F">
        <w:rPr>
          <w:rFonts w:ascii="Times New Roman" w:hAnsi="Times New Roman" w:cs="Times New Roman"/>
          <w:sz w:val="26"/>
          <w:szCs w:val="26"/>
        </w:rPr>
        <w:t xml:space="preserve">ad effettuare </w:t>
      </w:r>
      <w:r w:rsidR="00DD6953">
        <w:rPr>
          <w:rFonts w:ascii="Times New Roman" w:hAnsi="Times New Roman" w:cs="Times New Roman"/>
          <w:sz w:val="26"/>
          <w:szCs w:val="26"/>
        </w:rPr>
        <w:t xml:space="preserve">un numero elevato di </w:t>
      </w:r>
      <w:r>
        <w:rPr>
          <w:rFonts w:ascii="Times New Roman" w:hAnsi="Times New Roman" w:cs="Times New Roman"/>
          <w:sz w:val="26"/>
          <w:szCs w:val="26"/>
        </w:rPr>
        <w:t xml:space="preserve">aggiustamenti periodici; </w:t>
      </w:r>
    </w:p>
    <w:p w14:paraId="700D0A05" w14:textId="77777777" w:rsidR="00007E96" w:rsidRPr="00C42DE0" w:rsidRDefault="00A86BE0" w:rsidP="00C42DE0">
      <w:pPr>
        <w:pStyle w:val="Paragrafoelenco"/>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l</w:t>
      </w:r>
      <w:r w:rsidR="00007E96">
        <w:rPr>
          <w:rFonts w:ascii="Times New Roman" w:hAnsi="Times New Roman" w:cs="Times New Roman"/>
          <w:sz w:val="26"/>
          <w:szCs w:val="26"/>
        </w:rPr>
        <w:t xml:space="preserve">o sviluppo di un </w:t>
      </w:r>
      <w:r w:rsidR="00007E96" w:rsidRPr="00492581">
        <w:rPr>
          <w:rFonts w:ascii="Times New Roman" w:hAnsi="Times New Roman" w:cs="Times New Roman"/>
          <w:i/>
          <w:sz w:val="26"/>
          <w:szCs w:val="26"/>
        </w:rPr>
        <w:t>overlay</w:t>
      </w:r>
      <w:r w:rsidR="00007E96">
        <w:rPr>
          <w:rFonts w:ascii="Times New Roman" w:hAnsi="Times New Roman" w:cs="Times New Roman"/>
          <w:sz w:val="26"/>
          <w:szCs w:val="26"/>
        </w:rPr>
        <w:t xml:space="preserve"> tattico è pressoché impossibile, alla luce della </w:t>
      </w:r>
      <w:r>
        <w:rPr>
          <w:rFonts w:ascii="Times New Roman" w:hAnsi="Times New Roman" w:cs="Times New Roman"/>
          <w:sz w:val="26"/>
          <w:szCs w:val="26"/>
        </w:rPr>
        <w:t xml:space="preserve">difficoltà oggettiva </w:t>
      </w:r>
      <w:r w:rsidR="00007E96">
        <w:rPr>
          <w:rFonts w:ascii="Times New Roman" w:hAnsi="Times New Roman" w:cs="Times New Roman"/>
          <w:sz w:val="26"/>
          <w:szCs w:val="26"/>
        </w:rPr>
        <w:t xml:space="preserve">di </w:t>
      </w:r>
      <w:r w:rsidR="0080517F">
        <w:rPr>
          <w:rFonts w:ascii="Times New Roman" w:hAnsi="Times New Roman" w:cs="Times New Roman"/>
          <w:sz w:val="26"/>
          <w:szCs w:val="26"/>
        </w:rPr>
        <w:t>isolare</w:t>
      </w:r>
      <w:r w:rsidR="00007E96">
        <w:rPr>
          <w:rFonts w:ascii="Times New Roman" w:hAnsi="Times New Roman" w:cs="Times New Roman"/>
          <w:sz w:val="26"/>
          <w:szCs w:val="26"/>
        </w:rPr>
        <w:t xml:space="preserve"> l’impatto di </w:t>
      </w:r>
      <w:r w:rsidR="00007E96" w:rsidRPr="009F53E3">
        <w:rPr>
          <w:rFonts w:ascii="Times New Roman" w:hAnsi="Times New Roman" w:cs="Times New Roman"/>
          <w:i/>
          <w:sz w:val="26"/>
          <w:szCs w:val="26"/>
        </w:rPr>
        <w:t>market timing</w:t>
      </w:r>
      <w:r w:rsidR="00007E96">
        <w:rPr>
          <w:rFonts w:ascii="Times New Roman" w:hAnsi="Times New Roman" w:cs="Times New Roman"/>
          <w:sz w:val="26"/>
          <w:szCs w:val="26"/>
        </w:rPr>
        <w:t xml:space="preserve"> prodott</w:t>
      </w:r>
      <w:r w:rsidR="009F53E3">
        <w:rPr>
          <w:rFonts w:ascii="Times New Roman" w:hAnsi="Times New Roman" w:cs="Times New Roman"/>
          <w:sz w:val="26"/>
          <w:szCs w:val="26"/>
        </w:rPr>
        <w:t>o</w:t>
      </w:r>
      <w:r w:rsidR="00007E96">
        <w:rPr>
          <w:rFonts w:ascii="Times New Roman" w:hAnsi="Times New Roman" w:cs="Times New Roman"/>
          <w:sz w:val="26"/>
          <w:szCs w:val="26"/>
        </w:rPr>
        <w:t xml:space="preserve"> dalla componente flessibil</w:t>
      </w:r>
      <w:r w:rsidR="009F53E3">
        <w:rPr>
          <w:rFonts w:ascii="Times New Roman" w:hAnsi="Times New Roman" w:cs="Times New Roman"/>
          <w:sz w:val="26"/>
          <w:szCs w:val="26"/>
        </w:rPr>
        <w:t>e</w:t>
      </w:r>
      <w:r w:rsidR="00007E96">
        <w:rPr>
          <w:rFonts w:ascii="Times New Roman" w:hAnsi="Times New Roman" w:cs="Times New Roman"/>
          <w:sz w:val="26"/>
          <w:szCs w:val="26"/>
        </w:rPr>
        <w:t>.</w:t>
      </w:r>
    </w:p>
    <w:p w14:paraId="3F4662FE" w14:textId="77777777" w:rsidR="00F1319C" w:rsidRDefault="00F1319C" w:rsidP="00095829">
      <w:pPr>
        <w:spacing w:after="0" w:line="360" w:lineRule="auto"/>
        <w:jc w:val="both"/>
        <w:rPr>
          <w:rFonts w:ascii="Times New Roman" w:hAnsi="Times New Roman" w:cs="Times New Roman"/>
          <w:sz w:val="26"/>
          <w:szCs w:val="26"/>
        </w:rPr>
      </w:pPr>
    </w:p>
    <w:p w14:paraId="0A5089D0" w14:textId="77777777" w:rsidR="003659A8" w:rsidRDefault="005D058F" w:rsidP="0009582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Per</w:t>
      </w:r>
      <w:r w:rsidR="00A86BE0">
        <w:rPr>
          <w:rFonts w:ascii="Times New Roman" w:hAnsi="Times New Roman" w:cs="Times New Roman"/>
          <w:sz w:val="26"/>
          <w:szCs w:val="26"/>
        </w:rPr>
        <w:t xml:space="preserve"> tutti</w:t>
      </w:r>
      <w:r w:rsidR="00DD6953">
        <w:rPr>
          <w:rFonts w:ascii="Times New Roman" w:hAnsi="Times New Roman" w:cs="Times New Roman"/>
          <w:sz w:val="26"/>
          <w:szCs w:val="26"/>
        </w:rPr>
        <w:t xml:space="preserve"> questi </w:t>
      </w:r>
      <w:r w:rsidR="00A86BE0">
        <w:rPr>
          <w:rFonts w:ascii="Times New Roman" w:hAnsi="Times New Roman" w:cs="Times New Roman"/>
          <w:sz w:val="26"/>
          <w:szCs w:val="26"/>
        </w:rPr>
        <w:t xml:space="preserve">possibili </w:t>
      </w:r>
      <w:r w:rsidR="00DD6953">
        <w:rPr>
          <w:rFonts w:ascii="Times New Roman" w:hAnsi="Times New Roman" w:cs="Times New Roman"/>
          <w:sz w:val="26"/>
          <w:szCs w:val="26"/>
        </w:rPr>
        <w:t xml:space="preserve">inconvenienti </w:t>
      </w:r>
      <w:r w:rsidR="00A6082B">
        <w:rPr>
          <w:rFonts w:ascii="Times New Roman" w:hAnsi="Times New Roman" w:cs="Times New Roman"/>
          <w:sz w:val="26"/>
          <w:szCs w:val="26"/>
        </w:rPr>
        <w:t>è</w:t>
      </w:r>
      <w:r w:rsidR="00DD6953">
        <w:rPr>
          <w:rFonts w:ascii="Times New Roman" w:hAnsi="Times New Roman" w:cs="Times New Roman"/>
          <w:sz w:val="26"/>
          <w:szCs w:val="26"/>
        </w:rPr>
        <w:t xml:space="preserve"> decisamente preferibile </w:t>
      </w:r>
      <w:r w:rsidR="00A86BE0">
        <w:rPr>
          <w:rFonts w:ascii="Times New Roman" w:hAnsi="Times New Roman" w:cs="Times New Roman"/>
          <w:sz w:val="26"/>
          <w:szCs w:val="26"/>
        </w:rPr>
        <w:t xml:space="preserve">optare per </w:t>
      </w:r>
      <w:r w:rsidR="00A6082B">
        <w:rPr>
          <w:rFonts w:ascii="Times New Roman" w:hAnsi="Times New Roman" w:cs="Times New Roman"/>
          <w:sz w:val="26"/>
          <w:szCs w:val="26"/>
        </w:rPr>
        <w:t>l’inserimento</w:t>
      </w:r>
      <w:r w:rsidR="00DD6953">
        <w:rPr>
          <w:rFonts w:ascii="Times New Roman" w:hAnsi="Times New Roman" w:cs="Times New Roman"/>
          <w:sz w:val="26"/>
          <w:szCs w:val="26"/>
        </w:rPr>
        <w:t xml:space="preserve"> d</w:t>
      </w:r>
      <w:r w:rsidR="00A6082B">
        <w:rPr>
          <w:rFonts w:ascii="Times New Roman" w:hAnsi="Times New Roman" w:cs="Times New Roman"/>
          <w:sz w:val="26"/>
          <w:szCs w:val="26"/>
        </w:rPr>
        <w:t>i</w:t>
      </w:r>
      <w:r w:rsidR="00DD6953">
        <w:rPr>
          <w:rFonts w:ascii="Times New Roman" w:hAnsi="Times New Roman" w:cs="Times New Roman"/>
          <w:sz w:val="26"/>
          <w:szCs w:val="26"/>
        </w:rPr>
        <w:t xml:space="preserve"> asset class </w:t>
      </w:r>
      <w:r w:rsidR="00DD6953" w:rsidRPr="00492581">
        <w:rPr>
          <w:rFonts w:ascii="Times New Roman" w:hAnsi="Times New Roman" w:cs="Times New Roman"/>
          <w:i/>
          <w:sz w:val="26"/>
          <w:szCs w:val="26"/>
        </w:rPr>
        <w:t>ad hoc</w:t>
      </w:r>
      <w:r w:rsidR="00DD6953">
        <w:rPr>
          <w:rFonts w:ascii="Times New Roman" w:hAnsi="Times New Roman" w:cs="Times New Roman"/>
          <w:sz w:val="26"/>
          <w:szCs w:val="26"/>
        </w:rPr>
        <w:t xml:space="preserve"> per i prodotti flessibili</w:t>
      </w:r>
      <w:r w:rsidR="00A86BE0">
        <w:rPr>
          <w:rFonts w:ascii="Times New Roman" w:hAnsi="Times New Roman" w:cs="Times New Roman"/>
          <w:sz w:val="26"/>
          <w:szCs w:val="26"/>
        </w:rPr>
        <w:t>,</w:t>
      </w:r>
      <w:r w:rsidR="00FB0F98">
        <w:rPr>
          <w:rFonts w:ascii="Times New Roman" w:hAnsi="Times New Roman" w:cs="Times New Roman"/>
          <w:sz w:val="26"/>
          <w:szCs w:val="26"/>
        </w:rPr>
        <w:t xml:space="preserve"> </w:t>
      </w:r>
      <w:r w:rsidR="00A6082B">
        <w:rPr>
          <w:rFonts w:ascii="Times New Roman" w:hAnsi="Times New Roman" w:cs="Times New Roman"/>
          <w:sz w:val="26"/>
          <w:szCs w:val="26"/>
        </w:rPr>
        <w:t>le quali</w:t>
      </w:r>
      <w:r w:rsidR="00FB0F98">
        <w:rPr>
          <w:rFonts w:ascii="Times New Roman" w:hAnsi="Times New Roman" w:cs="Times New Roman"/>
          <w:sz w:val="26"/>
          <w:szCs w:val="26"/>
        </w:rPr>
        <w:t xml:space="preserve"> fungeranno</w:t>
      </w:r>
      <w:r w:rsidR="00492581">
        <w:rPr>
          <w:rFonts w:ascii="Times New Roman" w:hAnsi="Times New Roman" w:cs="Times New Roman"/>
          <w:sz w:val="26"/>
          <w:szCs w:val="26"/>
        </w:rPr>
        <w:t>, come detto,</w:t>
      </w:r>
      <w:r w:rsidR="00FB0F98">
        <w:rPr>
          <w:rFonts w:ascii="Times New Roman" w:hAnsi="Times New Roman" w:cs="Times New Roman"/>
          <w:sz w:val="26"/>
          <w:szCs w:val="26"/>
        </w:rPr>
        <w:t xml:space="preserve"> da componente </w:t>
      </w:r>
      <w:r w:rsidR="00FB0F98" w:rsidRPr="00FB0F98">
        <w:rPr>
          <w:rFonts w:ascii="Times New Roman" w:hAnsi="Times New Roman" w:cs="Times New Roman"/>
          <w:i/>
          <w:sz w:val="26"/>
          <w:szCs w:val="26"/>
        </w:rPr>
        <w:t>satellite</w:t>
      </w:r>
      <w:r w:rsidR="00FB0F98">
        <w:rPr>
          <w:rFonts w:ascii="Times New Roman" w:hAnsi="Times New Roman" w:cs="Times New Roman"/>
          <w:sz w:val="26"/>
          <w:szCs w:val="26"/>
        </w:rPr>
        <w:t xml:space="preserve"> del portafoglio</w:t>
      </w:r>
      <w:r w:rsidR="00007E96">
        <w:rPr>
          <w:rFonts w:ascii="Times New Roman" w:hAnsi="Times New Roman" w:cs="Times New Roman"/>
          <w:sz w:val="26"/>
          <w:szCs w:val="26"/>
        </w:rPr>
        <w:t xml:space="preserve">. </w:t>
      </w:r>
      <w:r>
        <w:rPr>
          <w:rFonts w:ascii="Times New Roman" w:hAnsi="Times New Roman" w:cs="Times New Roman"/>
          <w:sz w:val="26"/>
          <w:szCs w:val="26"/>
        </w:rPr>
        <w:t>La necessità</w:t>
      </w:r>
      <w:r w:rsidR="00A6082B">
        <w:rPr>
          <w:rFonts w:ascii="Times New Roman" w:hAnsi="Times New Roman" w:cs="Times New Roman"/>
          <w:sz w:val="26"/>
          <w:szCs w:val="26"/>
        </w:rPr>
        <w:t xml:space="preserve"> di gestire al meglio la variabile rischio</w:t>
      </w:r>
      <w:r>
        <w:rPr>
          <w:rFonts w:ascii="Times New Roman" w:hAnsi="Times New Roman" w:cs="Times New Roman"/>
          <w:sz w:val="26"/>
          <w:szCs w:val="26"/>
        </w:rPr>
        <w:t xml:space="preserve"> suggerisce</w:t>
      </w:r>
      <w:r w:rsidR="00A86BE0">
        <w:rPr>
          <w:rFonts w:ascii="Times New Roman" w:hAnsi="Times New Roman" w:cs="Times New Roman"/>
          <w:sz w:val="26"/>
          <w:szCs w:val="26"/>
        </w:rPr>
        <w:t>,</w:t>
      </w:r>
      <w:r>
        <w:rPr>
          <w:rFonts w:ascii="Times New Roman" w:hAnsi="Times New Roman" w:cs="Times New Roman"/>
          <w:sz w:val="26"/>
          <w:szCs w:val="26"/>
        </w:rPr>
        <w:t xml:space="preserve"> poi</w:t>
      </w:r>
      <w:r w:rsidR="00A86BE0">
        <w:rPr>
          <w:rFonts w:ascii="Times New Roman" w:hAnsi="Times New Roman" w:cs="Times New Roman"/>
          <w:sz w:val="26"/>
          <w:szCs w:val="26"/>
        </w:rPr>
        <w:t>,</w:t>
      </w:r>
      <w:r w:rsidR="00A6082B">
        <w:rPr>
          <w:rFonts w:ascii="Times New Roman" w:hAnsi="Times New Roman" w:cs="Times New Roman"/>
          <w:sz w:val="26"/>
          <w:szCs w:val="26"/>
        </w:rPr>
        <w:t xml:space="preserve"> </w:t>
      </w:r>
      <w:r>
        <w:rPr>
          <w:rFonts w:ascii="Times New Roman" w:hAnsi="Times New Roman" w:cs="Times New Roman"/>
          <w:sz w:val="26"/>
          <w:szCs w:val="26"/>
        </w:rPr>
        <w:t>di</w:t>
      </w:r>
      <w:r w:rsidR="00A6082B">
        <w:rPr>
          <w:rFonts w:ascii="Times New Roman" w:hAnsi="Times New Roman" w:cs="Times New Roman"/>
          <w:sz w:val="26"/>
          <w:szCs w:val="26"/>
        </w:rPr>
        <w:t xml:space="preserve"> </w:t>
      </w:r>
      <w:r>
        <w:rPr>
          <w:rFonts w:ascii="Times New Roman" w:hAnsi="Times New Roman" w:cs="Times New Roman"/>
          <w:sz w:val="26"/>
          <w:szCs w:val="26"/>
        </w:rPr>
        <w:t>creare</w:t>
      </w:r>
      <w:r w:rsidR="00FB0F98">
        <w:rPr>
          <w:rFonts w:ascii="Times New Roman" w:hAnsi="Times New Roman" w:cs="Times New Roman"/>
          <w:sz w:val="26"/>
          <w:szCs w:val="26"/>
        </w:rPr>
        <w:t xml:space="preserve"> </w:t>
      </w:r>
      <w:r w:rsidR="00007E96">
        <w:rPr>
          <w:rFonts w:ascii="Times New Roman" w:hAnsi="Times New Roman" w:cs="Times New Roman"/>
          <w:sz w:val="26"/>
          <w:szCs w:val="26"/>
        </w:rPr>
        <w:t>due</w:t>
      </w:r>
      <w:r w:rsidR="00FB0F98">
        <w:rPr>
          <w:rFonts w:ascii="Times New Roman" w:hAnsi="Times New Roman" w:cs="Times New Roman"/>
          <w:sz w:val="26"/>
          <w:szCs w:val="26"/>
        </w:rPr>
        <w:t xml:space="preserve"> asset class</w:t>
      </w:r>
      <w:r w:rsidR="00A86BE0">
        <w:rPr>
          <w:rFonts w:ascii="Times New Roman" w:hAnsi="Times New Roman" w:cs="Times New Roman"/>
          <w:sz w:val="26"/>
          <w:szCs w:val="26"/>
        </w:rPr>
        <w:t xml:space="preserve"> distinte</w:t>
      </w:r>
      <w:r w:rsidR="00007E96">
        <w:rPr>
          <w:rFonts w:ascii="Times New Roman" w:hAnsi="Times New Roman" w:cs="Times New Roman"/>
          <w:sz w:val="26"/>
          <w:szCs w:val="26"/>
        </w:rPr>
        <w:t xml:space="preserve">: una riservata ai fondi flessibili prudenti ed una </w:t>
      </w:r>
      <w:r w:rsidR="00FB0F98">
        <w:rPr>
          <w:rFonts w:ascii="Times New Roman" w:hAnsi="Times New Roman" w:cs="Times New Roman"/>
          <w:sz w:val="26"/>
          <w:szCs w:val="26"/>
        </w:rPr>
        <w:t>a quelli</w:t>
      </w:r>
      <w:r w:rsidR="00007E96">
        <w:rPr>
          <w:rFonts w:ascii="Times New Roman" w:hAnsi="Times New Roman" w:cs="Times New Roman"/>
          <w:sz w:val="26"/>
          <w:szCs w:val="26"/>
        </w:rPr>
        <w:t xml:space="preserve"> </w:t>
      </w:r>
      <w:r>
        <w:rPr>
          <w:rFonts w:ascii="Times New Roman" w:hAnsi="Times New Roman" w:cs="Times New Roman"/>
          <w:sz w:val="26"/>
          <w:szCs w:val="26"/>
        </w:rPr>
        <w:t>più volatili</w:t>
      </w:r>
      <w:r w:rsidR="00007E96">
        <w:rPr>
          <w:rFonts w:ascii="Times New Roman" w:hAnsi="Times New Roman" w:cs="Times New Roman"/>
          <w:sz w:val="26"/>
          <w:szCs w:val="26"/>
        </w:rPr>
        <w:t xml:space="preserve">. </w:t>
      </w:r>
      <w:r w:rsidR="00A6082B">
        <w:rPr>
          <w:rFonts w:ascii="Times New Roman" w:hAnsi="Times New Roman" w:cs="Times New Roman"/>
          <w:sz w:val="26"/>
          <w:szCs w:val="26"/>
        </w:rPr>
        <w:t>R</w:t>
      </w:r>
      <w:r w:rsidR="00732BBE">
        <w:rPr>
          <w:rFonts w:ascii="Times New Roman" w:hAnsi="Times New Roman" w:cs="Times New Roman"/>
          <w:sz w:val="26"/>
          <w:szCs w:val="26"/>
        </w:rPr>
        <w:t>elativamente alla scelta degli indici da utilizzare ai fini della rappresentazione dei comparti flessibili</w:t>
      </w:r>
      <w:r w:rsidR="003659A8">
        <w:rPr>
          <w:rFonts w:ascii="Times New Roman" w:hAnsi="Times New Roman" w:cs="Times New Roman"/>
          <w:sz w:val="26"/>
          <w:szCs w:val="26"/>
        </w:rPr>
        <w:t xml:space="preserve">, </w:t>
      </w:r>
      <w:r w:rsidR="00A6082B">
        <w:rPr>
          <w:rFonts w:ascii="Times New Roman" w:hAnsi="Times New Roman" w:cs="Times New Roman"/>
          <w:sz w:val="26"/>
          <w:szCs w:val="26"/>
        </w:rPr>
        <w:t>è</w:t>
      </w:r>
      <w:r w:rsidR="003659A8">
        <w:rPr>
          <w:rFonts w:ascii="Times New Roman" w:hAnsi="Times New Roman" w:cs="Times New Roman"/>
          <w:sz w:val="26"/>
          <w:szCs w:val="26"/>
        </w:rPr>
        <w:t xml:space="preserve"> </w:t>
      </w:r>
      <w:r w:rsidR="0080517F">
        <w:rPr>
          <w:rFonts w:ascii="Times New Roman" w:hAnsi="Times New Roman" w:cs="Times New Roman"/>
          <w:sz w:val="26"/>
          <w:szCs w:val="26"/>
        </w:rPr>
        <w:t>consigliabile</w:t>
      </w:r>
      <w:r w:rsidR="003659A8">
        <w:rPr>
          <w:rFonts w:ascii="Times New Roman" w:hAnsi="Times New Roman" w:cs="Times New Roman"/>
          <w:sz w:val="26"/>
          <w:szCs w:val="26"/>
        </w:rPr>
        <w:t xml:space="preserve"> utilizzare indici costruiti come panieri di fondi flessibili, piuttosto che indici compositi </w:t>
      </w:r>
      <w:r w:rsidR="00732BBE">
        <w:rPr>
          <w:rFonts w:ascii="Times New Roman" w:hAnsi="Times New Roman" w:cs="Times New Roman"/>
          <w:sz w:val="26"/>
          <w:szCs w:val="26"/>
        </w:rPr>
        <w:t>costruiti</w:t>
      </w:r>
      <w:r w:rsidR="003659A8">
        <w:rPr>
          <w:rFonts w:ascii="Times New Roman" w:hAnsi="Times New Roman" w:cs="Times New Roman"/>
          <w:sz w:val="26"/>
          <w:szCs w:val="26"/>
        </w:rPr>
        <w:t xml:space="preserve"> </w:t>
      </w:r>
      <w:r w:rsidR="00732BBE">
        <w:rPr>
          <w:rFonts w:ascii="Times New Roman" w:hAnsi="Times New Roman" w:cs="Times New Roman"/>
          <w:sz w:val="26"/>
          <w:szCs w:val="26"/>
        </w:rPr>
        <w:t>come</w:t>
      </w:r>
      <w:r w:rsidR="003659A8">
        <w:rPr>
          <w:rFonts w:ascii="Times New Roman" w:hAnsi="Times New Roman" w:cs="Times New Roman"/>
          <w:sz w:val="26"/>
          <w:szCs w:val="26"/>
        </w:rPr>
        <w:t xml:space="preserve"> combinazione</w:t>
      </w:r>
      <w:r w:rsidR="00732BBE">
        <w:rPr>
          <w:rFonts w:ascii="Times New Roman" w:hAnsi="Times New Roman" w:cs="Times New Roman"/>
          <w:sz w:val="26"/>
          <w:szCs w:val="26"/>
        </w:rPr>
        <w:t xml:space="preserve"> statica</w:t>
      </w:r>
      <w:r w:rsidR="003659A8">
        <w:rPr>
          <w:rFonts w:ascii="Times New Roman" w:hAnsi="Times New Roman" w:cs="Times New Roman"/>
          <w:sz w:val="26"/>
          <w:szCs w:val="26"/>
        </w:rPr>
        <w:t xml:space="preserve"> di benchmark azionari ed obbligazionari</w:t>
      </w:r>
      <w:r w:rsidR="00BD4B01">
        <w:rPr>
          <w:rStyle w:val="Rimandonotaapidipagina"/>
          <w:rFonts w:ascii="Times New Roman" w:hAnsi="Times New Roman" w:cs="Times New Roman"/>
          <w:sz w:val="26"/>
          <w:szCs w:val="26"/>
        </w:rPr>
        <w:footnoteReference w:id="11"/>
      </w:r>
      <w:r w:rsidR="003659A8">
        <w:rPr>
          <w:rFonts w:ascii="Times New Roman" w:hAnsi="Times New Roman" w:cs="Times New Roman"/>
          <w:sz w:val="26"/>
          <w:szCs w:val="26"/>
        </w:rPr>
        <w:t>.</w:t>
      </w:r>
    </w:p>
    <w:p w14:paraId="4EC39461" w14:textId="77777777" w:rsidR="00DD6953" w:rsidRDefault="008455C2" w:rsidP="0009582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Al di là di qualche sporadica critica (</w:t>
      </w:r>
      <w:r w:rsidR="00732BBE">
        <w:rPr>
          <w:rFonts w:ascii="Times New Roman" w:hAnsi="Times New Roman" w:cs="Times New Roman"/>
          <w:sz w:val="26"/>
          <w:szCs w:val="26"/>
        </w:rPr>
        <w:t>che non trascureremo</w:t>
      </w:r>
      <w:r>
        <w:rPr>
          <w:rFonts w:ascii="Times New Roman" w:hAnsi="Times New Roman" w:cs="Times New Roman"/>
          <w:sz w:val="26"/>
          <w:szCs w:val="26"/>
        </w:rPr>
        <w:t xml:space="preserve">), questa soluzione </w:t>
      </w:r>
      <w:r w:rsidR="00452727">
        <w:rPr>
          <w:rFonts w:ascii="Times New Roman" w:hAnsi="Times New Roman" w:cs="Times New Roman"/>
          <w:sz w:val="26"/>
          <w:szCs w:val="26"/>
        </w:rPr>
        <w:t>presenta molti pregi:</w:t>
      </w:r>
    </w:p>
    <w:p w14:paraId="40202056" w14:textId="77777777" w:rsidR="00452727" w:rsidRDefault="00FB0F98" w:rsidP="00452727">
      <w:pPr>
        <w:pStyle w:val="Paragrafoelenco"/>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permette di disciplinare l’utilizzo di tali prodotti, limitandone la presenza in portafoglio al solo peso attribuito alle asset class flessibili;</w:t>
      </w:r>
    </w:p>
    <w:p w14:paraId="2B854794" w14:textId="77777777" w:rsidR="00FB0F98" w:rsidRDefault="00FB0F98" w:rsidP="00452727">
      <w:pPr>
        <w:pStyle w:val="Paragrafoelenco"/>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facilit</w:t>
      </w:r>
      <w:r w:rsidR="00A86BE0">
        <w:rPr>
          <w:rFonts w:ascii="Times New Roman" w:hAnsi="Times New Roman" w:cs="Times New Roman"/>
          <w:sz w:val="26"/>
          <w:szCs w:val="26"/>
        </w:rPr>
        <w:t>a</w:t>
      </w:r>
      <w:r>
        <w:rPr>
          <w:rFonts w:ascii="Times New Roman" w:hAnsi="Times New Roman" w:cs="Times New Roman"/>
          <w:sz w:val="26"/>
          <w:szCs w:val="26"/>
        </w:rPr>
        <w:t xml:space="preserve"> sensibilmente il processo di ricomposizione del portafoglio, in quanto una modifica della composizione di un prodotto flessibile non produce effetti sull’asset </w:t>
      </w:r>
      <w:proofErr w:type="spellStart"/>
      <w:r>
        <w:rPr>
          <w:rFonts w:ascii="Times New Roman" w:hAnsi="Times New Roman" w:cs="Times New Roman"/>
          <w:sz w:val="26"/>
          <w:szCs w:val="26"/>
        </w:rPr>
        <w:t>allocation</w:t>
      </w:r>
      <w:proofErr w:type="spellEnd"/>
      <w:r>
        <w:rPr>
          <w:rFonts w:ascii="Times New Roman" w:hAnsi="Times New Roman" w:cs="Times New Roman"/>
          <w:sz w:val="26"/>
          <w:szCs w:val="26"/>
        </w:rPr>
        <w:t xml:space="preserve"> implicita del portafoglio;</w:t>
      </w:r>
    </w:p>
    <w:p w14:paraId="3317C56B" w14:textId="77777777" w:rsidR="00FB0F98" w:rsidRPr="00452727" w:rsidRDefault="00FB0F98" w:rsidP="00452727">
      <w:pPr>
        <w:pStyle w:val="Paragrafoelenco"/>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la presenza di prodotti flessibili non ostacola l’implementazione di un processo di </w:t>
      </w:r>
      <w:r w:rsidRPr="00A6082B">
        <w:rPr>
          <w:rFonts w:ascii="Times New Roman" w:hAnsi="Times New Roman" w:cs="Times New Roman"/>
          <w:i/>
          <w:sz w:val="26"/>
          <w:szCs w:val="26"/>
        </w:rPr>
        <w:t>overlay</w:t>
      </w:r>
      <w:r>
        <w:rPr>
          <w:rFonts w:ascii="Times New Roman" w:hAnsi="Times New Roman" w:cs="Times New Roman"/>
          <w:sz w:val="26"/>
          <w:szCs w:val="26"/>
        </w:rPr>
        <w:t xml:space="preserve"> tattico che può essere facilmente sviluppato sulla </w:t>
      </w:r>
      <w:r>
        <w:rPr>
          <w:rFonts w:ascii="Times New Roman" w:hAnsi="Times New Roman" w:cs="Times New Roman"/>
          <w:sz w:val="26"/>
          <w:szCs w:val="26"/>
        </w:rPr>
        <w:lastRenderedPageBreak/>
        <w:t>componente</w:t>
      </w:r>
      <w:r w:rsidR="005D058F">
        <w:rPr>
          <w:rFonts w:ascii="Times New Roman" w:hAnsi="Times New Roman" w:cs="Times New Roman"/>
          <w:sz w:val="26"/>
          <w:szCs w:val="26"/>
        </w:rPr>
        <w:t xml:space="preserve"> </w:t>
      </w:r>
      <w:r w:rsidR="005D058F" w:rsidRPr="005D058F">
        <w:rPr>
          <w:rFonts w:ascii="Times New Roman" w:hAnsi="Times New Roman" w:cs="Times New Roman"/>
          <w:i/>
          <w:sz w:val="26"/>
          <w:szCs w:val="26"/>
        </w:rPr>
        <w:t>core</w:t>
      </w:r>
      <w:r w:rsidR="005D058F">
        <w:rPr>
          <w:rFonts w:ascii="Times New Roman" w:hAnsi="Times New Roman" w:cs="Times New Roman"/>
          <w:sz w:val="26"/>
          <w:szCs w:val="26"/>
        </w:rPr>
        <w:t xml:space="preserve"> di portafoglio</w:t>
      </w:r>
      <w:r>
        <w:rPr>
          <w:rFonts w:ascii="Times New Roman" w:hAnsi="Times New Roman" w:cs="Times New Roman"/>
          <w:sz w:val="26"/>
          <w:szCs w:val="26"/>
        </w:rPr>
        <w:t xml:space="preserve"> </w:t>
      </w:r>
      <w:r w:rsidR="00492581">
        <w:rPr>
          <w:rFonts w:ascii="Times New Roman" w:hAnsi="Times New Roman" w:cs="Times New Roman"/>
          <w:sz w:val="26"/>
          <w:szCs w:val="26"/>
        </w:rPr>
        <w:t xml:space="preserve">composta da fondi </w:t>
      </w:r>
      <w:r w:rsidR="00A86BE0">
        <w:rPr>
          <w:rFonts w:ascii="Times New Roman" w:hAnsi="Times New Roman" w:cs="Times New Roman"/>
          <w:sz w:val="26"/>
          <w:szCs w:val="26"/>
        </w:rPr>
        <w:t xml:space="preserve">direzionali o </w:t>
      </w:r>
      <w:r w:rsidR="00492581">
        <w:rPr>
          <w:rFonts w:ascii="Times New Roman" w:hAnsi="Times New Roman" w:cs="Times New Roman"/>
          <w:sz w:val="26"/>
          <w:szCs w:val="26"/>
        </w:rPr>
        <w:t>mono-asset</w:t>
      </w:r>
      <w:r>
        <w:rPr>
          <w:rFonts w:ascii="Times New Roman" w:hAnsi="Times New Roman" w:cs="Times New Roman"/>
          <w:sz w:val="26"/>
          <w:szCs w:val="26"/>
        </w:rPr>
        <w:t>.</w:t>
      </w:r>
    </w:p>
    <w:p w14:paraId="31FD6CBE" w14:textId="77777777" w:rsidR="00E8130D" w:rsidRDefault="003448B5" w:rsidP="0009582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Si potrà eccepire che è ardito effettuare stime </w:t>
      </w:r>
      <w:r w:rsidR="00A6082B">
        <w:rPr>
          <w:rFonts w:ascii="Times New Roman" w:hAnsi="Times New Roman" w:cs="Times New Roman"/>
          <w:sz w:val="26"/>
          <w:szCs w:val="26"/>
        </w:rPr>
        <w:t>di</w:t>
      </w:r>
      <w:r>
        <w:rPr>
          <w:rFonts w:ascii="Times New Roman" w:hAnsi="Times New Roman" w:cs="Times New Roman"/>
          <w:sz w:val="26"/>
          <w:szCs w:val="26"/>
        </w:rPr>
        <w:t xml:space="preserve"> rendimento atteso per asset class che </w:t>
      </w:r>
      <w:r w:rsidR="00A6082B">
        <w:rPr>
          <w:rFonts w:ascii="Times New Roman" w:hAnsi="Times New Roman" w:cs="Times New Roman"/>
          <w:sz w:val="26"/>
          <w:szCs w:val="26"/>
        </w:rPr>
        <w:t>non</w:t>
      </w:r>
      <w:r>
        <w:rPr>
          <w:rFonts w:ascii="Times New Roman" w:hAnsi="Times New Roman" w:cs="Times New Roman"/>
          <w:sz w:val="26"/>
          <w:szCs w:val="26"/>
        </w:rPr>
        <w:t xml:space="preserve"> rappresenta</w:t>
      </w:r>
      <w:r w:rsidR="00A6082B">
        <w:rPr>
          <w:rFonts w:ascii="Times New Roman" w:hAnsi="Times New Roman" w:cs="Times New Roman"/>
          <w:sz w:val="26"/>
          <w:szCs w:val="26"/>
        </w:rPr>
        <w:t>no</w:t>
      </w:r>
      <w:r>
        <w:rPr>
          <w:rFonts w:ascii="Times New Roman" w:hAnsi="Times New Roman" w:cs="Times New Roman"/>
          <w:sz w:val="26"/>
          <w:szCs w:val="26"/>
        </w:rPr>
        <w:t xml:space="preserve"> mercati, </w:t>
      </w:r>
      <w:r w:rsidR="00A6082B">
        <w:rPr>
          <w:rFonts w:ascii="Times New Roman" w:hAnsi="Times New Roman" w:cs="Times New Roman"/>
          <w:sz w:val="26"/>
          <w:szCs w:val="26"/>
        </w:rPr>
        <w:t>bensì</w:t>
      </w:r>
      <w:r>
        <w:rPr>
          <w:rFonts w:ascii="Times New Roman" w:hAnsi="Times New Roman" w:cs="Times New Roman"/>
          <w:sz w:val="26"/>
          <w:szCs w:val="26"/>
        </w:rPr>
        <w:t xml:space="preserve"> combinazioni di gestori. </w:t>
      </w:r>
      <w:r w:rsidR="00A6082B">
        <w:rPr>
          <w:rFonts w:ascii="Times New Roman" w:hAnsi="Times New Roman" w:cs="Times New Roman"/>
          <w:sz w:val="26"/>
          <w:szCs w:val="26"/>
        </w:rPr>
        <w:t>Noi stessi c</w:t>
      </w:r>
      <w:r>
        <w:rPr>
          <w:rFonts w:ascii="Times New Roman" w:hAnsi="Times New Roman" w:cs="Times New Roman"/>
          <w:sz w:val="26"/>
          <w:szCs w:val="26"/>
        </w:rPr>
        <w:t xml:space="preserve">onveniamo sul fatto che </w:t>
      </w:r>
      <w:r w:rsidR="004D2850">
        <w:rPr>
          <w:rFonts w:ascii="Times New Roman" w:hAnsi="Times New Roman" w:cs="Times New Roman"/>
          <w:sz w:val="26"/>
          <w:szCs w:val="26"/>
        </w:rPr>
        <w:t>sia</w:t>
      </w:r>
      <w:r>
        <w:rPr>
          <w:rFonts w:ascii="Times New Roman" w:hAnsi="Times New Roman" w:cs="Times New Roman"/>
          <w:sz w:val="26"/>
          <w:szCs w:val="26"/>
        </w:rPr>
        <w:t xml:space="preserve"> inverosimile produrre stime di rendimento atteso che presuppo</w:t>
      </w:r>
      <w:r w:rsidR="004D2850">
        <w:rPr>
          <w:rFonts w:ascii="Times New Roman" w:hAnsi="Times New Roman" w:cs="Times New Roman"/>
          <w:sz w:val="26"/>
          <w:szCs w:val="26"/>
        </w:rPr>
        <w:t>ngono</w:t>
      </w:r>
      <w:r>
        <w:rPr>
          <w:rFonts w:ascii="Times New Roman" w:hAnsi="Times New Roman" w:cs="Times New Roman"/>
          <w:sz w:val="26"/>
          <w:szCs w:val="26"/>
        </w:rPr>
        <w:t xml:space="preserve"> la capacità di stimare la futura abilità di un pool </w:t>
      </w:r>
      <w:r w:rsidR="003659A8">
        <w:rPr>
          <w:rFonts w:ascii="Times New Roman" w:hAnsi="Times New Roman" w:cs="Times New Roman"/>
          <w:sz w:val="26"/>
          <w:szCs w:val="26"/>
        </w:rPr>
        <w:t>di gestori</w:t>
      </w:r>
      <w:r w:rsidR="004D2850">
        <w:rPr>
          <w:rFonts w:ascii="Times New Roman" w:hAnsi="Times New Roman" w:cs="Times New Roman"/>
          <w:sz w:val="26"/>
          <w:szCs w:val="26"/>
        </w:rPr>
        <w:t>; e per questa ragione, l’uso d</w:t>
      </w:r>
      <w:r w:rsidR="00A6082B">
        <w:rPr>
          <w:rFonts w:ascii="Times New Roman" w:hAnsi="Times New Roman" w:cs="Times New Roman"/>
          <w:sz w:val="26"/>
          <w:szCs w:val="26"/>
        </w:rPr>
        <w:t>el</w:t>
      </w:r>
      <w:r w:rsidR="004D2850">
        <w:rPr>
          <w:rFonts w:ascii="Times New Roman" w:hAnsi="Times New Roman" w:cs="Times New Roman"/>
          <w:sz w:val="26"/>
          <w:szCs w:val="26"/>
        </w:rPr>
        <w:t xml:space="preserve"> modello di Black-</w:t>
      </w:r>
      <w:proofErr w:type="spellStart"/>
      <w:r w:rsidR="004D2850">
        <w:rPr>
          <w:rFonts w:ascii="Times New Roman" w:hAnsi="Times New Roman" w:cs="Times New Roman"/>
          <w:sz w:val="26"/>
          <w:szCs w:val="26"/>
        </w:rPr>
        <w:t>Litterman</w:t>
      </w:r>
      <w:proofErr w:type="spellEnd"/>
      <w:r w:rsidR="00783082">
        <w:rPr>
          <w:rFonts w:ascii="Times New Roman" w:hAnsi="Times New Roman" w:cs="Times New Roman"/>
          <w:sz w:val="26"/>
          <w:szCs w:val="26"/>
        </w:rPr>
        <w:t xml:space="preserve"> (1992)</w:t>
      </w:r>
      <w:r w:rsidR="004D2850">
        <w:rPr>
          <w:rFonts w:ascii="Times New Roman" w:hAnsi="Times New Roman" w:cs="Times New Roman"/>
          <w:sz w:val="26"/>
          <w:szCs w:val="26"/>
        </w:rPr>
        <w:t xml:space="preserve"> permetterà di stimare i rendimenti attesi senza esprimere </w:t>
      </w:r>
      <w:proofErr w:type="spellStart"/>
      <w:r w:rsidR="004D2850">
        <w:rPr>
          <w:rFonts w:ascii="Times New Roman" w:hAnsi="Times New Roman" w:cs="Times New Roman"/>
          <w:sz w:val="26"/>
          <w:szCs w:val="26"/>
        </w:rPr>
        <w:t>views</w:t>
      </w:r>
      <w:proofErr w:type="spellEnd"/>
      <w:r w:rsidR="004D2850">
        <w:rPr>
          <w:rFonts w:ascii="Times New Roman" w:hAnsi="Times New Roman" w:cs="Times New Roman"/>
          <w:sz w:val="26"/>
          <w:szCs w:val="26"/>
        </w:rPr>
        <w:t xml:space="preserve"> sulle asse</w:t>
      </w:r>
      <w:r w:rsidR="0080517F">
        <w:rPr>
          <w:rFonts w:ascii="Times New Roman" w:hAnsi="Times New Roman" w:cs="Times New Roman"/>
          <w:sz w:val="26"/>
          <w:szCs w:val="26"/>
        </w:rPr>
        <w:t>t</w:t>
      </w:r>
      <w:r w:rsidR="004D2850">
        <w:rPr>
          <w:rFonts w:ascii="Times New Roman" w:hAnsi="Times New Roman" w:cs="Times New Roman"/>
          <w:sz w:val="26"/>
          <w:szCs w:val="26"/>
        </w:rPr>
        <w:t xml:space="preserve"> class flessibili, lasciando che la stima sia veicolata</w:t>
      </w:r>
      <w:r w:rsidR="0080517F">
        <w:rPr>
          <w:rFonts w:ascii="Times New Roman" w:hAnsi="Times New Roman" w:cs="Times New Roman"/>
          <w:sz w:val="26"/>
          <w:szCs w:val="26"/>
        </w:rPr>
        <w:t xml:space="preserve"> dalle </w:t>
      </w:r>
      <w:proofErr w:type="spellStart"/>
      <w:r w:rsidR="0080517F">
        <w:rPr>
          <w:rFonts w:ascii="Times New Roman" w:hAnsi="Times New Roman" w:cs="Times New Roman"/>
          <w:sz w:val="26"/>
          <w:szCs w:val="26"/>
        </w:rPr>
        <w:t>view</w:t>
      </w:r>
      <w:r w:rsidR="00A86BE0">
        <w:rPr>
          <w:rFonts w:ascii="Times New Roman" w:hAnsi="Times New Roman" w:cs="Times New Roman"/>
          <w:sz w:val="26"/>
          <w:szCs w:val="26"/>
        </w:rPr>
        <w:t>s</w:t>
      </w:r>
      <w:proofErr w:type="spellEnd"/>
      <w:r w:rsidR="0080517F">
        <w:rPr>
          <w:rFonts w:ascii="Times New Roman" w:hAnsi="Times New Roman" w:cs="Times New Roman"/>
          <w:sz w:val="26"/>
          <w:szCs w:val="26"/>
        </w:rPr>
        <w:t xml:space="preserve"> </w:t>
      </w:r>
      <w:r w:rsidR="00492581">
        <w:rPr>
          <w:rFonts w:ascii="Times New Roman" w:hAnsi="Times New Roman" w:cs="Times New Roman"/>
          <w:sz w:val="26"/>
          <w:szCs w:val="26"/>
        </w:rPr>
        <w:t>su</w:t>
      </w:r>
      <w:r w:rsidR="0080517F">
        <w:rPr>
          <w:rFonts w:ascii="Times New Roman" w:hAnsi="Times New Roman" w:cs="Times New Roman"/>
          <w:sz w:val="26"/>
          <w:szCs w:val="26"/>
        </w:rPr>
        <w:t>lle altre asset class,</w:t>
      </w:r>
      <w:r w:rsidR="004D2850">
        <w:rPr>
          <w:rFonts w:ascii="Times New Roman" w:hAnsi="Times New Roman" w:cs="Times New Roman"/>
          <w:sz w:val="26"/>
          <w:szCs w:val="26"/>
        </w:rPr>
        <w:t xml:space="preserve"> dalla matrice delle covarianze e dalla composizione del portafoglio </w:t>
      </w:r>
      <w:r w:rsidR="004D2850" w:rsidRPr="00A6082B">
        <w:rPr>
          <w:rFonts w:ascii="Times New Roman" w:hAnsi="Times New Roman" w:cs="Times New Roman"/>
          <w:i/>
          <w:sz w:val="26"/>
          <w:szCs w:val="26"/>
        </w:rPr>
        <w:t xml:space="preserve">market </w:t>
      </w:r>
      <w:proofErr w:type="spellStart"/>
      <w:r w:rsidR="004D2850" w:rsidRPr="00A6082B">
        <w:rPr>
          <w:rFonts w:ascii="Times New Roman" w:hAnsi="Times New Roman" w:cs="Times New Roman"/>
          <w:i/>
          <w:sz w:val="26"/>
          <w:szCs w:val="26"/>
        </w:rPr>
        <w:t>neutral</w:t>
      </w:r>
      <w:proofErr w:type="spellEnd"/>
      <w:r w:rsidR="004D2850">
        <w:rPr>
          <w:rFonts w:ascii="Times New Roman" w:hAnsi="Times New Roman" w:cs="Times New Roman"/>
          <w:sz w:val="26"/>
          <w:szCs w:val="26"/>
        </w:rPr>
        <w:t>.</w:t>
      </w:r>
    </w:p>
    <w:p w14:paraId="62418AD1" w14:textId="77777777" w:rsidR="00C619BC" w:rsidRPr="00120B5D" w:rsidRDefault="00B83B7A" w:rsidP="00C619BC">
      <w:pPr>
        <w:pStyle w:val="Titolo1"/>
        <w:numPr>
          <w:ilvl w:val="0"/>
          <w:numId w:val="3"/>
        </w:numPr>
        <w:spacing w:after="120"/>
        <w:ind w:left="425" w:hanging="425"/>
        <w:rPr>
          <w:rFonts w:ascii="Times New Roman" w:hAnsi="Times New Roman" w:cs="Times New Roman"/>
          <w:color w:val="auto"/>
          <w:sz w:val="26"/>
          <w:szCs w:val="26"/>
        </w:rPr>
      </w:pPr>
      <w:bookmarkStart w:id="6" w:name="_Toc30702199"/>
      <w:r>
        <w:rPr>
          <w:rFonts w:ascii="Times New Roman" w:hAnsi="Times New Roman" w:cs="Times New Roman"/>
          <w:color w:val="auto"/>
          <w:sz w:val="26"/>
          <w:szCs w:val="26"/>
        </w:rPr>
        <w:t>I f</w:t>
      </w:r>
      <w:r w:rsidR="00C619BC" w:rsidRPr="00120B5D">
        <w:rPr>
          <w:rFonts w:ascii="Times New Roman" w:hAnsi="Times New Roman" w:cs="Times New Roman"/>
          <w:color w:val="auto"/>
          <w:sz w:val="26"/>
          <w:szCs w:val="26"/>
        </w:rPr>
        <w:t xml:space="preserve">ondi flessibili </w:t>
      </w:r>
      <w:r>
        <w:rPr>
          <w:rFonts w:ascii="Times New Roman" w:hAnsi="Times New Roman" w:cs="Times New Roman"/>
          <w:color w:val="auto"/>
          <w:sz w:val="26"/>
          <w:szCs w:val="26"/>
        </w:rPr>
        <w:t xml:space="preserve">a confronto con i portafogli </w:t>
      </w:r>
      <w:r w:rsidRPr="00B83B7A">
        <w:rPr>
          <w:rFonts w:ascii="Times New Roman" w:hAnsi="Times New Roman" w:cs="Times New Roman"/>
          <w:i/>
          <w:color w:val="auto"/>
          <w:sz w:val="26"/>
          <w:szCs w:val="26"/>
        </w:rPr>
        <w:t xml:space="preserve">market </w:t>
      </w:r>
      <w:proofErr w:type="spellStart"/>
      <w:r w:rsidRPr="00B83B7A">
        <w:rPr>
          <w:rFonts w:ascii="Times New Roman" w:hAnsi="Times New Roman" w:cs="Times New Roman"/>
          <w:i/>
          <w:color w:val="auto"/>
          <w:sz w:val="26"/>
          <w:szCs w:val="26"/>
        </w:rPr>
        <w:t>neutral</w:t>
      </w:r>
      <w:proofErr w:type="spellEnd"/>
      <w:r w:rsidRPr="00B83B7A">
        <w:rPr>
          <w:rFonts w:ascii="Times New Roman" w:hAnsi="Times New Roman" w:cs="Times New Roman"/>
          <w:i/>
          <w:color w:val="auto"/>
          <w:sz w:val="26"/>
          <w:szCs w:val="26"/>
        </w:rPr>
        <w:t xml:space="preserve"> home </w:t>
      </w:r>
      <w:proofErr w:type="spellStart"/>
      <w:r w:rsidRPr="00B83B7A">
        <w:rPr>
          <w:rFonts w:ascii="Times New Roman" w:hAnsi="Times New Roman" w:cs="Times New Roman"/>
          <w:i/>
          <w:color w:val="auto"/>
          <w:sz w:val="26"/>
          <w:szCs w:val="26"/>
        </w:rPr>
        <w:t>bias</w:t>
      </w:r>
      <w:proofErr w:type="spellEnd"/>
      <w:r w:rsidRPr="00B83B7A">
        <w:rPr>
          <w:rFonts w:ascii="Times New Roman" w:hAnsi="Times New Roman" w:cs="Times New Roman"/>
          <w:i/>
          <w:color w:val="auto"/>
          <w:sz w:val="26"/>
          <w:szCs w:val="26"/>
        </w:rPr>
        <w:t xml:space="preserve"> </w:t>
      </w:r>
      <w:proofErr w:type="spellStart"/>
      <w:r w:rsidRPr="00B83B7A">
        <w:rPr>
          <w:rFonts w:ascii="Times New Roman" w:hAnsi="Times New Roman" w:cs="Times New Roman"/>
          <w:i/>
          <w:color w:val="auto"/>
          <w:sz w:val="26"/>
          <w:szCs w:val="26"/>
        </w:rPr>
        <w:t>adjusted</w:t>
      </w:r>
      <w:bookmarkEnd w:id="6"/>
      <w:proofErr w:type="spellEnd"/>
    </w:p>
    <w:p w14:paraId="07774CF2" w14:textId="5624B55C" w:rsidR="009B2143" w:rsidRDefault="00DB63D9" w:rsidP="00C619BC">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Alla luce di quanto </w:t>
      </w:r>
      <w:proofErr w:type="gramStart"/>
      <w:r>
        <w:rPr>
          <w:rFonts w:ascii="Times New Roman" w:hAnsi="Times New Roman" w:cs="Times New Roman"/>
          <w:sz w:val="26"/>
          <w:szCs w:val="26"/>
        </w:rPr>
        <w:t>testé</w:t>
      </w:r>
      <w:proofErr w:type="gramEnd"/>
      <w:r>
        <w:rPr>
          <w:rFonts w:ascii="Times New Roman" w:hAnsi="Times New Roman" w:cs="Times New Roman"/>
          <w:sz w:val="26"/>
          <w:szCs w:val="26"/>
        </w:rPr>
        <w:t xml:space="preserve"> affermato, questa categoria di prodotti merit</w:t>
      </w:r>
      <w:r w:rsidR="00575FE6">
        <w:rPr>
          <w:rFonts w:ascii="Times New Roman" w:hAnsi="Times New Roman" w:cs="Times New Roman"/>
          <w:sz w:val="26"/>
          <w:szCs w:val="26"/>
        </w:rPr>
        <w:t>a</w:t>
      </w:r>
      <w:r>
        <w:rPr>
          <w:rFonts w:ascii="Times New Roman" w:hAnsi="Times New Roman" w:cs="Times New Roman"/>
          <w:sz w:val="26"/>
          <w:szCs w:val="26"/>
        </w:rPr>
        <w:t xml:space="preserve"> una presenza nei portafogli degli investitori, ma l’uso va disciplinato allo scopo di evitare che essi assumano un peso eccessivo, minando la ragionevolezza</w:t>
      </w:r>
      <w:r w:rsidR="009B2143">
        <w:rPr>
          <w:rFonts w:ascii="Times New Roman" w:hAnsi="Times New Roman" w:cs="Times New Roman"/>
          <w:sz w:val="26"/>
          <w:szCs w:val="26"/>
        </w:rPr>
        <w:t xml:space="preserve"> e la lineari</w:t>
      </w:r>
      <w:r w:rsidR="00641611">
        <w:rPr>
          <w:rFonts w:ascii="Times New Roman" w:hAnsi="Times New Roman" w:cs="Times New Roman"/>
          <w:sz w:val="26"/>
          <w:szCs w:val="26"/>
        </w:rPr>
        <w:t>tà</w:t>
      </w:r>
      <w:r>
        <w:rPr>
          <w:rFonts w:ascii="Times New Roman" w:hAnsi="Times New Roman" w:cs="Times New Roman"/>
          <w:sz w:val="26"/>
          <w:szCs w:val="26"/>
        </w:rPr>
        <w:t xml:space="preserve"> del processo di </w:t>
      </w:r>
      <w:r w:rsidRPr="00DB63D9">
        <w:rPr>
          <w:rFonts w:ascii="Times New Roman" w:hAnsi="Times New Roman" w:cs="Times New Roman"/>
          <w:i/>
          <w:sz w:val="26"/>
          <w:szCs w:val="26"/>
        </w:rPr>
        <w:t xml:space="preserve">portfolio </w:t>
      </w:r>
      <w:proofErr w:type="spellStart"/>
      <w:r w:rsidRPr="00DB63D9">
        <w:rPr>
          <w:rFonts w:ascii="Times New Roman" w:hAnsi="Times New Roman" w:cs="Times New Roman"/>
          <w:i/>
          <w:sz w:val="26"/>
          <w:szCs w:val="26"/>
        </w:rPr>
        <w:t>construction</w:t>
      </w:r>
      <w:proofErr w:type="spellEnd"/>
      <w:r>
        <w:rPr>
          <w:rFonts w:ascii="Times New Roman" w:hAnsi="Times New Roman" w:cs="Times New Roman"/>
          <w:sz w:val="26"/>
          <w:szCs w:val="26"/>
        </w:rPr>
        <w:t>. L’investitore deve</w:t>
      </w:r>
      <w:r w:rsidR="00BA76A8">
        <w:rPr>
          <w:rFonts w:ascii="Times New Roman" w:hAnsi="Times New Roman" w:cs="Times New Roman"/>
          <w:sz w:val="26"/>
          <w:szCs w:val="26"/>
        </w:rPr>
        <w:t>,</w:t>
      </w:r>
      <w:r>
        <w:rPr>
          <w:rFonts w:ascii="Times New Roman" w:hAnsi="Times New Roman" w:cs="Times New Roman"/>
          <w:sz w:val="26"/>
          <w:szCs w:val="26"/>
        </w:rPr>
        <w:t xml:space="preserve"> quindi</w:t>
      </w:r>
      <w:r w:rsidR="00BA76A8">
        <w:rPr>
          <w:rFonts w:ascii="Times New Roman" w:hAnsi="Times New Roman" w:cs="Times New Roman"/>
          <w:sz w:val="26"/>
          <w:szCs w:val="26"/>
        </w:rPr>
        <w:t>,</w:t>
      </w:r>
      <w:r>
        <w:rPr>
          <w:rFonts w:ascii="Times New Roman" w:hAnsi="Times New Roman" w:cs="Times New Roman"/>
          <w:sz w:val="26"/>
          <w:szCs w:val="26"/>
        </w:rPr>
        <w:t xml:space="preserve"> resistere alla tentazione di eccedere nell’uso</w:t>
      </w:r>
      <w:r w:rsidR="00634E4E">
        <w:rPr>
          <w:rFonts w:ascii="Times New Roman" w:hAnsi="Times New Roman" w:cs="Times New Roman"/>
          <w:sz w:val="26"/>
          <w:szCs w:val="26"/>
        </w:rPr>
        <w:t xml:space="preserve">, facendosi attrarre </w:t>
      </w:r>
      <w:r w:rsidR="009B2143">
        <w:rPr>
          <w:rFonts w:ascii="Times New Roman" w:hAnsi="Times New Roman" w:cs="Times New Roman"/>
          <w:sz w:val="26"/>
          <w:szCs w:val="26"/>
        </w:rPr>
        <w:t xml:space="preserve">da uno stile di gestione senza dubbio </w:t>
      </w:r>
      <w:r w:rsidR="00BA76A8">
        <w:rPr>
          <w:rFonts w:ascii="Times New Roman" w:hAnsi="Times New Roman" w:cs="Times New Roman"/>
          <w:sz w:val="26"/>
          <w:szCs w:val="26"/>
        </w:rPr>
        <w:t>accattivante</w:t>
      </w:r>
      <w:r w:rsidR="009B2143">
        <w:rPr>
          <w:rFonts w:ascii="Times New Roman" w:hAnsi="Times New Roman" w:cs="Times New Roman"/>
          <w:sz w:val="26"/>
          <w:szCs w:val="26"/>
        </w:rPr>
        <w:t>, nella sua promessa di mutare composizione a seconda delle condizioni congiunturali del mercato.</w:t>
      </w:r>
      <w:r w:rsidR="00641611">
        <w:rPr>
          <w:rFonts w:ascii="Times New Roman" w:hAnsi="Times New Roman" w:cs="Times New Roman"/>
          <w:sz w:val="26"/>
          <w:szCs w:val="26"/>
        </w:rPr>
        <w:t xml:space="preserve"> Si è altresì evidenziato che l’uso eccessivo di tali prodotti appare incoerente con le verifiche empiriche che, data la crescente efficien</w:t>
      </w:r>
      <w:r w:rsidR="00492581">
        <w:rPr>
          <w:rFonts w:ascii="Times New Roman" w:hAnsi="Times New Roman" w:cs="Times New Roman"/>
          <w:sz w:val="26"/>
          <w:szCs w:val="26"/>
        </w:rPr>
        <w:t>za</w:t>
      </w:r>
      <w:r w:rsidR="00641611">
        <w:rPr>
          <w:rFonts w:ascii="Times New Roman" w:hAnsi="Times New Roman" w:cs="Times New Roman"/>
          <w:sz w:val="26"/>
          <w:szCs w:val="26"/>
        </w:rPr>
        <w:t xml:space="preserve"> informativa dei mercati, dimostrano la difficoltà di anticipare l’andamento dei mercati nel breve termine.</w:t>
      </w:r>
    </w:p>
    <w:p w14:paraId="631FC2F7" w14:textId="77777777" w:rsidR="002C4F4C" w:rsidRDefault="00641611" w:rsidP="00C619BC">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Il modo più semplice per esortare ad un uso </w:t>
      </w:r>
      <w:r w:rsidR="001B1F26">
        <w:rPr>
          <w:rFonts w:ascii="Times New Roman" w:hAnsi="Times New Roman" w:cs="Times New Roman"/>
          <w:sz w:val="26"/>
          <w:szCs w:val="26"/>
        </w:rPr>
        <w:t>controllato</w:t>
      </w:r>
      <w:r>
        <w:rPr>
          <w:rFonts w:ascii="Times New Roman" w:hAnsi="Times New Roman" w:cs="Times New Roman"/>
          <w:sz w:val="26"/>
          <w:szCs w:val="26"/>
        </w:rPr>
        <w:t xml:space="preserve"> dei prodotti flessibili è quello di dimostrare che tali prodotti, in media, non sono in grado di sovraperformare il mercato. A tale scopo, abbiamo implementato una verifica empirica in grado di mettere a confronto, sul triennio 31/12/2016 – 31/12/2019, la performance conseguita da un panel di fondi rispetto a portafogli neutrali corretti</w:t>
      </w:r>
      <w:r w:rsidR="00492581">
        <w:rPr>
          <w:rFonts w:ascii="Times New Roman" w:hAnsi="Times New Roman" w:cs="Times New Roman"/>
          <w:sz w:val="26"/>
          <w:szCs w:val="26"/>
        </w:rPr>
        <w:t xml:space="preserve"> (</w:t>
      </w:r>
      <w:proofErr w:type="spellStart"/>
      <w:r w:rsidR="00492581" w:rsidRPr="00492581">
        <w:rPr>
          <w:rFonts w:ascii="Times New Roman" w:hAnsi="Times New Roman" w:cs="Times New Roman"/>
          <w:i/>
          <w:sz w:val="26"/>
          <w:szCs w:val="26"/>
        </w:rPr>
        <w:t>adjusted</w:t>
      </w:r>
      <w:proofErr w:type="spellEnd"/>
      <w:r w:rsidR="00492581">
        <w:rPr>
          <w:rFonts w:ascii="Times New Roman" w:hAnsi="Times New Roman" w:cs="Times New Roman"/>
          <w:sz w:val="26"/>
          <w:szCs w:val="26"/>
        </w:rPr>
        <w:t>)</w:t>
      </w:r>
      <w:r>
        <w:rPr>
          <w:rFonts w:ascii="Times New Roman" w:hAnsi="Times New Roman" w:cs="Times New Roman"/>
          <w:sz w:val="26"/>
          <w:szCs w:val="26"/>
        </w:rPr>
        <w:t xml:space="preserve"> per incorporare il fenomeno dell’</w:t>
      </w:r>
      <w:r w:rsidRPr="00641611">
        <w:rPr>
          <w:rFonts w:ascii="Times New Roman" w:hAnsi="Times New Roman" w:cs="Times New Roman"/>
          <w:i/>
          <w:sz w:val="26"/>
          <w:szCs w:val="26"/>
        </w:rPr>
        <w:t xml:space="preserve">home </w:t>
      </w:r>
      <w:proofErr w:type="spellStart"/>
      <w:r w:rsidRPr="00641611">
        <w:rPr>
          <w:rFonts w:ascii="Times New Roman" w:hAnsi="Times New Roman" w:cs="Times New Roman"/>
          <w:i/>
          <w:sz w:val="26"/>
          <w:szCs w:val="26"/>
        </w:rPr>
        <w:t>bias</w:t>
      </w:r>
      <w:proofErr w:type="spellEnd"/>
      <w:r>
        <w:rPr>
          <w:rFonts w:ascii="Times New Roman" w:hAnsi="Times New Roman" w:cs="Times New Roman"/>
          <w:sz w:val="26"/>
          <w:szCs w:val="26"/>
        </w:rPr>
        <w:t xml:space="preserve">. </w:t>
      </w:r>
    </w:p>
    <w:p w14:paraId="54876E32" w14:textId="6FD2F19B" w:rsidR="00641611" w:rsidRPr="002C4F4C" w:rsidRDefault="00641611" w:rsidP="00C619BC">
      <w:pPr>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I</w:t>
      </w:r>
      <w:r w:rsidR="002C4F4C">
        <w:rPr>
          <w:rFonts w:ascii="Times New Roman" w:hAnsi="Times New Roman" w:cs="Times New Roman"/>
          <w:sz w:val="26"/>
          <w:szCs w:val="26"/>
        </w:rPr>
        <w:t>l numero</w:t>
      </w:r>
      <w:r>
        <w:rPr>
          <w:rFonts w:ascii="Times New Roman" w:hAnsi="Times New Roman" w:cs="Times New Roman"/>
          <w:sz w:val="26"/>
          <w:szCs w:val="26"/>
        </w:rPr>
        <w:t xml:space="preserve"> </w:t>
      </w:r>
      <w:r w:rsidR="0032123F">
        <w:rPr>
          <w:rFonts w:ascii="Times New Roman" w:hAnsi="Times New Roman" w:cs="Times New Roman"/>
          <w:sz w:val="26"/>
          <w:szCs w:val="26"/>
        </w:rPr>
        <w:t>di fondi</w:t>
      </w:r>
      <w:r>
        <w:rPr>
          <w:rFonts w:ascii="Times New Roman" w:hAnsi="Times New Roman" w:cs="Times New Roman"/>
          <w:sz w:val="26"/>
          <w:szCs w:val="26"/>
        </w:rPr>
        <w:t xml:space="preserve"> </w:t>
      </w:r>
      <w:r w:rsidR="002C4F4C">
        <w:rPr>
          <w:rFonts w:ascii="Times New Roman" w:hAnsi="Times New Roman" w:cs="Times New Roman"/>
          <w:sz w:val="26"/>
          <w:szCs w:val="26"/>
        </w:rPr>
        <w:t>analizzato</w:t>
      </w:r>
      <w:r>
        <w:rPr>
          <w:rFonts w:ascii="Times New Roman" w:hAnsi="Times New Roman" w:cs="Times New Roman"/>
          <w:sz w:val="26"/>
          <w:szCs w:val="26"/>
        </w:rPr>
        <w:t xml:space="preserve"> </w:t>
      </w:r>
      <w:r w:rsidR="002C4F4C">
        <w:rPr>
          <w:rFonts w:ascii="Times New Roman" w:hAnsi="Times New Roman" w:cs="Times New Roman"/>
          <w:sz w:val="26"/>
          <w:szCs w:val="26"/>
        </w:rPr>
        <w:t>è</w:t>
      </w:r>
      <w:r>
        <w:rPr>
          <w:rFonts w:ascii="Times New Roman" w:hAnsi="Times New Roman" w:cs="Times New Roman"/>
          <w:sz w:val="26"/>
          <w:szCs w:val="26"/>
        </w:rPr>
        <w:t xml:space="preserve"> pari a </w:t>
      </w:r>
      <w:r w:rsidR="002C4F4C">
        <w:rPr>
          <w:rFonts w:ascii="Times New Roman" w:hAnsi="Times New Roman" w:cs="Times New Roman"/>
          <w:sz w:val="26"/>
          <w:szCs w:val="26"/>
        </w:rPr>
        <w:t>615 e</w:t>
      </w:r>
      <w:r w:rsidR="0032123F">
        <w:rPr>
          <w:rFonts w:ascii="Times New Roman" w:hAnsi="Times New Roman" w:cs="Times New Roman"/>
          <w:sz w:val="26"/>
          <w:szCs w:val="26"/>
        </w:rPr>
        <w:t xml:space="preserve"> rappresenta</w:t>
      </w:r>
      <w:r w:rsidR="002C4F4C">
        <w:rPr>
          <w:rFonts w:ascii="Times New Roman" w:hAnsi="Times New Roman" w:cs="Times New Roman"/>
          <w:sz w:val="26"/>
          <w:szCs w:val="26"/>
        </w:rPr>
        <w:t xml:space="preserve"> </w:t>
      </w:r>
      <w:r w:rsidR="0032123F">
        <w:rPr>
          <w:rFonts w:ascii="Times New Roman" w:hAnsi="Times New Roman" w:cs="Times New Roman"/>
          <w:sz w:val="26"/>
          <w:szCs w:val="26"/>
        </w:rPr>
        <w:t>la totalità</w:t>
      </w:r>
      <w:r w:rsidR="002C4F4C">
        <w:rPr>
          <w:rFonts w:ascii="Times New Roman" w:hAnsi="Times New Roman" w:cs="Times New Roman"/>
          <w:sz w:val="26"/>
          <w:szCs w:val="26"/>
        </w:rPr>
        <w:t xml:space="preserve"> dei prodotti </w:t>
      </w:r>
      <w:r w:rsidR="002C4F4C" w:rsidRPr="002C4F4C">
        <w:rPr>
          <w:rFonts w:ascii="Times New Roman" w:hAnsi="Times New Roman" w:cs="Times New Roman"/>
          <w:i/>
          <w:sz w:val="26"/>
          <w:szCs w:val="26"/>
        </w:rPr>
        <w:t>multi</w:t>
      </w:r>
      <w:r w:rsidR="00BA76A8">
        <w:rPr>
          <w:rFonts w:ascii="Times New Roman" w:hAnsi="Times New Roman" w:cs="Times New Roman"/>
          <w:i/>
          <w:sz w:val="26"/>
          <w:szCs w:val="26"/>
        </w:rPr>
        <w:t>-</w:t>
      </w:r>
      <w:r w:rsidR="002C4F4C" w:rsidRPr="002C4F4C">
        <w:rPr>
          <w:rFonts w:ascii="Times New Roman" w:hAnsi="Times New Roman" w:cs="Times New Roman"/>
          <w:i/>
          <w:sz w:val="26"/>
          <w:szCs w:val="26"/>
        </w:rPr>
        <w:t>asset</w:t>
      </w:r>
      <w:r w:rsidR="002C4F4C">
        <w:rPr>
          <w:rFonts w:ascii="Times New Roman" w:hAnsi="Times New Roman" w:cs="Times New Roman"/>
          <w:sz w:val="26"/>
          <w:szCs w:val="26"/>
        </w:rPr>
        <w:t xml:space="preserve"> e </w:t>
      </w:r>
      <w:proofErr w:type="spellStart"/>
      <w:r w:rsidR="002C4F4C" w:rsidRPr="002C4F4C">
        <w:rPr>
          <w:rFonts w:ascii="Times New Roman" w:hAnsi="Times New Roman" w:cs="Times New Roman"/>
          <w:i/>
          <w:sz w:val="26"/>
          <w:szCs w:val="26"/>
        </w:rPr>
        <w:t>total</w:t>
      </w:r>
      <w:proofErr w:type="spellEnd"/>
      <w:r w:rsidR="002C4F4C" w:rsidRPr="002C4F4C">
        <w:rPr>
          <w:rFonts w:ascii="Times New Roman" w:hAnsi="Times New Roman" w:cs="Times New Roman"/>
          <w:i/>
          <w:sz w:val="26"/>
          <w:szCs w:val="26"/>
        </w:rPr>
        <w:t xml:space="preserve"> </w:t>
      </w:r>
      <w:proofErr w:type="spellStart"/>
      <w:r w:rsidR="002C4F4C" w:rsidRPr="002C4F4C">
        <w:rPr>
          <w:rFonts w:ascii="Times New Roman" w:hAnsi="Times New Roman" w:cs="Times New Roman"/>
          <w:i/>
          <w:sz w:val="26"/>
          <w:szCs w:val="26"/>
        </w:rPr>
        <w:t>return</w:t>
      </w:r>
      <w:proofErr w:type="spellEnd"/>
      <w:r w:rsidR="002C4F4C">
        <w:rPr>
          <w:rFonts w:ascii="Times New Roman" w:hAnsi="Times New Roman" w:cs="Times New Roman"/>
          <w:sz w:val="26"/>
          <w:szCs w:val="26"/>
        </w:rPr>
        <w:t xml:space="preserve"> distribuiti da una </w:t>
      </w:r>
      <w:r w:rsidR="00033A53">
        <w:rPr>
          <w:rFonts w:ascii="Times New Roman" w:hAnsi="Times New Roman" w:cs="Times New Roman"/>
          <w:sz w:val="26"/>
          <w:szCs w:val="26"/>
        </w:rPr>
        <w:t xml:space="preserve">delle principali </w:t>
      </w:r>
      <w:r w:rsidR="007D7216">
        <w:rPr>
          <w:rFonts w:ascii="Times New Roman" w:hAnsi="Times New Roman" w:cs="Times New Roman"/>
          <w:sz w:val="26"/>
          <w:szCs w:val="26"/>
        </w:rPr>
        <w:t>ret</w:t>
      </w:r>
      <w:r w:rsidR="00033A53">
        <w:rPr>
          <w:rFonts w:ascii="Times New Roman" w:hAnsi="Times New Roman" w:cs="Times New Roman"/>
          <w:sz w:val="26"/>
          <w:szCs w:val="26"/>
        </w:rPr>
        <w:t>i</w:t>
      </w:r>
      <w:r w:rsidR="00BA76A8">
        <w:rPr>
          <w:rFonts w:ascii="Times New Roman" w:hAnsi="Times New Roman" w:cs="Times New Roman"/>
          <w:sz w:val="26"/>
          <w:szCs w:val="26"/>
        </w:rPr>
        <w:t xml:space="preserve"> di consulenti finanziari </w:t>
      </w:r>
      <w:r w:rsidR="002C4F4C">
        <w:rPr>
          <w:rFonts w:ascii="Times New Roman" w:hAnsi="Times New Roman" w:cs="Times New Roman"/>
          <w:sz w:val="26"/>
          <w:szCs w:val="26"/>
        </w:rPr>
        <w:t>italiana</w:t>
      </w:r>
      <w:r w:rsidR="002C4F4C">
        <w:rPr>
          <w:rStyle w:val="Rimandonotaapidipagina"/>
          <w:rFonts w:ascii="Times New Roman" w:hAnsi="Times New Roman" w:cs="Times New Roman"/>
          <w:sz w:val="26"/>
          <w:szCs w:val="26"/>
        </w:rPr>
        <w:footnoteReference w:id="12"/>
      </w:r>
      <w:r w:rsidR="002C4F4C">
        <w:rPr>
          <w:rFonts w:ascii="Times New Roman" w:hAnsi="Times New Roman" w:cs="Times New Roman"/>
          <w:sz w:val="26"/>
          <w:szCs w:val="26"/>
        </w:rPr>
        <w:t xml:space="preserve">. L’evidenza empirica ha poi riguardato 516 prodotti, poiché 99 fondi </w:t>
      </w:r>
      <w:r w:rsidR="005D058F">
        <w:rPr>
          <w:rFonts w:ascii="Times New Roman" w:hAnsi="Times New Roman" w:cs="Times New Roman"/>
          <w:sz w:val="26"/>
          <w:szCs w:val="26"/>
        </w:rPr>
        <w:t>si caratterizzano per</w:t>
      </w:r>
      <w:r w:rsidR="002C4F4C">
        <w:rPr>
          <w:rFonts w:ascii="Times New Roman" w:hAnsi="Times New Roman" w:cs="Times New Roman"/>
          <w:sz w:val="26"/>
          <w:szCs w:val="26"/>
        </w:rPr>
        <w:t xml:space="preserve"> una profondità storica inferiore a tre anni. La performa</w:t>
      </w:r>
      <w:r w:rsidR="0032123F">
        <w:rPr>
          <w:rFonts w:ascii="Times New Roman" w:hAnsi="Times New Roman" w:cs="Times New Roman"/>
          <w:sz w:val="26"/>
          <w:szCs w:val="26"/>
        </w:rPr>
        <w:t>n</w:t>
      </w:r>
      <w:r w:rsidR="002C4F4C">
        <w:rPr>
          <w:rFonts w:ascii="Times New Roman" w:hAnsi="Times New Roman" w:cs="Times New Roman"/>
          <w:sz w:val="26"/>
          <w:szCs w:val="26"/>
        </w:rPr>
        <w:t>ce dei fondi è stata calcolata</w:t>
      </w:r>
      <w:r w:rsidR="00575FE6">
        <w:rPr>
          <w:rFonts w:ascii="Times New Roman" w:hAnsi="Times New Roman" w:cs="Times New Roman"/>
          <w:sz w:val="26"/>
          <w:szCs w:val="26"/>
        </w:rPr>
        <w:t xml:space="preserve"> (</w:t>
      </w:r>
      <w:r w:rsidR="002C4F4C">
        <w:rPr>
          <w:rFonts w:ascii="Times New Roman" w:hAnsi="Times New Roman" w:cs="Times New Roman"/>
          <w:sz w:val="26"/>
          <w:szCs w:val="26"/>
        </w:rPr>
        <w:t xml:space="preserve">con dati </w:t>
      </w:r>
      <w:proofErr w:type="spellStart"/>
      <w:r w:rsidR="002C4F4C" w:rsidRPr="003531EB">
        <w:rPr>
          <w:rFonts w:ascii="Times New Roman" w:hAnsi="Times New Roman" w:cs="Times New Roman"/>
          <w:i/>
          <w:sz w:val="26"/>
          <w:szCs w:val="26"/>
        </w:rPr>
        <w:t>Quantalys</w:t>
      </w:r>
      <w:proofErr w:type="spellEnd"/>
      <w:r w:rsidR="00575FE6">
        <w:rPr>
          <w:rFonts w:ascii="Times New Roman" w:hAnsi="Times New Roman" w:cs="Times New Roman"/>
          <w:sz w:val="26"/>
          <w:szCs w:val="26"/>
        </w:rPr>
        <w:t>)</w:t>
      </w:r>
      <w:r w:rsidR="002C4F4C">
        <w:rPr>
          <w:rFonts w:ascii="Times New Roman" w:hAnsi="Times New Roman" w:cs="Times New Roman"/>
          <w:sz w:val="26"/>
          <w:szCs w:val="26"/>
        </w:rPr>
        <w:t>:</w:t>
      </w:r>
    </w:p>
    <w:p w14:paraId="6A9B66A7" w14:textId="77777777" w:rsidR="00641611" w:rsidRDefault="0032123F" w:rsidP="002C4F4C">
      <w:pPr>
        <w:pStyle w:val="Paragrafoelenco"/>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incorporando</w:t>
      </w:r>
      <w:r w:rsidR="002C4F4C">
        <w:rPr>
          <w:rFonts w:ascii="Times New Roman" w:hAnsi="Times New Roman" w:cs="Times New Roman"/>
          <w:sz w:val="26"/>
          <w:szCs w:val="26"/>
        </w:rPr>
        <w:t>, per i prodotti a distribuzione, il contributo reddituale riveniente dai flussi di cassa periodici;</w:t>
      </w:r>
    </w:p>
    <w:p w14:paraId="66BE037C" w14:textId="23E889FE" w:rsidR="002C4F4C" w:rsidRPr="002C4F4C" w:rsidRDefault="0032123F" w:rsidP="002C4F4C">
      <w:pPr>
        <w:pStyle w:val="Paragrafoelenco"/>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convertendo in euro il NAV dei fondi </w:t>
      </w:r>
      <w:r w:rsidR="00BA76A8">
        <w:rPr>
          <w:rFonts w:ascii="Times New Roman" w:hAnsi="Times New Roman" w:cs="Times New Roman"/>
          <w:sz w:val="26"/>
          <w:szCs w:val="26"/>
        </w:rPr>
        <w:t xml:space="preserve">denominati </w:t>
      </w:r>
      <w:r>
        <w:rPr>
          <w:rFonts w:ascii="Times New Roman" w:hAnsi="Times New Roman" w:cs="Times New Roman"/>
          <w:sz w:val="26"/>
          <w:szCs w:val="26"/>
        </w:rPr>
        <w:t>in valuta estera.</w:t>
      </w:r>
    </w:p>
    <w:p w14:paraId="1D8F650B" w14:textId="77777777" w:rsidR="00BA76A8" w:rsidRDefault="00BA76A8" w:rsidP="00C619BC">
      <w:pPr>
        <w:spacing w:after="0" w:line="360" w:lineRule="auto"/>
        <w:jc w:val="both"/>
        <w:rPr>
          <w:rFonts w:ascii="Times New Roman" w:hAnsi="Times New Roman" w:cs="Times New Roman"/>
          <w:sz w:val="26"/>
          <w:szCs w:val="26"/>
        </w:rPr>
      </w:pPr>
    </w:p>
    <w:p w14:paraId="540C9C54" w14:textId="4668A828" w:rsidR="0032123F" w:rsidRDefault="0032123F" w:rsidP="00C619BC">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Allo scopo di verificare la capacità di battere il mercato, si è confronta</w:t>
      </w:r>
      <w:r w:rsidR="00B67DCA">
        <w:rPr>
          <w:rFonts w:ascii="Times New Roman" w:hAnsi="Times New Roman" w:cs="Times New Roman"/>
          <w:sz w:val="26"/>
          <w:szCs w:val="26"/>
        </w:rPr>
        <w:t>t</w:t>
      </w:r>
      <w:r w:rsidR="00696D22">
        <w:rPr>
          <w:rFonts w:ascii="Times New Roman" w:hAnsi="Times New Roman" w:cs="Times New Roman"/>
          <w:sz w:val="26"/>
          <w:szCs w:val="26"/>
        </w:rPr>
        <w:t>a</w:t>
      </w:r>
      <w:r>
        <w:rPr>
          <w:rFonts w:ascii="Times New Roman" w:hAnsi="Times New Roman" w:cs="Times New Roman"/>
          <w:sz w:val="26"/>
          <w:szCs w:val="26"/>
        </w:rPr>
        <w:t xml:space="preserve"> la performance</w:t>
      </w:r>
      <w:r w:rsidR="00B67DCA">
        <w:rPr>
          <w:rFonts w:ascii="Times New Roman" w:hAnsi="Times New Roman" w:cs="Times New Roman"/>
          <w:sz w:val="26"/>
          <w:szCs w:val="26"/>
        </w:rPr>
        <w:t xml:space="preserve"> triennale</w:t>
      </w:r>
      <w:r>
        <w:rPr>
          <w:rFonts w:ascii="Times New Roman" w:hAnsi="Times New Roman" w:cs="Times New Roman"/>
          <w:sz w:val="26"/>
          <w:szCs w:val="26"/>
        </w:rPr>
        <w:t xml:space="preserve"> dei fondi con </w:t>
      </w:r>
      <w:r w:rsidR="009159C6">
        <w:rPr>
          <w:rFonts w:ascii="Times New Roman" w:hAnsi="Times New Roman" w:cs="Times New Roman"/>
          <w:sz w:val="26"/>
          <w:szCs w:val="26"/>
        </w:rPr>
        <w:t xml:space="preserve">quella di </w:t>
      </w:r>
      <w:r>
        <w:rPr>
          <w:rFonts w:ascii="Times New Roman" w:hAnsi="Times New Roman" w:cs="Times New Roman"/>
          <w:sz w:val="26"/>
          <w:szCs w:val="26"/>
        </w:rPr>
        <w:t xml:space="preserve">portafogli </w:t>
      </w:r>
      <w:r w:rsidR="009159C6">
        <w:rPr>
          <w:rFonts w:ascii="Times New Roman" w:hAnsi="Times New Roman" w:cs="Times New Roman"/>
          <w:sz w:val="26"/>
          <w:szCs w:val="26"/>
        </w:rPr>
        <w:t>in asset class</w:t>
      </w:r>
      <w:r>
        <w:rPr>
          <w:rFonts w:ascii="Times New Roman" w:hAnsi="Times New Roman" w:cs="Times New Roman"/>
          <w:sz w:val="26"/>
          <w:szCs w:val="26"/>
        </w:rPr>
        <w:t xml:space="preserve"> </w:t>
      </w:r>
      <w:r w:rsidR="009159C6">
        <w:rPr>
          <w:rFonts w:ascii="Times New Roman" w:hAnsi="Times New Roman" w:cs="Times New Roman"/>
          <w:sz w:val="26"/>
          <w:szCs w:val="26"/>
        </w:rPr>
        <w:t>che fung</w:t>
      </w:r>
      <w:r w:rsidR="003531EB">
        <w:rPr>
          <w:rFonts w:ascii="Times New Roman" w:hAnsi="Times New Roman" w:cs="Times New Roman"/>
          <w:sz w:val="26"/>
          <w:szCs w:val="26"/>
        </w:rPr>
        <w:t>o</w:t>
      </w:r>
      <w:r w:rsidR="009159C6">
        <w:rPr>
          <w:rFonts w:ascii="Times New Roman" w:hAnsi="Times New Roman" w:cs="Times New Roman"/>
          <w:sz w:val="26"/>
          <w:szCs w:val="26"/>
        </w:rPr>
        <w:t>no da</w:t>
      </w:r>
      <w:r w:rsidR="00B67DCA">
        <w:rPr>
          <w:rFonts w:ascii="Times New Roman" w:hAnsi="Times New Roman" w:cs="Times New Roman"/>
          <w:sz w:val="26"/>
          <w:szCs w:val="26"/>
        </w:rPr>
        <w:t xml:space="preserve"> </w:t>
      </w:r>
      <w:r w:rsidR="00B67DCA" w:rsidRPr="003531EB">
        <w:rPr>
          <w:rFonts w:ascii="Times New Roman" w:hAnsi="Times New Roman" w:cs="Times New Roman"/>
          <w:i/>
          <w:sz w:val="26"/>
          <w:szCs w:val="26"/>
        </w:rPr>
        <w:t>proxy</w:t>
      </w:r>
      <w:r w:rsidR="009159C6">
        <w:rPr>
          <w:rFonts w:ascii="Times New Roman" w:hAnsi="Times New Roman" w:cs="Times New Roman"/>
          <w:sz w:val="26"/>
          <w:szCs w:val="26"/>
        </w:rPr>
        <w:t xml:space="preserve"> dell’investimento neutrale di un </w:t>
      </w:r>
      <w:r w:rsidR="003531EB">
        <w:rPr>
          <w:rFonts w:ascii="Times New Roman" w:hAnsi="Times New Roman" w:cs="Times New Roman"/>
          <w:sz w:val="26"/>
          <w:szCs w:val="26"/>
        </w:rPr>
        <w:t xml:space="preserve">investitore </w:t>
      </w:r>
      <w:r w:rsidR="009159C6">
        <w:rPr>
          <w:rFonts w:ascii="Times New Roman" w:hAnsi="Times New Roman" w:cs="Times New Roman"/>
          <w:sz w:val="26"/>
          <w:szCs w:val="26"/>
        </w:rPr>
        <w:t xml:space="preserve">italiano. </w:t>
      </w:r>
      <w:r w:rsidR="003531EB">
        <w:rPr>
          <w:rFonts w:ascii="Times New Roman" w:hAnsi="Times New Roman" w:cs="Times New Roman"/>
          <w:sz w:val="26"/>
          <w:szCs w:val="26"/>
        </w:rPr>
        <w:t>A tal fine</w:t>
      </w:r>
      <w:r w:rsidR="00BA76A8">
        <w:rPr>
          <w:rFonts w:ascii="Times New Roman" w:hAnsi="Times New Roman" w:cs="Times New Roman"/>
          <w:sz w:val="26"/>
          <w:szCs w:val="26"/>
        </w:rPr>
        <w:t>,</w:t>
      </w:r>
      <w:r w:rsidR="003531EB">
        <w:rPr>
          <w:rFonts w:ascii="Times New Roman" w:hAnsi="Times New Roman" w:cs="Times New Roman"/>
          <w:sz w:val="26"/>
          <w:szCs w:val="26"/>
        </w:rPr>
        <w:t xml:space="preserve"> s</w:t>
      </w:r>
      <w:r w:rsidR="009159C6">
        <w:rPr>
          <w:rFonts w:ascii="Times New Roman" w:hAnsi="Times New Roman" w:cs="Times New Roman"/>
          <w:sz w:val="26"/>
          <w:szCs w:val="26"/>
        </w:rPr>
        <w:t>i è fatto ricorso ad</w:t>
      </w:r>
      <w:r w:rsidR="00B67DCA">
        <w:rPr>
          <w:rFonts w:ascii="Times New Roman" w:hAnsi="Times New Roman" w:cs="Times New Roman"/>
          <w:sz w:val="26"/>
          <w:szCs w:val="26"/>
        </w:rPr>
        <w:t xml:space="preserve"> investiment</w:t>
      </w:r>
      <w:r w:rsidR="009159C6">
        <w:rPr>
          <w:rFonts w:ascii="Times New Roman" w:hAnsi="Times New Roman" w:cs="Times New Roman"/>
          <w:sz w:val="26"/>
          <w:szCs w:val="26"/>
        </w:rPr>
        <w:t>i</w:t>
      </w:r>
      <w:r w:rsidR="00B67DCA">
        <w:rPr>
          <w:rFonts w:ascii="Times New Roman" w:hAnsi="Times New Roman" w:cs="Times New Roman"/>
          <w:sz w:val="26"/>
          <w:szCs w:val="26"/>
        </w:rPr>
        <w:t xml:space="preserve"> </w:t>
      </w:r>
      <w:r w:rsidR="00B67DCA" w:rsidRPr="00B67DCA">
        <w:rPr>
          <w:rFonts w:ascii="Times New Roman" w:hAnsi="Times New Roman" w:cs="Times New Roman"/>
          <w:i/>
          <w:sz w:val="26"/>
          <w:szCs w:val="26"/>
        </w:rPr>
        <w:t xml:space="preserve">market </w:t>
      </w:r>
      <w:proofErr w:type="spellStart"/>
      <w:r w:rsidR="00B67DCA" w:rsidRPr="00B67DCA">
        <w:rPr>
          <w:rFonts w:ascii="Times New Roman" w:hAnsi="Times New Roman" w:cs="Times New Roman"/>
          <w:i/>
          <w:sz w:val="26"/>
          <w:szCs w:val="26"/>
        </w:rPr>
        <w:t>neutral</w:t>
      </w:r>
      <w:proofErr w:type="spellEnd"/>
      <w:r w:rsidR="00B67DCA">
        <w:rPr>
          <w:rFonts w:ascii="Times New Roman" w:hAnsi="Times New Roman" w:cs="Times New Roman"/>
          <w:sz w:val="26"/>
          <w:szCs w:val="26"/>
        </w:rPr>
        <w:t xml:space="preserve"> - ossia fedel</w:t>
      </w:r>
      <w:r w:rsidR="009159C6">
        <w:rPr>
          <w:rFonts w:ascii="Times New Roman" w:hAnsi="Times New Roman" w:cs="Times New Roman"/>
          <w:sz w:val="26"/>
          <w:szCs w:val="26"/>
        </w:rPr>
        <w:t>i</w:t>
      </w:r>
      <w:r w:rsidR="00B67DCA">
        <w:rPr>
          <w:rFonts w:ascii="Times New Roman" w:hAnsi="Times New Roman" w:cs="Times New Roman"/>
          <w:sz w:val="26"/>
          <w:szCs w:val="26"/>
        </w:rPr>
        <w:t xml:space="preserve"> alla dimensione (</w:t>
      </w:r>
      <w:r w:rsidR="00B67DCA" w:rsidRPr="00B67DCA">
        <w:rPr>
          <w:rFonts w:ascii="Times New Roman" w:hAnsi="Times New Roman" w:cs="Times New Roman"/>
          <w:i/>
          <w:sz w:val="26"/>
          <w:szCs w:val="26"/>
        </w:rPr>
        <w:t xml:space="preserve">market </w:t>
      </w:r>
      <w:proofErr w:type="spellStart"/>
      <w:r w:rsidR="00B67DCA" w:rsidRPr="00B67DCA">
        <w:rPr>
          <w:rFonts w:ascii="Times New Roman" w:hAnsi="Times New Roman" w:cs="Times New Roman"/>
          <w:i/>
          <w:sz w:val="26"/>
          <w:szCs w:val="26"/>
        </w:rPr>
        <w:t>value</w:t>
      </w:r>
      <w:proofErr w:type="spellEnd"/>
      <w:r w:rsidR="00B67DCA">
        <w:rPr>
          <w:rFonts w:ascii="Times New Roman" w:hAnsi="Times New Roman" w:cs="Times New Roman"/>
          <w:sz w:val="26"/>
          <w:szCs w:val="26"/>
        </w:rPr>
        <w:t xml:space="preserve">) dei mercati finanziari - </w:t>
      </w:r>
      <w:proofErr w:type="spellStart"/>
      <w:r w:rsidR="009159C6">
        <w:rPr>
          <w:rFonts w:ascii="Times New Roman" w:hAnsi="Times New Roman" w:cs="Times New Roman"/>
          <w:sz w:val="26"/>
          <w:szCs w:val="26"/>
        </w:rPr>
        <w:t>sovrapesati</w:t>
      </w:r>
      <w:proofErr w:type="spellEnd"/>
      <w:r w:rsidR="00D726C0">
        <w:rPr>
          <w:rFonts w:ascii="Times New Roman" w:hAnsi="Times New Roman" w:cs="Times New Roman"/>
          <w:sz w:val="26"/>
          <w:szCs w:val="26"/>
        </w:rPr>
        <w:t xml:space="preserve"> </w:t>
      </w:r>
      <w:r w:rsidR="009159C6">
        <w:rPr>
          <w:rFonts w:ascii="Times New Roman" w:hAnsi="Times New Roman" w:cs="Times New Roman"/>
          <w:sz w:val="26"/>
          <w:szCs w:val="26"/>
        </w:rPr>
        <w:t>n</w:t>
      </w:r>
      <w:r w:rsidR="005D058F">
        <w:rPr>
          <w:rFonts w:ascii="Times New Roman" w:hAnsi="Times New Roman" w:cs="Times New Roman"/>
          <w:sz w:val="26"/>
          <w:szCs w:val="26"/>
        </w:rPr>
        <w:t>el</w:t>
      </w:r>
      <w:r w:rsidR="00D726C0">
        <w:rPr>
          <w:rFonts w:ascii="Times New Roman" w:hAnsi="Times New Roman" w:cs="Times New Roman"/>
          <w:sz w:val="26"/>
          <w:szCs w:val="26"/>
        </w:rPr>
        <w:t xml:space="preserve">la componente obbligazionaria domestica, </w:t>
      </w:r>
      <w:r w:rsidR="00B67DCA">
        <w:rPr>
          <w:rFonts w:ascii="Times New Roman" w:hAnsi="Times New Roman" w:cs="Times New Roman"/>
          <w:sz w:val="26"/>
          <w:szCs w:val="26"/>
        </w:rPr>
        <w:t xml:space="preserve">al fine di incorporare la tendenza dell’investitore italiano a </w:t>
      </w:r>
      <w:r w:rsidR="005D058F">
        <w:rPr>
          <w:rFonts w:ascii="Times New Roman" w:hAnsi="Times New Roman" w:cs="Times New Roman"/>
          <w:sz w:val="26"/>
          <w:szCs w:val="26"/>
        </w:rPr>
        <w:t>limitare</w:t>
      </w:r>
      <w:r w:rsidR="00B67DCA">
        <w:rPr>
          <w:rFonts w:ascii="Times New Roman" w:hAnsi="Times New Roman" w:cs="Times New Roman"/>
          <w:sz w:val="26"/>
          <w:szCs w:val="26"/>
        </w:rPr>
        <w:t xml:space="preserve"> l’esposizione in valuta estera, prediligendo</w:t>
      </w:r>
      <w:r w:rsidR="00D726C0">
        <w:rPr>
          <w:rFonts w:ascii="Times New Roman" w:hAnsi="Times New Roman" w:cs="Times New Roman"/>
          <w:sz w:val="26"/>
          <w:szCs w:val="26"/>
        </w:rPr>
        <w:t xml:space="preserve"> </w:t>
      </w:r>
      <w:r w:rsidR="00B67DCA">
        <w:rPr>
          <w:rFonts w:ascii="Times New Roman" w:hAnsi="Times New Roman" w:cs="Times New Roman"/>
          <w:sz w:val="26"/>
          <w:szCs w:val="26"/>
        </w:rPr>
        <w:t xml:space="preserve">investimenti obbligazionari denominati in euro. La </w:t>
      </w:r>
      <w:r w:rsidR="00C349D7">
        <w:rPr>
          <w:rFonts w:ascii="Times New Roman" w:hAnsi="Times New Roman" w:cs="Times New Roman"/>
          <w:sz w:val="26"/>
          <w:szCs w:val="26"/>
        </w:rPr>
        <w:t>T</w:t>
      </w:r>
      <w:r w:rsidR="00B67DCA">
        <w:rPr>
          <w:rFonts w:ascii="Times New Roman" w:hAnsi="Times New Roman" w:cs="Times New Roman"/>
          <w:sz w:val="26"/>
          <w:szCs w:val="26"/>
        </w:rPr>
        <w:t>abella</w:t>
      </w:r>
      <w:r w:rsidR="00C349D7">
        <w:rPr>
          <w:rFonts w:ascii="Times New Roman" w:hAnsi="Times New Roman" w:cs="Times New Roman"/>
          <w:sz w:val="26"/>
          <w:szCs w:val="26"/>
        </w:rPr>
        <w:t xml:space="preserve"> </w:t>
      </w:r>
      <w:r w:rsidR="00CA3690">
        <w:rPr>
          <w:rFonts w:ascii="Times New Roman" w:hAnsi="Times New Roman" w:cs="Times New Roman"/>
          <w:sz w:val="26"/>
          <w:szCs w:val="26"/>
        </w:rPr>
        <w:t>3</w:t>
      </w:r>
      <w:r w:rsidR="00B67DCA">
        <w:rPr>
          <w:rFonts w:ascii="Times New Roman" w:hAnsi="Times New Roman" w:cs="Times New Roman"/>
          <w:sz w:val="26"/>
          <w:szCs w:val="26"/>
        </w:rPr>
        <w:t xml:space="preserve"> </w:t>
      </w:r>
      <w:r w:rsidR="00C349D7">
        <w:rPr>
          <w:rFonts w:ascii="Times New Roman" w:hAnsi="Times New Roman" w:cs="Times New Roman"/>
          <w:sz w:val="26"/>
          <w:szCs w:val="26"/>
        </w:rPr>
        <w:t xml:space="preserve">mostra la composizione dei portafogli </w:t>
      </w:r>
      <w:r w:rsidR="005D058F">
        <w:rPr>
          <w:rFonts w:ascii="Times New Roman" w:hAnsi="Times New Roman" w:cs="Times New Roman"/>
          <w:sz w:val="26"/>
          <w:szCs w:val="26"/>
        </w:rPr>
        <w:t xml:space="preserve">neutrali </w:t>
      </w:r>
      <w:r w:rsidR="005D058F" w:rsidRPr="005D058F">
        <w:rPr>
          <w:rFonts w:ascii="Times New Roman" w:hAnsi="Times New Roman" w:cs="Times New Roman"/>
          <w:i/>
          <w:sz w:val="26"/>
          <w:szCs w:val="26"/>
        </w:rPr>
        <w:t xml:space="preserve">home </w:t>
      </w:r>
      <w:proofErr w:type="spellStart"/>
      <w:r w:rsidR="005D058F" w:rsidRPr="005D058F">
        <w:rPr>
          <w:rFonts w:ascii="Times New Roman" w:hAnsi="Times New Roman" w:cs="Times New Roman"/>
          <w:i/>
          <w:sz w:val="26"/>
          <w:szCs w:val="26"/>
        </w:rPr>
        <w:t>bia</w:t>
      </w:r>
      <w:r w:rsidR="005D058F">
        <w:rPr>
          <w:rFonts w:ascii="Times New Roman" w:hAnsi="Times New Roman" w:cs="Times New Roman"/>
          <w:i/>
          <w:sz w:val="26"/>
          <w:szCs w:val="26"/>
        </w:rPr>
        <w:t>s</w:t>
      </w:r>
      <w:proofErr w:type="spellEnd"/>
      <w:r w:rsidR="005D058F" w:rsidRPr="005D058F">
        <w:rPr>
          <w:rFonts w:ascii="Times New Roman" w:hAnsi="Times New Roman" w:cs="Times New Roman"/>
          <w:i/>
          <w:sz w:val="26"/>
          <w:szCs w:val="26"/>
        </w:rPr>
        <w:t xml:space="preserve"> </w:t>
      </w:r>
      <w:proofErr w:type="spellStart"/>
      <w:r w:rsidR="005D058F" w:rsidRPr="005D058F">
        <w:rPr>
          <w:rFonts w:ascii="Times New Roman" w:hAnsi="Times New Roman" w:cs="Times New Roman"/>
          <w:i/>
          <w:sz w:val="26"/>
          <w:szCs w:val="26"/>
        </w:rPr>
        <w:t>adjusted</w:t>
      </w:r>
      <w:proofErr w:type="spellEnd"/>
      <w:r w:rsidR="00C349D7">
        <w:rPr>
          <w:rFonts w:ascii="Times New Roman" w:hAnsi="Times New Roman" w:cs="Times New Roman"/>
          <w:sz w:val="26"/>
          <w:szCs w:val="26"/>
        </w:rPr>
        <w:t xml:space="preserve"> e dà evidenza degli indici di mercato (</w:t>
      </w:r>
      <w:r w:rsidR="00575FE6">
        <w:rPr>
          <w:rFonts w:ascii="Times New Roman" w:hAnsi="Times New Roman" w:cs="Times New Roman"/>
          <w:sz w:val="26"/>
          <w:szCs w:val="26"/>
        </w:rPr>
        <w:t xml:space="preserve">tutti </w:t>
      </w:r>
      <w:proofErr w:type="spellStart"/>
      <w:r w:rsidR="00C349D7" w:rsidRPr="00C349D7">
        <w:rPr>
          <w:rFonts w:ascii="Times New Roman" w:hAnsi="Times New Roman" w:cs="Times New Roman"/>
          <w:i/>
          <w:sz w:val="26"/>
          <w:szCs w:val="26"/>
        </w:rPr>
        <w:t>total</w:t>
      </w:r>
      <w:proofErr w:type="spellEnd"/>
      <w:r w:rsidR="00C349D7" w:rsidRPr="00C349D7">
        <w:rPr>
          <w:rFonts w:ascii="Times New Roman" w:hAnsi="Times New Roman" w:cs="Times New Roman"/>
          <w:i/>
          <w:sz w:val="26"/>
          <w:szCs w:val="26"/>
        </w:rPr>
        <w:t xml:space="preserve"> </w:t>
      </w:r>
      <w:proofErr w:type="spellStart"/>
      <w:r w:rsidR="00C349D7" w:rsidRPr="00C349D7">
        <w:rPr>
          <w:rFonts w:ascii="Times New Roman" w:hAnsi="Times New Roman" w:cs="Times New Roman"/>
          <w:i/>
          <w:sz w:val="26"/>
          <w:szCs w:val="26"/>
        </w:rPr>
        <w:t>return</w:t>
      </w:r>
      <w:proofErr w:type="spellEnd"/>
      <w:r w:rsidR="003453EA">
        <w:rPr>
          <w:rFonts w:ascii="Times New Roman" w:hAnsi="Times New Roman" w:cs="Times New Roman"/>
          <w:sz w:val="26"/>
          <w:szCs w:val="26"/>
        </w:rPr>
        <w:t>, in modo</w:t>
      </w:r>
      <w:r w:rsidR="00C349D7">
        <w:rPr>
          <w:rFonts w:ascii="Times New Roman" w:hAnsi="Times New Roman" w:cs="Times New Roman"/>
          <w:sz w:val="26"/>
          <w:szCs w:val="26"/>
        </w:rPr>
        <w:t xml:space="preserve"> </w:t>
      </w:r>
      <w:r w:rsidR="003453EA">
        <w:rPr>
          <w:rFonts w:ascii="Times New Roman" w:hAnsi="Times New Roman" w:cs="Times New Roman"/>
          <w:sz w:val="26"/>
          <w:szCs w:val="26"/>
        </w:rPr>
        <w:t>da</w:t>
      </w:r>
      <w:r w:rsidR="00C349D7">
        <w:rPr>
          <w:rFonts w:ascii="Times New Roman" w:hAnsi="Times New Roman" w:cs="Times New Roman"/>
          <w:sz w:val="26"/>
          <w:szCs w:val="26"/>
        </w:rPr>
        <w:t xml:space="preserve"> incorporare l’effetto reddituale riconducibile </w:t>
      </w:r>
      <w:r w:rsidR="00492581">
        <w:rPr>
          <w:rFonts w:ascii="Times New Roman" w:hAnsi="Times New Roman" w:cs="Times New Roman"/>
          <w:sz w:val="26"/>
          <w:szCs w:val="26"/>
        </w:rPr>
        <w:t>alle</w:t>
      </w:r>
      <w:r w:rsidR="003453EA">
        <w:rPr>
          <w:rFonts w:ascii="Times New Roman" w:hAnsi="Times New Roman" w:cs="Times New Roman"/>
          <w:sz w:val="26"/>
          <w:szCs w:val="26"/>
        </w:rPr>
        <w:t xml:space="preserve"> cedole e ai dividendi staccati dai titoli</w:t>
      </w:r>
      <w:r w:rsidR="00C349D7">
        <w:rPr>
          <w:rFonts w:ascii="Times New Roman" w:hAnsi="Times New Roman" w:cs="Times New Roman"/>
          <w:sz w:val="26"/>
          <w:szCs w:val="26"/>
        </w:rPr>
        <w:t xml:space="preserve">) utilizzati </w:t>
      </w:r>
      <w:r w:rsidR="000A0615">
        <w:rPr>
          <w:rFonts w:ascii="Times New Roman" w:hAnsi="Times New Roman" w:cs="Times New Roman"/>
          <w:sz w:val="26"/>
          <w:szCs w:val="26"/>
        </w:rPr>
        <w:t>al fine di</w:t>
      </w:r>
      <w:r w:rsidR="00C349D7">
        <w:rPr>
          <w:rFonts w:ascii="Times New Roman" w:hAnsi="Times New Roman" w:cs="Times New Roman"/>
          <w:sz w:val="26"/>
          <w:szCs w:val="26"/>
        </w:rPr>
        <w:t xml:space="preserve"> </w:t>
      </w:r>
      <w:r w:rsidR="005D058F">
        <w:rPr>
          <w:rFonts w:ascii="Times New Roman" w:hAnsi="Times New Roman" w:cs="Times New Roman"/>
          <w:sz w:val="26"/>
          <w:szCs w:val="26"/>
        </w:rPr>
        <w:t>ricostruire le serie storiche dei rendimenti</w:t>
      </w:r>
      <w:r w:rsidR="00C349D7">
        <w:rPr>
          <w:rFonts w:ascii="Times New Roman" w:hAnsi="Times New Roman" w:cs="Times New Roman"/>
          <w:sz w:val="26"/>
          <w:szCs w:val="26"/>
        </w:rPr>
        <w:t xml:space="preserve"> </w:t>
      </w:r>
      <w:r w:rsidR="005D058F">
        <w:rPr>
          <w:rFonts w:ascii="Times New Roman" w:hAnsi="Times New Roman" w:cs="Times New Roman"/>
          <w:sz w:val="26"/>
          <w:szCs w:val="26"/>
        </w:rPr>
        <w:t>delle</w:t>
      </w:r>
      <w:r w:rsidR="00C349D7">
        <w:rPr>
          <w:rFonts w:ascii="Times New Roman" w:hAnsi="Times New Roman" w:cs="Times New Roman"/>
          <w:sz w:val="26"/>
          <w:szCs w:val="26"/>
        </w:rPr>
        <w:t xml:space="preserve"> asset class. </w:t>
      </w:r>
      <w:r w:rsidR="001B1F26">
        <w:rPr>
          <w:rFonts w:ascii="Times New Roman" w:hAnsi="Times New Roman" w:cs="Times New Roman"/>
          <w:sz w:val="26"/>
          <w:szCs w:val="26"/>
        </w:rPr>
        <w:t xml:space="preserve">Al fine di </w:t>
      </w:r>
      <w:r w:rsidR="005D058F">
        <w:rPr>
          <w:rFonts w:ascii="Times New Roman" w:hAnsi="Times New Roman" w:cs="Times New Roman"/>
          <w:sz w:val="26"/>
          <w:szCs w:val="26"/>
        </w:rPr>
        <w:t>creare un ventaglio di portafogli</w:t>
      </w:r>
      <w:r w:rsidR="001B1F26">
        <w:rPr>
          <w:rFonts w:ascii="Times New Roman" w:hAnsi="Times New Roman" w:cs="Times New Roman"/>
          <w:sz w:val="26"/>
          <w:szCs w:val="26"/>
        </w:rPr>
        <w:t xml:space="preserve"> </w:t>
      </w:r>
      <w:r w:rsidR="005D058F">
        <w:rPr>
          <w:rFonts w:ascii="Times New Roman" w:hAnsi="Times New Roman" w:cs="Times New Roman"/>
          <w:sz w:val="26"/>
          <w:szCs w:val="26"/>
        </w:rPr>
        <w:t>con livelli di rischio via via crescenti</w:t>
      </w:r>
      <w:r w:rsidR="001B1F26">
        <w:rPr>
          <w:rFonts w:ascii="Times New Roman" w:hAnsi="Times New Roman" w:cs="Times New Roman"/>
          <w:sz w:val="26"/>
          <w:szCs w:val="26"/>
        </w:rPr>
        <w:t xml:space="preserve">, si è </w:t>
      </w:r>
      <w:r w:rsidR="005D058F">
        <w:rPr>
          <w:rFonts w:ascii="Times New Roman" w:hAnsi="Times New Roman" w:cs="Times New Roman"/>
          <w:sz w:val="26"/>
          <w:szCs w:val="26"/>
        </w:rPr>
        <w:t>progressivamente</w:t>
      </w:r>
      <w:r w:rsidR="001B1F26">
        <w:rPr>
          <w:rFonts w:ascii="Times New Roman" w:hAnsi="Times New Roman" w:cs="Times New Roman"/>
          <w:sz w:val="26"/>
          <w:szCs w:val="26"/>
        </w:rPr>
        <w:t xml:space="preserve"> aumentata la componente azionaria </w:t>
      </w:r>
      <w:r w:rsidR="003531EB">
        <w:rPr>
          <w:rFonts w:ascii="Times New Roman" w:hAnsi="Times New Roman" w:cs="Times New Roman"/>
          <w:sz w:val="26"/>
          <w:szCs w:val="26"/>
        </w:rPr>
        <w:t>e ridotta</w:t>
      </w:r>
      <w:r w:rsidR="001B1F26">
        <w:rPr>
          <w:rFonts w:ascii="Times New Roman" w:hAnsi="Times New Roman" w:cs="Times New Roman"/>
          <w:sz w:val="26"/>
          <w:szCs w:val="26"/>
        </w:rPr>
        <w:t xml:space="preserve"> quella obbligazionaria </w:t>
      </w:r>
      <w:r w:rsidR="00492581">
        <w:rPr>
          <w:rFonts w:ascii="Times New Roman" w:hAnsi="Times New Roman" w:cs="Times New Roman"/>
          <w:sz w:val="26"/>
          <w:szCs w:val="26"/>
        </w:rPr>
        <w:t>dove quest’ultima</w:t>
      </w:r>
      <w:r w:rsidR="001B1F26">
        <w:rPr>
          <w:rFonts w:ascii="Times New Roman" w:hAnsi="Times New Roman" w:cs="Times New Roman"/>
          <w:sz w:val="26"/>
          <w:szCs w:val="26"/>
        </w:rPr>
        <w:t xml:space="preserve"> mantiene</w:t>
      </w:r>
      <w:r w:rsidR="00492581">
        <w:rPr>
          <w:rFonts w:ascii="Times New Roman" w:hAnsi="Times New Roman" w:cs="Times New Roman"/>
          <w:sz w:val="26"/>
          <w:szCs w:val="26"/>
        </w:rPr>
        <w:t>, per</w:t>
      </w:r>
      <w:r w:rsidR="005D058F">
        <w:rPr>
          <w:rFonts w:ascii="Times New Roman" w:hAnsi="Times New Roman" w:cs="Times New Roman"/>
          <w:sz w:val="26"/>
          <w:szCs w:val="26"/>
        </w:rPr>
        <w:t xml:space="preserve"> tutti i portafogli</w:t>
      </w:r>
      <w:r w:rsidR="001B1F26">
        <w:rPr>
          <w:rFonts w:ascii="Times New Roman" w:hAnsi="Times New Roman" w:cs="Times New Roman"/>
          <w:sz w:val="26"/>
          <w:szCs w:val="26"/>
        </w:rPr>
        <w:t xml:space="preserve">, </w:t>
      </w:r>
      <w:r w:rsidR="003531EB">
        <w:rPr>
          <w:rFonts w:ascii="Times New Roman" w:hAnsi="Times New Roman" w:cs="Times New Roman"/>
          <w:sz w:val="26"/>
          <w:szCs w:val="26"/>
        </w:rPr>
        <w:t>la medesima</w:t>
      </w:r>
      <w:r w:rsidR="001B1F26">
        <w:rPr>
          <w:rFonts w:ascii="Times New Roman" w:hAnsi="Times New Roman" w:cs="Times New Roman"/>
          <w:sz w:val="26"/>
          <w:szCs w:val="26"/>
        </w:rPr>
        <w:t xml:space="preserve"> composizione </w:t>
      </w:r>
      <w:proofErr w:type="gramStart"/>
      <w:r w:rsidR="001B1F26">
        <w:rPr>
          <w:rFonts w:ascii="Times New Roman" w:hAnsi="Times New Roman" w:cs="Times New Roman"/>
          <w:sz w:val="26"/>
          <w:szCs w:val="26"/>
        </w:rPr>
        <w:t>infra-gruppo</w:t>
      </w:r>
      <w:proofErr w:type="gramEnd"/>
      <w:r w:rsidR="007D7216">
        <w:rPr>
          <w:rStyle w:val="Rimandonotaapidipagina"/>
          <w:rFonts w:ascii="Times New Roman" w:hAnsi="Times New Roman" w:cs="Times New Roman"/>
          <w:sz w:val="26"/>
          <w:szCs w:val="26"/>
        </w:rPr>
        <w:footnoteReference w:id="13"/>
      </w:r>
      <w:r w:rsidR="001B1F26">
        <w:rPr>
          <w:rFonts w:ascii="Times New Roman" w:hAnsi="Times New Roman" w:cs="Times New Roman"/>
          <w:sz w:val="26"/>
          <w:szCs w:val="26"/>
        </w:rPr>
        <w:t xml:space="preserve">. </w:t>
      </w:r>
      <w:r w:rsidR="00C349D7">
        <w:rPr>
          <w:rFonts w:ascii="Times New Roman" w:hAnsi="Times New Roman" w:cs="Times New Roman"/>
          <w:sz w:val="26"/>
          <w:szCs w:val="26"/>
        </w:rPr>
        <w:t xml:space="preserve">Le serie storiche degli </w:t>
      </w:r>
      <w:r w:rsidR="00C349D7">
        <w:rPr>
          <w:rFonts w:ascii="Times New Roman" w:hAnsi="Times New Roman" w:cs="Times New Roman"/>
          <w:sz w:val="26"/>
          <w:szCs w:val="26"/>
        </w:rPr>
        <w:lastRenderedPageBreak/>
        <w:t xml:space="preserve">indici, tutte denominate in euro </w:t>
      </w:r>
      <w:r w:rsidR="000A0615">
        <w:rPr>
          <w:rFonts w:ascii="Times New Roman" w:hAnsi="Times New Roman" w:cs="Times New Roman"/>
          <w:sz w:val="26"/>
          <w:szCs w:val="26"/>
        </w:rPr>
        <w:t>per</w:t>
      </w:r>
      <w:r w:rsidR="00C349D7">
        <w:rPr>
          <w:rFonts w:ascii="Times New Roman" w:hAnsi="Times New Roman" w:cs="Times New Roman"/>
          <w:sz w:val="26"/>
          <w:szCs w:val="26"/>
        </w:rPr>
        <w:t xml:space="preserve"> incorporare l’effetto cambio, sono </w:t>
      </w:r>
      <w:r w:rsidR="002F7DE1">
        <w:rPr>
          <w:rFonts w:ascii="Times New Roman" w:hAnsi="Times New Roman" w:cs="Times New Roman"/>
          <w:sz w:val="26"/>
          <w:szCs w:val="26"/>
        </w:rPr>
        <w:t xml:space="preserve">di fonte </w:t>
      </w:r>
      <w:bookmarkStart w:id="7" w:name="OLE_LINK142"/>
      <w:bookmarkStart w:id="8" w:name="OLE_LINK143"/>
      <w:r w:rsidR="002F7DE1" w:rsidRPr="00575FE6">
        <w:rPr>
          <w:rFonts w:ascii="Times New Roman" w:hAnsi="Times New Roman" w:cs="Times New Roman"/>
          <w:i/>
          <w:sz w:val="26"/>
          <w:szCs w:val="26"/>
        </w:rPr>
        <w:t xml:space="preserve">Thomson Reuters </w:t>
      </w:r>
      <w:proofErr w:type="spellStart"/>
      <w:r w:rsidR="002F7DE1" w:rsidRPr="00575FE6">
        <w:rPr>
          <w:rFonts w:ascii="Times New Roman" w:hAnsi="Times New Roman" w:cs="Times New Roman"/>
          <w:i/>
          <w:sz w:val="26"/>
          <w:szCs w:val="26"/>
        </w:rPr>
        <w:t>Datastream</w:t>
      </w:r>
      <w:bookmarkEnd w:id="7"/>
      <w:bookmarkEnd w:id="8"/>
      <w:proofErr w:type="spellEnd"/>
      <w:r w:rsidR="002F7DE1" w:rsidRPr="00575FE6">
        <w:rPr>
          <w:rFonts w:ascii="Times New Roman" w:hAnsi="Times New Roman" w:cs="Times New Roman"/>
          <w:sz w:val="26"/>
          <w:szCs w:val="26"/>
        </w:rPr>
        <w:t>.</w:t>
      </w:r>
    </w:p>
    <w:p w14:paraId="02D62CEB" w14:textId="77777777" w:rsidR="006526E0" w:rsidRDefault="006526E0" w:rsidP="00C619BC">
      <w:pPr>
        <w:spacing w:after="0" w:line="360" w:lineRule="auto"/>
        <w:jc w:val="both"/>
        <w:rPr>
          <w:rFonts w:ascii="Times New Roman" w:hAnsi="Times New Roman" w:cs="Times New Roman"/>
          <w:sz w:val="26"/>
          <w:szCs w:val="26"/>
        </w:rPr>
      </w:pPr>
    </w:p>
    <w:p w14:paraId="6D85E426" w14:textId="491A81A1" w:rsidR="00C349D7" w:rsidRDefault="00C349D7" w:rsidP="00C349D7">
      <w:pPr>
        <w:spacing w:after="0" w:line="240" w:lineRule="auto"/>
        <w:ind w:left="1276" w:hanging="1276"/>
        <w:jc w:val="both"/>
        <w:rPr>
          <w:rFonts w:ascii="Times New Roman" w:hAnsi="Times New Roman" w:cs="Times New Roman"/>
          <w:b/>
          <w:sz w:val="26"/>
          <w:szCs w:val="26"/>
        </w:rPr>
      </w:pPr>
      <w:r w:rsidRPr="00103341">
        <w:rPr>
          <w:rFonts w:ascii="Times New Roman" w:hAnsi="Times New Roman" w:cs="Times New Roman"/>
          <w:b/>
          <w:sz w:val="26"/>
          <w:szCs w:val="26"/>
        </w:rPr>
        <w:t xml:space="preserve">Tabella </w:t>
      </w:r>
      <w:r w:rsidR="00CA3690">
        <w:rPr>
          <w:rFonts w:ascii="Times New Roman" w:hAnsi="Times New Roman" w:cs="Times New Roman"/>
          <w:b/>
          <w:sz w:val="26"/>
          <w:szCs w:val="26"/>
        </w:rPr>
        <w:t>3</w:t>
      </w:r>
      <w:r w:rsidRPr="00103341">
        <w:rPr>
          <w:rFonts w:ascii="Times New Roman" w:hAnsi="Times New Roman" w:cs="Times New Roman"/>
          <w:b/>
          <w:sz w:val="26"/>
          <w:szCs w:val="26"/>
        </w:rPr>
        <w:t>:</w:t>
      </w:r>
      <w:r>
        <w:rPr>
          <w:rFonts w:ascii="Times New Roman" w:hAnsi="Times New Roman" w:cs="Times New Roman"/>
          <w:b/>
          <w:sz w:val="26"/>
          <w:szCs w:val="26"/>
        </w:rPr>
        <w:tab/>
        <w:t xml:space="preserve">La composizione dei portafogli </w:t>
      </w:r>
      <w:r w:rsidRPr="00C349D7">
        <w:rPr>
          <w:rFonts w:ascii="Times New Roman" w:hAnsi="Times New Roman" w:cs="Times New Roman"/>
          <w:b/>
          <w:i/>
          <w:sz w:val="26"/>
          <w:szCs w:val="26"/>
        </w:rPr>
        <w:t xml:space="preserve">market </w:t>
      </w:r>
      <w:proofErr w:type="spellStart"/>
      <w:r w:rsidRPr="00C349D7">
        <w:rPr>
          <w:rFonts w:ascii="Times New Roman" w:hAnsi="Times New Roman" w:cs="Times New Roman"/>
          <w:b/>
          <w:i/>
          <w:sz w:val="26"/>
          <w:szCs w:val="26"/>
        </w:rPr>
        <w:t>neutral</w:t>
      </w:r>
      <w:proofErr w:type="spellEnd"/>
      <w:r w:rsidRPr="00C349D7">
        <w:rPr>
          <w:rFonts w:ascii="Times New Roman" w:hAnsi="Times New Roman" w:cs="Times New Roman"/>
          <w:b/>
          <w:i/>
          <w:sz w:val="26"/>
          <w:szCs w:val="26"/>
        </w:rPr>
        <w:t xml:space="preserve"> home </w:t>
      </w:r>
      <w:proofErr w:type="spellStart"/>
      <w:r w:rsidRPr="00C349D7">
        <w:rPr>
          <w:rFonts w:ascii="Times New Roman" w:hAnsi="Times New Roman" w:cs="Times New Roman"/>
          <w:b/>
          <w:i/>
          <w:sz w:val="26"/>
          <w:szCs w:val="26"/>
        </w:rPr>
        <w:t>bias</w:t>
      </w:r>
      <w:proofErr w:type="spellEnd"/>
      <w:r w:rsidRPr="00C349D7">
        <w:rPr>
          <w:rFonts w:ascii="Times New Roman" w:hAnsi="Times New Roman" w:cs="Times New Roman"/>
          <w:b/>
          <w:i/>
          <w:sz w:val="26"/>
          <w:szCs w:val="26"/>
        </w:rPr>
        <w:t xml:space="preserve"> </w:t>
      </w:r>
      <w:proofErr w:type="spellStart"/>
      <w:r w:rsidRPr="00C349D7">
        <w:rPr>
          <w:rFonts w:ascii="Times New Roman" w:hAnsi="Times New Roman" w:cs="Times New Roman"/>
          <w:b/>
          <w:i/>
          <w:sz w:val="26"/>
          <w:szCs w:val="26"/>
        </w:rPr>
        <w:t>adjusted</w:t>
      </w:r>
      <w:proofErr w:type="spellEnd"/>
    </w:p>
    <w:p w14:paraId="18EBD3CF" w14:textId="2A296944" w:rsidR="00BA76A8" w:rsidRDefault="00BA76A8" w:rsidP="00C349D7">
      <w:pPr>
        <w:spacing w:after="0" w:line="240" w:lineRule="auto"/>
        <w:ind w:left="1276" w:hanging="1276"/>
        <w:jc w:val="both"/>
        <w:rPr>
          <w:rFonts w:ascii="Times New Roman" w:hAnsi="Times New Roman" w:cs="Times New Roman"/>
          <w:b/>
          <w:sz w:val="26"/>
          <w:szCs w:val="26"/>
        </w:rPr>
      </w:pPr>
    </w:p>
    <w:p w14:paraId="11B830F8" w14:textId="77777777" w:rsidR="00BA76A8" w:rsidRDefault="00BA76A8" w:rsidP="00C349D7">
      <w:pPr>
        <w:spacing w:after="0" w:line="240" w:lineRule="auto"/>
        <w:ind w:left="1276" w:hanging="1276"/>
        <w:jc w:val="both"/>
        <w:rPr>
          <w:rFonts w:ascii="Times New Roman" w:hAnsi="Times New Roman" w:cs="Times New Roman"/>
          <w:b/>
          <w:sz w:val="26"/>
          <w:szCs w:val="26"/>
        </w:rPr>
      </w:pPr>
    </w:p>
    <w:p w14:paraId="448E6929" w14:textId="77777777" w:rsidR="00C349D7" w:rsidRDefault="005E1AAE" w:rsidP="00CE168B">
      <w:pPr>
        <w:spacing w:after="0" w:line="360" w:lineRule="auto"/>
        <w:ind w:left="1276" w:hanging="1276"/>
        <w:jc w:val="center"/>
        <w:rPr>
          <w:rFonts w:ascii="Times New Roman" w:hAnsi="Times New Roman" w:cs="Times New Roman"/>
          <w:sz w:val="26"/>
          <w:szCs w:val="26"/>
        </w:rPr>
      </w:pPr>
      <w:r w:rsidRPr="005E1AAE">
        <w:rPr>
          <w:noProof/>
          <w:lang w:eastAsia="it-IT"/>
        </w:rPr>
        <w:drawing>
          <wp:inline distT="0" distB="0" distL="0" distR="0" wp14:anchorId="043BE17D" wp14:editId="0D780DE8">
            <wp:extent cx="6117590" cy="239395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340" cy="2395026"/>
                    </a:xfrm>
                    <a:prstGeom prst="rect">
                      <a:avLst/>
                    </a:prstGeom>
                    <a:noFill/>
                    <a:ln>
                      <a:noFill/>
                    </a:ln>
                  </pic:spPr>
                </pic:pic>
              </a:graphicData>
            </a:graphic>
          </wp:inline>
        </w:drawing>
      </w:r>
    </w:p>
    <w:p w14:paraId="26653545" w14:textId="77777777" w:rsidR="00C029BD" w:rsidRDefault="00C029BD" w:rsidP="00C029BD">
      <w:pPr>
        <w:spacing w:after="0" w:line="360" w:lineRule="auto"/>
        <w:jc w:val="both"/>
        <w:rPr>
          <w:rFonts w:ascii="Times New Roman" w:hAnsi="Times New Roman" w:cs="Times New Roman"/>
          <w:sz w:val="26"/>
          <w:szCs w:val="26"/>
        </w:rPr>
      </w:pPr>
    </w:p>
    <w:p w14:paraId="13B956B6" w14:textId="77777777" w:rsidR="00C029BD" w:rsidRDefault="00C029BD" w:rsidP="00C029BD">
      <w:pPr>
        <w:spacing w:after="0" w:line="360" w:lineRule="auto"/>
        <w:jc w:val="both"/>
        <w:rPr>
          <w:rFonts w:ascii="Times New Roman" w:hAnsi="Times New Roman" w:cs="Times New Roman"/>
          <w:sz w:val="26"/>
          <w:szCs w:val="26"/>
        </w:rPr>
      </w:pPr>
      <w:r w:rsidRPr="00575FE6">
        <w:rPr>
          <w:rFonts w:ascii="Times New Roman" w:hAnsi="Times New Roman" w:cs="Times New Roman"/>
          <w:sz w:val="26"/>
          <w:szCs w:val="26"/>
        </w:rPr>
        <w:t>L</w:t>
      </w:r>
      <w:r>
        <w:rPr>
          <w:rFonts w:ascii="Times New Roman" w:hAnsi="Times New Roman" w:cs="Times New Roman"/>
          <w:sz w:val="26"/>
          <w:szCs w:val="26"/>
        </w:rPr>
        <w:t>’analisi è di facile interpretazione: se a parità di rischio un portafoglio neutrale (corretto per l’</w:t>
      </w:r>
      <w:r w:rsidRPr="00CE168B">
        <w:rPr>
          <w:rFonts w:ascii="Times New Roman" w:hAnsi="Times New Roman" w:cs="Times New Roman"/>
          <w:i/>
          <w:sz w:val="26"/>
          <w:szCs w:val="26"/>
        </w:rPr>
        <w:t xml:space="preserve">home </w:t>
      </w:r>
      <w:proofErr w:type="spellStart"/>
      <w:r w:rsidRPr="00CE168B">
        <w:rPr>
          <w:rFonts w:ascii="Times New Roman" w:hAnsi="Times New Roman" w:cs="Times New Roman"/>
          <w:i/>
          <w:sz w:val="26"/>
          <w:szCs w:val="26"/>
        </w:rPr>
        <w:t>bias</w:t>
      </w:r>
      <w:proofErr w:type="spellEnd"/>
      <w:r>
        <w:rPr>
          <w:rFonts w:ascii="Times New Roman" w:hAnsi="Times New Roman" w:cs="Times New Roman"/>
          <w:sz w:val="26"/>
          <w:szCs w:val="26"/>
        </w:rPr>
        <w:t xml:space="preserve">) ha performato meglio di un fondo flessibile, quest’ultimo non può essere giudicato positivamente, in quanto un investitore che si fosse limitato a replicare un portafoglio neutrale (riducendo l’esposizione valutaria estera complessiva), avrebbe conseguito un risultato </w:t>
      </w:r>
      <w:r w:rsidRPr="00CE168B">
        <w:rPr>
          <w:rFonts w:ascii="Times New Roman" w:hAnsi="Times New Roman" w:cs="Times New Roman"/>
          <w:i/>
          <w:sz w:val="26"/>
          <w:szCs w:val="26"/>
        </w:rPr>
        <w:t xml:space="preserve">risk </w:t>
      </w:r>
      <w:proofErr w:type="spellStart"/>
      <w:r w:rsidRPr="00CE168B">
        <w:rPr>
          <w:rFonts w:ascii="Times New Roman" w:hAnsi="Times New Roman" w:cs="Times New Roman"/>
          <w:i/>
          <w:sz w:val="26"/>
          <w:szCs w:val="26"/>
        </w:rPr>
        <w:t>adjusted</w:t>
      </w:r>
      <w:proofErr w:type="spellEnd"/>
      <w:r>
        <w:rPr>
          <w:rFonts w:ascii="Times New Roman" w:hAnsi="Times New Roman" w:cs="Times New Roman"/>
          <w:sz w:val="26"/>
          <w:szCs w:val="26"/>
        </w:rPr>
        <w:t xml:space="preserve"> migliore.</w:t>
      </w:r>
    </w:p>
    <w:p w14:paraId="484031E6" w14:textId="77777777" w:rsidR="00575FE6" w:rsidRDefault="00575FE6" w:rsidP="00C349D7">
      <w:pPr>
        <w:spacing w:after="0" w:line="360" w:lineRule="auto"/>
        <w:ind w:left="1276" w:hanging="1276"/>
        <w:jc w:val="both"/>
        <w:rPr>
          <w:rFonts w:ascii="Times New Roman" w:hAnsi="Times New Roman" w:cs="Times New Roman"/>
          <w:sz w:val="26"/>
          <w:szCs w:val="26"/>
        </w:rPr>
      </w:pPr>
    </w:p>
    <w:p w14:paraId="61C71DB8" w14:textId="5CD277EE" w:rsidR="00C349D7" w:rsidRPr="00575FE6" w:rsidRDefault="000A0615" w:rsidP="00C349D7">
      <w:pPr>
        <w:spacing w:after="0" w:line="360" w:lineRule="auto"/>
        <w:jc w:val="both"/>
        <w:rPr>
          <w:rFonts w:ascii="Times New Roman" w:hAnsi="Times New Roman" w:cs="Times New Roman"/>
          <w:sz w:val="26"/>
          <w:szCs w:val="26"/>
        </w:rPr>
      </w:pPr>
      <w:r>
        <w:rPr>
          <w:rFonts w:ascii="Times New Roman" w:hAnsi="Times New Roman" w:cs="Times New Roman"/>
          <w:sz w:val="26"/>
          <w:szCs w:val="26"/>
        </w:rPr>
        <w:t>Per</w:t>
      </w:r>
      <w:r w:rsidR="004611BF">
        <w:rPr>
          <w:rFonts w:ascii="Times New Roman" w:hAnsi="Times New Roman" w:cs="Times New Roman"/>
          <w:sz w:val="26"/>
          <w:szCs w:val="26"/>
        </w:rPr>
        <w:t xml:space="preserve"> effettuare un</w:t>
      </w:r>
      <w:r w:rsidR="00C25B5D">
        <w:rPr>
          <w:rFonts w:ascii="Times New Roman" w:hAnsi="Times New Roman" w:cs="Times New Roman"/>
          <w:sz w:val="26"/>
          <w:szCs w:val="26"/>
        </w:rPr>
        <w:t>’</w:t>
      </w:r>
      <w:r w:rsidR="004611BF">
        <w:rPr>
          <w:rFonts w:ascii="Times New Roman" w:hAnsi="Times New Roman" w:cs="Times New Roman"/>
          <w:sz w:val="26"/>
          <w:szCs w:val="26"/>
        </w:rPr>
        <w:t xml:space="preserve">analisi in grado di incorporare </w:t>
      </w:r>
      <w:r w:rsidR="00C96FC7">
        <w:rPr>
          <w:rFonts w:ascii="Times New Roman" w:hAnsi="Times New Roman" w:cs="Times New Roman"/>
          <w:sz w:val="26"/>
          <w:szCs w:val="26"/>
        </w:rPr>
        <w:t xml:space="preserve">correttamente </w:t>
      </w:r>
      <w:r w:rsidR="004611BF">
        <w:rPr>
          <w:rFonts w:ascii="Times New Roman" w:hAnsi="Times New Roman" w:cs="Times New Roman"/>
          <w:sz w:val="26"/>
          <w:szCs w:val="26"/>
        </w:rPr>
        <w:t>la variabile costi</w:t>
      </w:r>
      <w:r w:rsidR="00D3210F">
        <w:rPr>
          <w:rFonts w:ascii="Times New Roman" w:hAnsi="Times New Roman" w:cs="Times New Roman"/>
          <w:sz w:val="26"/>
          <w:szCs w:val="26"/>
        </w:rPr>
        <w:t xml:space="preserve"> di gestione</w:t>
      </w:r>
      <w:r w:rsidR="004611BF">
        <w:rPr>
          <w:rFonts w:ascii="Times New Roman" w:hAnsi="Times New Roman" w:cs="Times New Roman"/>
          <w:sz w:val="26"/>
          <w:szCs w:val="26"/>
        </w:rPr>
        <w:t xml:space="preserve">, il rendimento degli indici di mercato è stato </w:t>
      </w:r>
      <w:r w:rsidR="00D3210F">
        <w:rPr>
          <w:rFonts w:ascii="Times New Roman" w:hAnsi="Times New Roman" w:cs="Times New Roman"/>
          <w:sz w:val="26"/>
          <w:szCs w:val="26"/>
        </w:rPr>
        <w:t>decurtato di un importo pari</w:t>
      </w:r>
      <w:r w:rsidR="004611BF">
        <w:rPr>
          <w:rFonts w:ascii="Times New Roman" w:hAnsi="Times New Roman" w:cs="Times New Roman"/>
          <w:sz w:val="26"/>
          <w:szCs w:val="26"/>
        </w:rPr>
        <w:t xml:space="preserve"> </w:t>
      </w:r>
      <w:r w:rsidR="00D3210F">
        <w:rPr>
          <w:rFonts w:ascii="Times New Roman" w:hAnsi="Times New Roman" w:cs="Times New Roman"/>
          <w:sz w:val="26"/>
          <w:szCs w:val="26"/>
        </w:rPr>
        <w:t>a</w:t>
      </w:r>
      <w:r w:rsidR="004611BF">
        <w:rPr>
          <w:rFonts w:ascii="Times New Roman" w:hAnsi="Times New Roman" w:cs="Times New Roman"/>
          <w:sz w:val="26"/>
          <w:szCs w:val="26"/>
        </w:rPr>
        <w:t>lle commissioni medie</w:t>
      </w:r>
      <w:r w:rsidR="007F7C5D">
        <w:rPr>
          <w:rFonts w:ascii="Times New Roman" w:hAnsi="Times New Roman" w:cs="Times New Roman"/>
          <w:sz w:val="26"/>
          <w:szCs w:val="26"/>
        </w:rPr>
        <w:t xml:space="preserve"> </w:t>
      </w:r>
      <w:r w:rsidR="004611BF">
        <w:rPr>
          <w:rFonts w:ascii="Times New Roman" w:hAnsi="Times New Roman" w:cs="Times New Roman"/>
          <w:sz w:val="26"/>
          <w:szCs w:val="26"/>
        </w:rPr>
        <w:t xml:space="preserve">dei fondi </w:t>
      </w:r>
      <w:r w:rsidR="004611BF" w:rsidRPr="00D3210F">
        <w:rPr>
          <w:rFonts w:ascii="Times New Roman" w:hAnsi="Times New Roman" w:cs="Times New Roman"/>
          <w:i/>
          <w:sz w:val="26"/>
          <w:szCs w:val="26"/>
        </w:rPr>
        <w:t>retail</w:t>
      </w:r>
      <w:r w:rsidR="004611BF">
        <w:rPr>
          <w:rFonts w:ascii="Times New Roman" w:hAnsi="Times New Roman" w:cs="Times New Roman"/>
          <w:sz w:val="26"/>
          <w:szCs w:val="26"/>
        </w:rPr>
        <w:t xml:space="preserve"> </w:t>
      </w:r>
      <w:r w:rsidR="006526E0">
        <w:rPr>
          <w:rFonts w:ascii="Times New Roman" w:hAnsi="Times New Roman" w:cs="Times New Roman"/>
          <w:sz w:val="26"/>
          <w:szCs w:val="26"/>
        </w:rPr>
        <w:t xml:space="preserve">(cfr. Tabella 4) </w:t>
      </w:r>
      <w:r w:rsidR="00F726F0">
        <w:rPr>
          <w:rFonts w:ascii="Times New Roman" w:hAnsi="Times New Roman" w:cs="Times New Roman"/>
          <w:sz w:val="26"/>
          <w:szCs w:val="26"/>
        </w:rPr>
        <w:t>appartenenti a</w:t>
      </w:r>
      <w:r w:rsidR="004611BF">
        <w:rPr>
          <w:rFonts w:ascii="Times New Roman" w:hAnsi="Times New Roman" w:cs="Times New Roman"/>
          <w:sz w:val="26"/>
          <w:szCs w:val="26"/>
        </w:rPr>
        <w:t xml:space="preserve"> categorie coerenti con quelle dei</w:t>
      </w:r>
      <w:r w:rsidR="00D3210F">
        <w:rPr>
          <w:rFonts w:ascii="Times New Roman" w:hAnsi="Times New Roman" w:cs="Times New Roman"/>
          <w:sz w:val="26"/>
          <w:szCs w:val="26"/>
        </w:rPr>
        <w:t xml:space="preserve"> singoli</w:t>
      </w:r>
      <w:r w:rsidR="004611BF">
        <w:rPr>
          <w:rFonts w:ascii="Times New Roman" w:hAnsi="Times New Roman" w:cs="Times New Roman"/>
          <w:sz w:val="26"/>
          <w:szCs w:val="26"/>
        </w:rPr>
        <w:t xml:space="preserve"> </w:t>
      </w:r>
      <w:r w:rsidR="00C96FC7">
        <w:rPr>
          <w:rFonts w:ascii="Times New Roman" w:hAnsi="Times New Roman" w:cs="Times New Roman"/>
          <w:sz w:val="26"/>
          <w:szCs w:val="26"/>
        </w:rPr>
        <w:t>mercati</w:t>
      </w:r>
      <w:r w:rsidR="00BA76A8">
        <w:rPr>
          <w:rFonts w:ascii="Times New Roman" w:hAnsi="Times New Roman" w:cs="Times New Roman"/>
          <w:sz w:val="26"/>
          <w:szCs w:val="26"/>
        </w:rPr>
        <w:t xml:space="preserve"> con i quali sono stati costruiti </w:t>
      </w:r>
      <w:r w:rsidR="00C96FC7">
        <w:rPr>
          <w:rFonts w:ascii="Times New Roman" w:hAnsi="Times New Roman" w:cs="Times New Roman"/>
          <w:sz w:val="26"/>
          <w:szCs w:val="26"/>
        </w:rPr>
        <w:t>i</w:t>
      </w:r>
      <w:r w:rsidR="00D3210F">
        <w:rPr>
          <w:rFonts w:ascii="Times New Roman" w:hAnsi="Times New Roman" w:cs="Times New Roman"/>
          <w:sz w:val="26"/>
          <w:szCs w:val="26"/>
        </w:rPr>
        <w:t xml:space="preserve"> portafogli neutrali. </w:t>
      </w:r>
      <w:r w:rsidR="006526E0">
        <w:rPr>
          <w:rFonts w:ascii="Times New Roman" w:hAnsi="Times New Roman" w:cs="Times New Roman"/>
          <w:sz w:val="26"/>
          <w:szCs w:val="26"/>
        </w:rPr>
        <w:t>Operando i</w:t>
      </w:r>
      <w:r w:rsidR="00D3210F">
        <w:rPr>
          <w:rFonts w:ascii="Times New Roman" w:hAnsi="Times New Roman" w:cs="Times New Roman"/>
          <w:sz w:val="26"/>
          <w:szCs w:val="26"/>
        </w:rPr>
        <w:t xml:space="preserve">n tal modo, tanto i fondi quanto i portafogli in indici incorporano l’impatto economico delle commissioni pagate da un investitore </w:t>
      </w:r>
      <w:r w:rsidR="00D3210F" w:rsidRPr="009159C6">
        <w:rPr>
          <w:rFonts w:ascii="Times New Roman" w:hAnsi="Times New Roman" w:cs="Times New Roman"/>
          <w:i/>
          <w:sz w:val="26"/>
          <w:szCs w:val="26"/>
        </w:rPr>
        <w:t>retail</w:t>
      </w:r>
      <w:r w:rsidR="006526E0">
        <w:rPr>
          <w:rFonts w:ascii="Times New Roman" w:hAnsi="Times New Roman" w:cs="Times New Roman"/>
          <w:sz w:val="26"/>
          <w:szCs w:val="26"/>
        </w:rPr>
        <w:t>.</w:t>
      </w:r>
    </w:p>
    <w:p w14:paraId="2ECBFB87" w14:textId="77777777" w:rsidR="0028157B" w:rsidRDefault="0028157B" w:rsidP="0028157B">
      <w:pPr>
        <w:spacing w:after="0" w:line="360" w:lineRule="auto"/>
        <w:jc w:val="both"/>
        <w:rPr>
          <w:rFonts w:ascii="Times New Roman" w:hAnsi="Times New Roman" w:cs="Times New Roman"/>
          <w:sz w:val="26"/>
          <w:szCs w:val="26"/>
        </w:rPr>
      </w:pPr>
    </w:p>
    <w:p w14:paraId="627D4228" w14:textId="4DEF0BA1" w:rsidR="0028157B" w:rsidRDefault="0028157B" w:rsidP="0028157B">
      <w:pPr>
        <w:spacing w:after="0" w:line="240" w:lineRule="auto"/>
        <w:ind w:left="1276" w:hanging="1276"/>
        <w:jc w:val="both"/>
        <w:rPr>
          <w:rFonts w:ascii="Times New Roman" w:hAnsi="Times New Roman" w:cs="Times New Roman"/>
          <w:b/>
          <w:sz w:val="26"/>
          <w:szCs w:val="26"/>
        </w:rPr>
      </w:pPr>
      <w:r w:rsidRPr="00103341">
        <w:rPr>
          <w:rFonts w:ascii="Times New Roman" w:hAnsi="Times New Roman" w:cs="Times New Roman"/>
          <w:b/>
          <w:sz w:val="26"/>
          <w:szCs w:val="26"/>
        </w:rPr>
        <w:lastRenderedPageBreak/>
        <w:t xml:space="preserve">Tabella </w:t>
      </w:r>
      <w:r w:rsidR="00CA3690">
        <w:rPr>
          <w:rFonts w:ascii="Times New Roman" w:hAnsi="Times New Roman" w:cs="Times New Roman"/>
          <w:b/>
          <w:sz w:val="26"/>
          <w:szCs w:val="26"/>
        </w:rPr>
        <w:t>4</w:t>
      </w:r>
      <w:r w:rsidRPr="00103341">
        <w:rPr>
          <w:rFonts w:ascii="Times New Roman" w:hAnsi="Times New Roman" w:cs="Times New Roman"/>
          <w:b/>
          <w:sz w:val="26"/>
          <w:szCs w:val="26"/>
        </w:rPr>
        <w:t>:</w:t>
      </w:r>
      <w:r>
        <w:rPr>
          <w:rFonts w:ascii="Times New Roman" w:hAnsi="Times New Roman" w:cs="Times New Roman"/>
          <w:b/>
          <w:sz w:val="26"/>
          <w:szCs w:val="26"/>
        </w:rPr>
        <w:tab/>
        <w:t>Le commissioni medie dei fondi di classe retail</w:t>
      </w:r>
    </w:p>
    <w:p w14:paraId="669DF0A2" w14:textId="77777777" w:rsidR="00BA76A8" w:rsidRPr="00103341" w:rsidRDefault="00BA76A8" w:rsidP="0028157B">
      <w:pPr>
        <w:spacing w:after="0" w:line="240" w:lineRule="auto"/>
        <w:ind w:left="1276" w:hanging="1276"/>
        <w:jc w:val="both"/>
        <w:rPr>
          <w:rFonts w:ascii="Times New Roman" w:hAnsi="Times New Roman" w:cs="Times New Roman"/>
          <w:b/>
          <w:sz w:val="26"/>
          <w:szCs w:val="26"/>
        </w:rPr>
      </w:pPr>
    </w:p>
    <w:p w14:paraId="7A5FE9BF" w14:textId="77777777" w:rsidR="0028157B" w:rsidRDefault="00EB04E1" w:rsidP="0028157B">
      <w:pPr>
        <w:spacing w:after="0" w:line="360" w:lineRule="auto"/>
        <w:ind w:left="1276" w:hanging="1276"/>
        <w:jc w:val="center"/>
        <w:rPr>
          <w:rFonts w:ascii="Times New Roman" w:hAnsi="Times New Roman" w:cs="Times New Roman"/>
          <w:sz w:val="26"/>
          <w:szCs w:val="26"/>
        </w:rPr>
      </w:pPr>
      <w:r w:rsidRPr="00EB04E1">
        <w:rPr>
          <w:noProof/>
          <w:lang w:eastAsia="it-IT"/>
        </w:rPr>
        <w:drawing>
          <wp:inline distT="0" distB="0" distL="0" distR="0" wp14:anchorId="07E60B71" wp14:editId="0A096A51">
            <wp:extent cx="3494255" cy="2508250"/>
            <wp:effectExtent l="0" t="0" r="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4255" cy="2508250"/>
                    </a:xfrm>
                    <a:prstGeom prst="rect">
                      <a:avLst/>
                    </a:prstGeom>
                    <a:noFill/>
                    <a:ln>
                      <a:noFill/>
                    </a:ln>
                  </pic:spPr>
                </pic:pic>
              </a:graphicData>
            </a:graphic>
          </wp:inline>
        </w:drawing>
      </w:r>
    </w:p>
    <w:p w14:paraId="4C972FD5" w14:textId="77777777" w:rsidR="0028157B" w:rsidRDefault="00C96FC7" w:rsidP="003531EB">
      <w:pPr>
        <w:spacing w:after="0" w:line="360" w:lineRule="auto"/>
        <w:ind w:left="2552"/>
        <w:jc w:val="both"/>
        <w:rPr>
          <w:rFonts w:ascii="Times New Roman" w:hAnsi="Times New Roman" w:cs="Times New Roman"/>
          <w:sz w:val="26"/>
          <w:szCs w:val="26"/>
        </w:rPr>
      </w:pPr>
      <w:r w:rsidRPr="00103341">
        <w:rPr>
          <w:rFonts w:ascii="Times New Roman" w:hAnsi="Times New Roman" w:cs="Times New Roman"/>
          <w:i/>
        </w:rPr>
        <w:t xml:space="preserve">Fonte: Nostre elaborazioni su dati </w:t>
      </w:r>
      <w:proofErr w:type="spellStart"/>
      <w:r>
        <w:rPr>
          <w:rFonts w:ascii="Times New Roman" w:hAnsi="Times New Roman" w:cs="Times New Roman"/>
          <w:i/>
        </w:rPr>
        <w:t>Quantalys</w:t>
      </w:r>
      <w:proofErr w:type="spellEnd"/>
      <w:r>
        <w:rPr>
          <w:rFonts w:ascii="Times New Roman" w:hAnsi="Times New Roman" w:cs="Times New Roman"/>
          <w:i/>
        </w:rPr>
        <w:t>.</w:t>
      </w:r>
    </w:p>
    <w:p w14:paraId="5F12EA80" w14:textId="77777777" w:rsidR="0028157B" w:rsidRDefault="0028157B" w:rsidP="00095829">
      <w:pPr>
        <w:spacing w:after="0" w:line="360" w:lineRule="auto"/>
        <w:jc w:val="both"/>
        <w:rPr>
          <w:rFonts w:ascii="Times New Roman" w:hAnsi="Times New Roman" w:cs="Times New Roman"/>
          <w:sz w:val="26"/>
          <w:szCs w:val="26"/>
        </w:rPr>
      </w:pPr>
    </w:p>
    <w:p w14:paraId="73BB0E75" w14:textId="2E4A5E0A" w:rsidR="00C96FC7" w:rsidRDefault="007F7C5D" w:rsidP="0009582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L’analisi</w:t>
      </w:r>
      <w:r w:rsidR="00F726F0">
        <w:rPr>
          <w:rFonts w:ascii="Times New Roman" w:hAnsi="Times New Roman" w:cs="Times New Roman"/>
          <w:sz w:val="26"/>
          <w:szCs w:val="26"/>
        </w:rPr>
        <w:t>,</w:t>
      </w:r>
      <w:r>
        <w:rPr>
          <w:rFonts w:ascii="Times New Roman" w:hAnsi="Times New Roman" w:cs="Times New Roman"/>
          <w:sz w:val="26"/>
          <w:szCs w:val="26"/>
        </w:rPr>
        <w:t xml:space="preserve"> sintetizzata nella Figura </w:t>
      </w:r>
      <w:r w:rsidR="00CA3690">
        <w:rPr>
          <w:rFonts w:ascii="Times New Roman" w:hAnsi="Times New Roman" w:cs="Times New Roman"/>
          <w:sz w:val="26"/>
          <w:szCs w:val="26"/>
        </w:rPr>
        <w:t>2</w:t>
      </w:r>
      <w:r>
        <w:rPr>
          <w:rFonts w:ascii="Times New Roman" w:hAnsi="Times New Roman" w:cs="Times New Roman"/>
          <w:sz w:val="26"/>
          <w:szCs w:val="26"/>
        </w:rPr>
        <w:t xml:space="preserve">, permette di apprezzare come </w:t>
      </w:r>
      <w:r w:rsidR="002C3F62">
        <w:rPr>
          <w:rFonts w:ascii="Times New Roman" w:hAnsi="Times New Roman" w:cs="Times New Roman"/>
          <w:sz w:val="26"/>
          <w:szCs w:val="26"/>
        </w:rPr>
        <w:t>i portafogli neutrali dominino, nello spazio rischio-rendimento i fondi</w:t>
      </w:r>
      <w:r w:rsidR="00BA76A8">
        <w:rPr>
          <w:rFonts w:ascii="Times New Roman" w:hAnsi="Times New Roman" w:cs="Times New Roman"/>
          <w:sz w:val="26"/>
          <w:szCs w:val="26"/>
        </w:rPr>
        <w:t xml:space="preserve"> flessibili</w:t>
      </w:r>
      <w:r w:rsidR="000A0615">
        <w:rPr>
          <w:rFonts w:ascii="Times New Roman" w:hAnsi="Times New Roman" w:cs="Times New Roman"/>
          <w:sz w:val="26"/>
          <w:szCs w:val="26"/>
        </w:rPr>
        <w:t xml:space="preserve">; l’assenza </w:t>
      </w:r>
      <w:r w:rsidR="00BA76A8">
        <w:rPr>
          <w:rFonts w:ascii="Times New Roman" w:hAnsi="Times New Roman" w:cs="Times New Roman"/>
          <w:sz w:val="26"/>
          <w:szCs w:val="26"/>
        </w:rPr>
        <w:t xml:space="preserve">persino </w:t>
      </w:r>
      <w:r w:rsidR="000A0615">
        <w:rPr>
          <w:rFonts w:ascii="Times New Roman" w:hAnsi="Times New Roman" w:cs="Times New Roman"/>
          <w:sz w:val="26"/>
          <w:szCs w:val="26"/>
        </w:rPr>
        <w:t xml:space="preserve">di casi </w:t>
      </w:r>
      <w:r w:rsidR="006526E0">
        <w:rPr>
          <w:rFonts w:ascii="Times New Roman" w:hAnsi="Times New Roman" w:cs="Times New Roman"/>
          <w:sz w:val="26"/>
          <w:szCs w:val="26"/>
        </w:rPr>
        <w:t>sporadici</w:t>
      </w:r>
      <w:r w:rsidR="000A0615">
        <w:rPr>
          <w:rFonts w:ascii="Times New Roman" w:hAnsi="Times New Roman" w:cs="Times New Roman"/>
          <w:sz w:val="26"/>
          <w:szCs w:val="26"/>
        </w:rPr>
        <w:t xml:space="preserve"> di fondi in grado di performare meglio dei portafogli neutrali appare addirittura sorprendente.</w:t>
      </w:r>
      <w:r w:rsidR="002C3F62">
        <w:rPr>
          <w:rFonts w:ascii="Times New Roman" w:hAnsi="Times New Roman" w:cs="Times New Roman"/>
          <w:sz w:val="26"/>
          <w:szCs w:val="26"/>
        </w:rPr>
        <w:t xml:space="preserve"> </w:t>
      </w:r>
      <w:r w:rsidR="000A0615">
        <w:rPr>
          <w:rFonts w:ascii="Times New Roman" w:hAnsi="Times New Roman" w:cs="Times New Roman"/>
          <w:sz w:val="26"/>
          <w:szCs w:val="26"/>
        </w:rPr>
        <w:t>Quest</w:t>
      </w:r>
      <w:r w:rsidR="001B1F26">
        <w:rPr>
          <w:rFonts w:ascii="Times New Roman" w:hAnsi="Times New Roman" w:cs="Times New Roman"/>
          <w:sz w:val="26"/>
          <w:szCs w:val="26"/>
        </w:rPr>
        <w:t>a</w:t>
      </w:r>
      <w:r w:rsidR="000A0615">
        <w:rPr>
          <w:rFonts w:ascii="Times New Roman" w:hAnsi="Times New Roman" w:cs="Times New Roman"/>
          <w:sz w:val="26"/>
          <w:szCs w:val="26"/>
        </w:rPr>
        <w:t xml:space="preserve"> evidenz</w:t>
      </w:r>
      <w:r w:rsidR="001B1F26">
        <w:rPr>
          <w:rFonts w:ascii="Times New Roman" w:hAnsi="Times New Roman" w:cs="Times New Roman"/>
          <w:sz w:val="26"/>
          <w:szCs w:val="26"/>
        </w:rPr>
        <w:t>a</w:t>
      </w:r>
      <w:r w:rsidR="000A0615">
        <w:rPr>
          <w:rFonts w:ascii="Times New Roman" w:hAnsi="Times New Roman" w:cs="Times New Roman"/>
          <w:sz w:val="26"/>
          <w:szCs w:val="26"/>
        </w:rPr>
        <w:t xml:space="preserve"> conferma</w:t>
      </w:r>
      <w:r w:rsidR="00BA76A8">
        <w:rPr>
          <w:rFonts w:ascii="Times New Roman" w:hAnsi="Times New Roman" w:cs="Times New Roman"/>
          <w:sz w:val="26"/>
          <w:szCs w:val="26"/>
        </w:rPr>
        <w:t>,</w:t>
      </w:r>
      <w:r w:rsidR="002C3F62">
        <w:rPr>
          <w:rFonts w:ascii="Times New Roman" w:hAnsi="Times New Roman" w:cs="Times New Roman"/>
          <w:sz w:val="26"/>
          <w:szCs w:val="26"/>
        </w:rPr>
        <w:t xml:space="preserve"> da un lato</w:t>
      </w:r>
      <w:r w:rsidR="00BA76A8">
        <w:rPr>
          <w:rFonts w:ascii="Times New Roman" w:hAnsi="Times New Roman" w:cs="Times New Roman"/>
          <w:sz w:val="26"/>
          <w:szCs w:val="26"/>
        </w:rPr>
        <w:t>,</w:t>
      </w:r>
      <w:r w:rsidR="002C3F62">
        <w:rPr>
          <w:rFonts w:ascii="Times New Roman" w:hAnsi="Times New Roman" w:cs="Times New Roman"/>
          <w:sz w:val="26"/>
          <w:szCs w:val="26"/>
        </w:rPr>
        <w:t xml:space="preserve"> le difficoltà connesse alla implementazione del </w:t>
      </w:r>
      <w:r w:rsidR="002C3F62" w:rsidRPr="00D10111">
        <w:rPr>
          <w:rFonts w:ascii="Times New Roman" w:hAnsi="Times New Roman" w:cs="Times New Roman"/>
          <w:i/>
          <w:sz w:val="26"/>
          <w:szCs w:val="26"/>
        </w:rPr>
        <w:t>market</w:t>
      </w:r>
      <w:r w:rsidR="002C3F62">
        <w:rPr>
          <w:rFonts w:ascii="Times New Roman" w:hAnsi="Times New Roman" w:cs="Times New Roman"/>
          <w:sz w:val="26"/>
          <w:szCs w:val="26"/>
        </w:rPr>
        <w:t xml:space="preserve"> </w:t>
      </w:r>
      <w:r w:rsidR="002C3F62" w:rsidRPr="000A0615">
        <w:rPr>
          <w:rFonts w:ascii="Times New Roman" w:hAnsi="Times New Roman" w:cs="Times New Roman"/>
          <w:i/>
          <w:sz w:val="26"/>
          <w:szCs w:val="26"/>
        </w:rPr>
        <w:t>timing</w:t>
      </w:r>
      <w:r w:rsidR="002C3F62">
        <w:rPr>
          <w:rFonts w:ascii="Times New Roman" w:hAnsi="Times New Roman" w:cs="Times New Roman"/>
          <w:sz w:val="26"/>
          <w:szCs w:val="26"/>
        </w:rPr>
        <w:t xml:space="preserve"> in un contesto di efficienza informativa crescente e</w:t>
      </w:r>
      <w:r w:rsidR="00BA76A8">
        <w:rPr>
          <w:rFonts w:ascii="Times New Roman" w:hAnsi="Times New Roman" w:cs="Times New Roman"/>
          <w:sz w:val="26"/>
          <w:szCs w:val="26"/>
        </w:rPr>
        <w:t>,</w:t>
      </w:r>
      <w:r w:rsidR="002C3F62">
        <w:rPr>
          <w:rFonts w:ascii="Times New Roman" w:hAnsi="Times New Roman" w:cs="Times New Roman"/>
          <w:sz w:val="26"/>
          <w:szCs w:val="26"/>
        </w:rPr>
        <w:t xml:space="preserve"> dal</w:t>
      </w:r>
      <w:r w:rsidR="006526E0">
        <w:rPr>
          <w:rFonts w:ascii="Times New Roman" w:hAnsi="Times New Roman" w:cs="Times New Roman"/>
          <w:sz w:val="26"/>
          <w:szCs w:val="26"/>
        </w:rPr>
        <w:t>l’altro</w:t>
      </w:r>
      <w:r w:rsidR="00BA76A8">
        <w:rPr>
          <w:rFonts w:ascii="Times New Roman" w:hAnsi="Times New Roman" w:cs="Times New Roman"/>
          <w:sz w:val="26"/>
          <w:szCs w:val="26"/>
        </w:rPr>
        <w:t>,</w:t>
      </w:r>
      <w:r w:rsidR="006526E0">
        <w:rPr>
          <w:rFonts w:ascii="Times New Roman" w:hAnsi="Times New Roman" w:cs="Times New Roman"/>
          <w:sz w:val="26"/>
          <w:szCs w:val="26"/>
        </w:rPr>
        <w:t xml:space="preserve"> rafforza</w:t>
      </w:r>
      <w:r w:rsidR="002C3F62">
        <w:rPr>
          <w:rFonts w:ascii="Times New Roman" w:hAnsi="Times New Roman" w:cs="Times New Roman"/>
          <w:sz w:val="26"/>
          <w:szCs w:val="26"/>
        </w:rPr>
        <w:t xml:space="preserve"> </w:t>
      </w:r>
      <w:r w:rsidR="006526E0">
        <w:rPr>
          <w:rFonts w:ascii="Times New Roman" w:hAnsi="Times New Roman" w:cs="Times New Roman"/>
          <w:sz w:val="26"/>
          <w:szCs w:val="26"/>
        </w:rPr>
        <w:t>il nostro suggerimento</w:t>
      </w:r>
      <w:r w:rsidR="005A2CF7">
        <w:rPr>
          <w:rFonts w:ascii="Times New Roman" w:hAnsi="Times New Roman" w:cs="Times New Roman"/>
          <w:sz w:val="26"/>
          <w:szCs w:val="26"/>
        </w:rPr>
        <w:t xml:space="preserve"> </w:t>
      </w:r>
      <w:r w:rsidR="006526E0">
        <w:rPr>
          <w:rFonts w:ascii="Times New Roman" w:hAnsi="Times New Roman" w:cs="Times New Roman"/>
          <w:sz w:val="26"/>
          <w:szCs w:val="26"/>
        </w:rPr>
        <w:t>di non abusare</w:t>
      </w:r>
      <w:r w:rsidR="005A2CF7">
        <w:rPr>
          <w:rFonts w:ascii="Times New Roman" w:hAnsi="Times New Roman" w:cs="Times New Roman"/>
          <w:sz w:val="26"/>
          <w:szCs w:val="26"/>
        </w:rPr>
        <w:t xml:space="preserve"> di questa categoria di prodotti.</w:t>
      </w:r>
      <w:r w:rsidR="000A0615">
        <w:rPr>
          <w:rFonts w:ascii="Times New Roman" w:hAnsi="Times New Roman" w:cs="Times New Roman"/>
          <w:sz w:val="26"/>
          <w:szCs w:val="26"/>
        </w:rPr>
        <w:t xml:space="preserve"> </w:t>
      </w:r>
    </w:p>
    <w:p w14:paraId="6A26962A" w14:textId="77777777" w:rsidR="000A0615" w:rsidRDefault="000A0615" w:rsidP="00095829">
      <w:pPr>
        <w:spacing w:after="0" w:line="360" w:lineRule="auto"/>
        <w:jc w:val="both"/>
        <w:rPr>
          <w:rFonts w:ascii="Times New Roman" w:hAnsi="Times New Roman" w:cs="Times New Roman"/>
          <w:sz w:val="26"/>
          <w:szCs w:val="26"/>
        </w:rPr>
      </w:pPr>
      <w:bookmarkStart w:id="9" w:name="OLE_LINK144"/>
    </w:p>
    <w:p w14:paraId="655BA63E" w14:textId="1615B515" w:rsidR="002C3F62" w:rsidRDefault="002C3F62" w:rsidP="002C3F62">
      <w:pPr>
        <w:spacing w:after="0" w:line="240" w:lineRule="auto"/>
        <w:ind w:left="1276" w:hanging="1276"/>
        <w:jc w:val="both"/>
        <w:rPr>
          <w:rFonts w:ascii="Times New Roman" w:hAnsi="Times New Roman" w:cs="Times New Roman"/>
          <w:b/>
          <w:sz w:val="26"/>
          <w:szCs w:val="26"/>
        </w:rPr>
      </w:pPr>
      <w:bookmarkStart w:id="10" w:name="OLE_LINK152"/>
      <w:bookmarkStart w:id="11" w:name="OLE_LINK151"/>
      <w:r>
        <w:rPr>
          <w:rFonts w:ascii="Times New Roman" w:hAnsi="Times New Roman" w:cs="Times New Roman"/>
          <w:b/>
          <w:sz w:val="26"/>
          <w:szCs w:val="26"/>
        </w:rPr>
        <w:t>Figura</w:t>
      </w:r>
      <w:r w:rsidRPr="00103341">
        <w:rPr>
          <w:rFonts w:ascii="Times New Roman" w:hAnsi="Times New Roman" w:cs="Times New Roman"/>
          <w:b/>
          <w:sz w:val="26"/>
          <w:szCs w:val="26"/>
        </w:rPr>
        <w:t xml:space="preserve"> </w:t>
      </w:r>
      <w:r w:rsidR="00CA3690">
        <w:rPr>
          <w:rFonts w:ascii="Times New Roman" w:hAnsi="Times New Roman" w:cs="Times New Roman"/>
          <w:b/>
          <w:sz w:val="26"/>
          <w:szCs w:val="26"/>
        </w:rPr>
        <w:t>2</w:t>
      </w:r>
      <w:r w:rsidRPr="00103341">
        <w:rPr>
          <w:rFonts w:ascii="Times New Roman" w:hAnsi="Times New Roman" w:cs="Times New Roman"/>
          <w:b/>
          <w:sz w:val="26"/>
          <w:szCs w:val="26"/>
        </w:rPr>
        <w:t>:</w:t>
      </w:r>
      <w:r>
        <w:rPr>
          <w:rFonts w:ascii="Times New Roman" w:hAnsi="Times New Roman" w:cs="Times New Roman"/>
          <w:b/>
          <w:sz w:val="26"/>
          <w:szCs w:val="26"/>
        </w:rPr>
        <w:tab/>
        <w:t xml:space="preserve">Le combinazioni rischio-rendimento dei fondi e dei portafogli neutrali corretti per l’home </w:t>
      </w:r>
      <w:proofErr w:type="spellStart"/>
      <w:r>
        <w:rPr>
          <w:rFonts w:ascii="Times New Roman" w:hAnsi="Times New Roman" w:cs="Times New Roman"/>
          <w:b/>
          <w:sz w:val="26"/>
          <w:szCs w:val="26"/>
        </w:rPr>
        <w:t>bias</w:t>
      </w:r>
      <w:proofErr w:type="spellEnd"/>
      <w:r>
        <w:rPr>
          <w:rFonts w:ascii="Times New Roman" w:hAnsi="Times New Roman" w:cs="Times New Roman"/>
          <w:b/>
          <w:sz w:val="26"/>
          <w:szCs w:val="26"/>
        </w:rPr>
        <w:t xml:space="preserve"> nel triennio 31/12/2016 – 31/12/2019</w:t>
      </w:r>
    </w:p>
    <w:p w14:paraId="59D0A651" w14:textId="34895A67" w:rsidR="00BA76A8" w:rsidRDefault="00BA76A8" w:rsidP="002C3F62">
      <w:pPr>
        <w:spacing w:after="0" w:line="240" w:lineRule="auto"/>
        <w:ind w:left="1276" w:hanging="1276"/>
        <w:jc w:val="both"/>
        <w:rPr>
          <w:rFonts w:ascii="Times New Roman" w:hAnsi="Times New Roman" w:cs="Times New Roman"/>
          <w:b/>
          <w:sz w:val="26"/>
          <w:szCs w:val="26"/>
        </w:rPr>
      </w:pPr>
    </w:p>
    <w:p w14:paraId="145DE741" w14:textId="77777777" w:rsidR="00BA76A8" w:rsidRPr="00103341" w:rsidRDefault="00BA76A8" w:rsidP="002C3F62">
      <w:pPr>
        <w:spacing w:after="0" w:line="240" w:lineRule="auto"/>
        <w:ind w:left="1276" w:hanging="1276"/>
        <w:jc w:val="both"/>
        <w:rPr>
          <w:rFonts w:ascii="Times New Roman" w:hAnsi="Times New Roman" w:cs="Times New Roman"/>
          <w:b/>
          <w:sz w:val="26"/>
          <w:szCs w:val="26"/>
        </w:rPr>
      </w:pPr>
    </w:p>
    <w:p w14:paraId="08058253" w14:textId="77777777" w:rsidR="002C3F62" w:rsidRDefault="002C3F62" w:rsidP="002C3F62">
      <w:pPr>
        <w:spacing w:after="0" w:line="360" w:lineRule="auto"/>
        <w:ind w:left="1276" w:hanging="1276"/>
        <w:jc w:val="center"/>
        <w:rPr>
          <w:rFonts w:ascii="Times New Roman" w:hAnsi="Times New Roman" w:cs="Times New Roman"/>
          <w:sz w:val="26"/>
          <w:szCs w:val="26"/>
        </w:rPr>
      </w:pPr>
      <w:r>
        <w:rPr>
          <w:rFonts w:ascii="Times New Roman" w:hAnsi="Times New Roman" w:cs="Times New Roman"/>
          <w:noProof/>
          <w:sz w:val="26"/>
          <w:szCs w:val="26"/>
          <w:lang w:eastAsia="it-IT"/>
        </w:rPr>
        <w:lastRenderedPageBreak/>
        <w:drawing>
          <wp:inline distT="0" distB="0" distL="0" distR="0" wp14:anchorId="1949EE3E" wp14:editId="788552A2">
            <wp:extent cx="5314505" cy="3984772"/>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859" cy="3992535"/>
                    </a:xfrm>
                    <a:prstGeom prst="rect">
                      <a:avLst/>
                    </a:prstGeom>
                    <a:noFill/>
                    <a:ln>
                      <a:noFill/>
                    </a:ln>
                  </pic:spPr>
                </pic:pic>
              </a:graphicData>
            </a:graphic>
          </wp:inline>
        </w:drawing>
      </w:r>
    </w:p>
    <w:bookmarkEnd w:id="10"/>
    <w:p w14:paraId="56656FE9" w14:textId="76113C55" w:rsidR="002C3F62" w:rsidRDefault="002C3F62" w:rsidP="002C3F62">
      <w:pPr>
        <w:spacing w:after="0" w:line="360" w:lineRule="auto"/>
        <w:ind w:left="1276" w:hanging="1276"/>
        <w:jc w:val="both"/>
        <w:rPr>
          <w:rFonts w:ascii="Times New Roman" w:hAnsi="Times New Roman" w:cs="Times New Roman"/>
          <w:sz w:val="26"/>
          <w:szCs w:val="26"/>
        </w:rPr>
      </w:pPr>
      <w:r w:rsidRPr="00103341">
        <w:rPr>
          <w:rFonts w:ascii="Times New Roman" w:hAnsi="Times New Roman" w:cs="Times New Roman"/>
          <w:i/>
        </w:rPr>
        <w:t xml:space="preserve">Fonte: Nostre elaborazioni su dati </w:t>
      </w:r>
      <w:proofErr w:type="spellStart"/>
      <w:r>
        <w:rPr>
          <w:rFonts w:ascii="Times New Roman" w:hAnsi="Times New Roman" w:cs="Times New Roman"/>
          <w:i/>
        </w:rPr>
        <w:t>Quantalys</w:t>
      </w:r>
      <w:proofErr w:type="spellEnd"/>
      <w:r w:rsidR="0055235B">
        <w:rPr>
          <w:rFonts w:ascii="Times New Roman" w:hAnsi="Times New Roman" w:cs="Times New Roman"/>
          <w:i/>
        </w:rPr>
        <w:t xml:space="preserve"> e Thomson Reuters </w:t>
      </w:r>
      <w:proofErr w:type="spellStart"/>
      <w:r w:rsidR="0055235B">
        <w:rPr>
          <w:rFonts w:ascii="Times New Roman" w:hAnsi="Times New Roman" w:cs="Times New Roman"/>
          <w:i/>
        </w:rPr>
        <w:t>Datastream</w:t>
      </w:r>
      <w:proofErr w:type="spellEnd"/>
      <w:r>
        <w:rPr>
          <w:rFonts w:ascii="Times New Roman" w:hAnsi="Times New Roman" w:cs="Times New Roman"/>
          <w:i/>
        </w:rPr>
        <w:t>.</w:t>
      </w:r>
    </w:p>
    <w:bookmarkEnd w:id="9"/>
    <w:bookmarkEnd w:id="11"/>
    <w:p w14:paraId="0C831B9C" w14:textId="77777777" w:rsidR="002C3F62" w:rsidRDefault="002C3F62" w:rsidP="00095829">
      <w:pPr>
        <w:spacing w:after="0" w:line="360" w:lineRule="auto"/>
        <w:jc w:val="both"/>
        <w:rPr>
          <w:rFonts w:ascii="Times New Roman" w:hAnsi="Times New Roman" w:cs="Times New Roman"/>
          <w:sz w:val="26"/>
          <w:szCs w:val="26"/>
        </w:rPr>
      </w:pPr>
    </w:p>
    <w:p w14:paraId="1CC6DA9C" w14:textId="77777777" w:rsidR="00035F9D" w:rsidRPr="00120B5D" w:rsidRDefault="00035F9D" w:rsidP="00035F9D">
      <w:pPr>
        <w:pStyle w:val="Titolo1"/>
        <w:numPr>
          <w:ilvl w:val="0"/>
          <w:numId w:val="3"/>
        </w:numPr>
        <w:spacing w:after="120"/>
        <w:ind w:left="425" w:hanging="425"/>
        <w:rPr>
          <w:rFonts w:ascii="Times New Roman" w:hAnsi="Times New Roman" w:cs="Times New Roman"/>
          <w:color w:val="auto"/>
          <w:sz w:val="26"/>
          <w:szCs w:val="26"/>
        </w:rPr>
      </w:pPr>
      <w:bookmarkStart w:id="12" w:name="_Toc30702200"/>
      <w:bookmarkStart w:id="13" w:name="OLE_LINK149"/>
      <w:r>
        <w:rPr>
          <w:rFonts w:ascii="Times New Roman" w:hAnsi="Times New Roman" w:cs="Times New Roman"/>
          <w:color w:val="auto"/>
          <w:sz w:val="26"/>
          <w:szCs w:val="26"/>
        </w:rPr>
        <w:t xml:space="preserve">Una proposta di </w:t>
      </w:r>
      <w:r w:rsidR="00786B86">
        <w:rPr>
          <w:rFonts w:ascii="Times New Roman" w:hAnsi="Times New Roman" w:cs="Times New Roman"/>
          <w:color w:val="auto"/>
          <w:sz w:val="26"/>
          <w:szCs w:val="26"/>
        </w:rPr>
        <w:t>classificazione</w:t>
      </w:r>
      <w:bookmarkEnd w:id="12"/>
    </w:p>
    <w:bookmarkEnd w:id="13"/>
    <w:p w14:paraId="13BD4939" w14:textId="36982AEF" w:rsidR="00276172" w:rsidRDefault="001B1F26" w:rsidP="00276172">
      <w:pPr>
        <w:spacing w:after="0" w:line="360" w:lineRule="auto"/>
        <w:jc w:val="both"/>
        <w:rPr>
          <w:rFonts w:ascii="Times New Roman" w:hAnsi="Times New Roman" w:cs="Times New Roman"/>
          <w:sz w:val="26"/>
          <w:szCs w:val="26"/>
        </w:rPr>
      </w:pPr>
      <w:r>
        <w:rPr>
          <w:rFonts w:ascii="Times New Roman" w:hAnsi="Times New Roman" w:cs="Times New Roman"/>
          <w:sz w:val="26"/>
          <w:szCs w:val="26"/>
        </w:rPr>
        <w:t>Una volta definiti i confini di un uso razionale de</w:t>
      </w:r>
      <w:r w:rsidR="003531EB">
        <w:rPr>
          <w:rFonts w:ascii="Times New Roman" w:hAnsi="Times New Roman" w:cs="Times New Roman"/>
          <w:sz w:val="26"/>
          <w:szCs w:val="26"/>
        </w:rPr>
        <w:t>i</w:t>
      </w:r>
      <w:r>
        <w:rPr>
          <w:rFonts w:ascii="Times New Roman" w:hAnsi="Times New Roman" w:cs="Times New Roman"/>
          <w:sz w:val="26"/>
          <w:szCs w:val="26"/>
        </w:rPr>
        <w:t xml:space="preserve"> prodott</w:t>
      </w:r>
      <w:r w:rsidR="003531EB">
        <w:rPr>
          <w:rFonts w:ascii="Times New Roman" w:hAnsi="Times New Roman" w:cs="Times New Roman"/>
          <w:sz w:val="26"/>
          <w:szCs w:val="26"/>
        </w:rPr>
        <w:t>i</w:t>
      </w:r>
      <w:r>
        <w:rPr>
          <w:rFonts w:ascii="Times New Roman" w:hAnsi="Times New Roman" w:cs="Times New Roman"/>
          <w:sz w:val="26"/>
          <w:szCs w:val="26"/>
        </w:rPr>
        <w:t xml:space="preserve"> flessibil</w:t>
      </w:r>
      <w:r w:rsidR="003531EB">
        <w:rPr>
          <w:rFonts w:ascii="Times New Roman" w:hAnsi="Times New Roman" w:cs="Times New Roman"/>
          <w:sz w:val="26"/>
          <w:szCs w:val="26"/>
        </w:rPr>
        <w:t>i</w:t>
      </w:r>
      <w:r>
        <w:rPr>
          <w:rFonts w:ascii="Times New Roman" w:hAnsi="Times New Roman" w:cs="Times New Roman"/>
          <w:sz w:val="26"/>
          <w:szCs w:val="26"/>
        </w:rPr>
        <w:t xml:space="preserve">, si propone un criterio di </w:t>
      </w:r>
      <w:r w:rsidR="00786B86">
        <w:rPr>
          <w:rFonts w:ascii="Times New Roman" w:hAnsi="Times New Roman" w:cs="Times New Roman"/>
          <w:sz w:val="26"/>
          <w:szCs w:val="26"/>
        </w:rPr>
        <w:t>classificazione</w:t>
      </w:r>
      <w:r w:rsidR="003531EB">
        <w:rPr>
          <w:rFonts w:ascii="Times New Roman" w:hAnsi="Times New Roman" w:cs="Times New Roman"/>
          <w:sz w:val="26"/>
          <w:szCs w:val="26"/>
        </w:rPr>
        <w:t xml:space="preserve"> che</w:t>
      </w:r>
      <w:r w:rsidR="00696D22">
        <w:rPr>
          <w:rFonts w:ascii="Times New Roman" w:hAnsi="Times New Roman" w:cs="Times New Roman"/>
          <w:sz w:val="26"/>
          <w:szCs w:val="26"/>
        </w:rPr>
        <w:t xml:space="preserve"> risulti </w:t>
      </w:r>
      <w:r>
        <w:rPr>
          <w:rFonts w:ascii="Times New Roman" w:hAnsi="Times New Roman" w:cs="Times New Roman"/>
          <w:sz w:val="26"/>
          <w:szCs w:val="26"/>
        </w:rPr>
        <w:t xml:space="preserve">coerente con </w:t>
      </w:r>
      <w:r w:rsidR="003531EB">
        <w:rPr>
          <w:rFonts w:ascii="Times New Roman" w:hAnsi="Times New Roman" w:cs="Times New Roman"/>
          <w:sz w:val="26"/>
          <w:szCs w:val="26"/>
        </w:rPr>
        <w:t>il loro</w:t>
      </w:r>
      <w:r w:rsidR="006526E0">
        <w:rPr>
          <w:rFonts w:ascii="Times New Roman" w:hAnsi="Times New Roman" w:cs="Times New Roman"/>
          <w:sz w:val="26"/>
          <w:szCs w:val="26"/>
        </w:rPr>
        <w:t xml:space="preserve"> </w:t>
      </w:r>
      <w:r w:rsidR="00990EC2">
        <w:rPr>
          <w:rFonts w:ascii="Times New Roman" w:hAnsi="Times New Roman" w:cs="Times New Roman"/>
          <w:sz w:val="26"/>
          <w:szCs w:val="26"/>
        </w:rPr>
        <w:t>utilizzo</w:t>
      </w:r>
      <w:r>
        <w:rPr>
          <w:rFonts w:ascii="Times New Roman" w:hAnsi="Times New Roman" w:cs="Times New Roman"/>
          <w:sz w:val="26"/>
          <w:szCs w:val="26"/>
        </w:rPr>
        <w:t xml:space="preserve"> </w:t>
      </w:r>
      <w:r w:rsidR="00492581">
        <w:rPr>
          <w:rFonts w:ascii="Times New Roman" w:hAnsi="Times New Roman" w:cs="Times New Roman"/>
          <w:sz w:val="26"/>
          <w:szCs w:val="26"/>
        </w:rPr>
        <w:t>quale</w:t>
      </w:r>
      <w:r>
        <w:rPr>
          <w:rFonts w:ascii="Times New Roman" w:hAnsi="Times New Roman" w:cs="Times New Roman"/>
          <w:sz w:val="26"/>
          <w:szCs w:val="26"/>
        </w:rPr>
        <w:t xml:space="preserve"> componente </w:t>
      </w:r>
      <w:r w:rsidRPr="001B1F26">
        <w:rPr>
          <w:rFonts w:ascii="Times New Roman" w:hAnsi="Times New Roman" w:cs="Times New Roman"/>
          <w:i/>
          <w:sz w:val="26"/>
          <w:szCs w:val="26"/>
        </w:rPr>
        <w:t>satellite</w:t>
      </w:r>
      <w:r>
        <w:rPr>
          <w:rFonts w:ascii="Times New Roman" w:hAnsi="Times New Roman" w:cs="Times New Roman"/>
          <w:sz w:val="26"/>
          <w:szCs w:val="26"/>
        </w:rPr>
        <w:t xml:space="preserve"> di un portafoglio investito </w:t>
      </w:r>
      <w:r w:rsidR="006526E0">
        <w:rPr>
          <w:rFonts w:ascii="Times New Roman" w:hAnsi="Times New Roman" w:cs="Times New Roman"/>
          <w:sz w:val="26"/>
          <w:szCs w:val="26"/>
        </w:rPr>
        <w:t>prevalentemente</w:t>
      </w:r>
      <w:r>
        <w:rPr>
          <w:rFonts w:ascii="Times New Roman" w:hAnsi="Times New Roman" w:cs="Times New Roman"/>
          <w:sz w:val="26"/>
          <w:szCs w:val="26"/>
        </w:rPr>
        <w:t xml:space="preserve"> in fondi mono-asset.</w:t>
      </w:r>
      <w:r w:rsidR="004B6AD2">
        <w:rPr>
          <w:rFonts w:ascii="Times New Roman" w:hAnsi="Times New Roman" w:cs="Times New Roman"/>
          <w:sz w:val="26"/>
          <w:szCs w:val="26"/>
        </w:rPr>
        <w:t xml:space="preserve"> Tale soluzione </w:t>
      </w:r>
      <w:r w:rsidR="00BA76A8">
        <w:rPr>
          <w:rFonts w:ascii="Times New Roman" w:hAnsi="Times New Roman" w:cs="Times New Roman"/>
          <w:sz w:val="26"/>
          <w:szCs w:val="26"/>
        </w:rPr>
        <w:t>può essere di i</w:t>
      </w:r>
      <w:r w:rsidR="004B6AD2">
        <w:rPr>
          <w:rFonts w:ascii="Times New Roman" w:hAnsi="Times New Roman" w:cs="Times New Roman"/>
          <w:sz w:val="26"/>
          <w:szCs w:val="26"/>
        </w:rPr>
        <w:t xml:space="preserve">nteresse per quelle istituzioni finanziarie che </w:t>
      </w:r>
      <w:r w:rsidR="00BA76A8">
        <w:rPr>
          <w:rFonts w:ascii="Times New Roman" w:hAnsi="Times New Roman" w:cs="Times New Roman"/>
          <w:sz w:val="26"/>
          <w:szCs w:val="26"/>
        </w:rPr>
        <w:t xml:space="preserve">– volendo in qualche modo </w:t>
      </w:r>
      <w:r w:rsidR="006306C2">
        <w:rPr>
          <w:rFonts w:ascii="Times New Roman" w:hAnsi="Times New Roman" w:cs="Times New Roman"/>
          <w:sz w:val="26"/>
          <w:szCs w:val="26"/>
        </w:rPr>
        <w:t>regolare</w:t>
      </w:r>
      <w:r w:rsidR="004B6AD2">
        <w:rPr>
          <w:rFonts w:ascii="Times New Roman" w:hAnsi="Times New Roman" w:cs="Times New Roman"/>
          <w:sz w:val="26"/>
          <w:szCs w:val="26"/>
        </w:rPr>
        <w:t xml:space="preserve"> l’uso di tali prodotti</w:t>
      </w:r>
      <w:r w:rsidR="00BA76A8">
        <w:rPr>
          <w:rFonts w:ascii="Times New Roman" w:hAnsi="Times New Roman" w:cs="Times New Roman"/>
          <w:sz w:val="26"/>
          <w:szCs w:val="26"/>
        </w:rPr>
        <w:t xml:space="preserve"> – intendano individuare </w:t>
      </w:r>
      <w:r w:rsidR="004B6AD2">
        <w:rPr>
          <w:rFonts w:ascii="Times New Roman" w:hAnsi="Times New Roman" w:cs="Times New Roman"/>
          <w:sz w:val="26"/>
          <w:szCs w:val="26"/>
        </w:rPr>
        <w:t>un criterio di selezione che abbia solide basi metodologiche. Oltre che descrivere l’iter</w:t>
      </w:r>
      <w:r w:rsidR="006306C2">
        <w:rPr>
          <w:rFonts w:ascii="Times New Roman" w:hAnsi="Times New Roman" w:cs="Times New Roman"/>
          <w:sz w:val="26"/>
          <w:szCs w:val="26"/>
        </w:rPr>
        <w:t xml:space="preserve"> di classificazione</w:t>
      </w:r>
      <w:r w:rsidR="004B6AD2">
        <w:rPr>
          <w:rFonts w:ascii="Times New Roman" w:hAnsi="Times New Roman" w:cs="Times New Roman"/>
          <w:sz w:val="26"/>
          <w:szCs w:val="26"/>
        </w:rPr>
        <w:t>, provvederemo ad applicar</w:t>
      </w:r>
      <w:r w:rsidR="00882A53">
        <w:rPr>
          <w:rFonts w:ascii="Times New Roman" w:hAnsi="Times New Roman" w:cs="Times New Roman"/>
          <w:sz w:val="26"/>
          <w:szCs w:val="26"/>
        </w:rPr>
        <w:t>lo</w:t>
      </w:r>
      <w:r w:rsidR="004B6AD2">
        <w:rPr>
          <w:rFonts w:ascii="Times New Roman" w:hAnsi="Times New Roman" w:cs="Times New Roman"/>
          <w:sz w:val="26"/>
          <w:szCs w:val="26"/>
        </w:rPr>
        <w:t xml:space="preserve"> al </w:t>
      </w:r>
      <w:r w:rsidR="004B6AD2" w:rsidRPr="006526E0">
        <w:rPr>
          <w:rFonts w:ascii="Times New Roman" w:hAnsi="Times New Roman" w:cs="Times New Roman"/>
          <w:i/>
          <w:sz w:val="26"/>
          <w:szCs w:val="26"/>
        </w:rPr>
        <w:t>panel</w:t>
      </w:r>
      <w:r w:rsidR="004B6AD2">
        <w:rPr>
          <w:rFonts w:ascii="Times New Roman" w:hAnsi="Times New Roman" w:cs="Times New Roman"/>
          <w:sz w:val="26"/>
          <w:szCs w:val="26"/>
        </w:rPr>
        <w:t xml:space="preserve"> di fondi </w:t>
      </w:r>
      <w:r w:rsidR="00573C78">
        <w:rPr>
          <w:rFonts w:ascii="Times New Roman" w:hAnsi="Times New Roman" w:cs="Times New Roman"/>
          <w:sz w:val="26"/>
          <w:szCs w:val="26"/>
        </w:rPr>
        <w:t>utilizzato nella verifica empirica svolta nel paragrafo precedente.</w:t>
      </w:r>
    </w:p>
    <w:p w14:paraId="3E269777" w14:textId="77777777" w:rsidR="00696D22" w:rsidRDefault="00696D22" w:rsidP="0020147E">
      <w:pPr>
        <w:spacing w:after="0" w:line="360" w:lineRule="auto"/>
        <w:jc w:val="both"/>
        <w:rPr>
          <w:rFonts w:ascii="Times New Roman" w:hAnsi="Times New Roman" w:cs="Times New Roman"/>
          <w:sz w:val="26"/>
          <w:szCs w:val="26"/>
        </w:rPr>
      </w:pPr>
    </w:p>
    <w:p w14:paraId="4FDBA43A" w14:textId="06B3E360" w:rsidR="005A2CF7" w:rsidRDefault="004B6AD2" w:rsidP="0020147E">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Il </w:t>
      </w:r>
      <w:r w:rsidR="00CD375C">
        <w:rPr>
          <w:rFonts w:ascii="Times New Roman" w:hAnsi="Times New Roman" w:cs="Times New Roman"/>
          <w:sz w:val="26"/>
          <w:szCs w:val="26"/>
        </w:rPr>
        <w:t>primo</w:t>
      </w:r>
      <w:r>
        <w:rPr>
          <w:rFonts w:ascii="Times New Roman" w:hAnsi="Times New Roman" w:cs="Times New Roman"/>
          <w:sz w:val="26"/>
          <w:szCs w:val="26"/>
        </w:rPr>
        <w:t xml:space="preserve"> step </w:t>
      </w:r>
      <w:r w:rsidR="00573C78">
        <w:rPr>
          <w:rFonts w:ascii="Times New Roman" w:hAnsi="Times New Roman" w:cs="Times New Roman"/>
          <w:sz w:val="26"/>
          <w:szCs w:val="26"/>
        </w:rPr>
        <w:t xml:space="preserve">consiste nella identificazione dei fondi </w:t>
      </w:r>
      <w:r w:rsidR="00B95834">
        <w:rPr>
          <w:rFonts w:ascii="Times New Roman" w:hAnsi="Times New Roman" w:cs="Times New Roman"/>
          <w:sz w:val="26"/>
          <w:szCs w:val="26"/>
        </w:rPr>
        <w:t xml:space="preserve">effettivamente </w:t>
      </w:r>
      <w:r w:rsidR="00573C78">
        <w:rPr>
          <w:rFonts w:ascii="Times New Roman" w:hAnsi="Times New Roman" w:cs="Times New Roman"/>
          <w:sz w:val="26"/>
          <w:szCs w:val="26"/>
        </w:rPr>
        <w:t xml:space="preserve">meritevoli del </w:t>
      </w:r>
      <w:proofErr w:type="gramStart"/>
      <w:r w:rsidR="00CD375C" w:rsidRPr="00CD375C">
        <w:rPr>
          <w:rFonts w:ascii="Times New Roman" w:hAnsi="Times New Roman" w:cs="Times New Roman"/>
          <w:i/>
          <w:sz w:val="26"/>
          <w:szCs w:val="26"/>
        </w:rPr>
        <w:t>brand</w:t>
      </w:r>
      <w:proofErr w:type="gramEnd"/>
      <w:r w:rsidR="00573C78">
        <w:rPr>
          <w:rFonts w:ascii="Times New Roman" w:hAnsi="Times New Roman" w:cs="Times New Roman"/>
          <w:sz w:val="26"/>
          <w:szCs w:val="26"/>
        </w:rPr>
        <w:t xml:space="preserve"> </w:t>
      </w:r>
      <w:r w:rsidR="00B95834">
        <w:rPr>
          <w:rFonts w:ascii="Times New Roman" w:hAnsi="Times New Roman" w:cs="Times New Roman"/>
          <w:sz w:val="26"/>
          <w:szCs w:val="26"/>
        </w:rPr>
        <w:t xml:space="preserve">di fondi </w:t>
      </w:r>
      <w:r w:rsidR="00573C78">
        <w:rPr>
          <w:rFonts w:ascii="Times New Roman" w:hAnsi="Times New Roman" w:cs="Times New Roman"/>
          <w:sz w:val="26"/>
          <w:szCs w:val="26"/>
        </w:rPr>
        <w:t>flessibil</w:t>
      </w:r>
      <w:r w:rsidR="00B95834">
        <w:rPr>
          <w:rFonts w:ascii="Times New Roman" w:hAnsi="Times New Roman" w:cs="Times New Roman"/>
          <w:sz w:val="26"/>
          <w:szCs w:val="26"/>
        </w:rPr>
        <w:t>i</w:t>
      </w:r>
      <w:r w:rsidR="00573C78">
        <w:rPr>
          <w:rFonts w:ascii="Times New Roman" w:hAnsi="Times New Roman" w:cs="Times New Roman"/>
          <w:sz w:val="26"/>
          <w:szCs w:val="26"/>
        </w:rPr>
        <w:t xml:space="preserve">. </w:t>
      </w:r>
      <w:r w:rsidR="00B95834">
        <w:rPr>
          <w:rFonts w:ascii="Times New Roman" w:hAnsi="Times New Roman" w:cs="Times New Roman"/>
          <w:sz w:val="26"/>
          <w:szCs w:val="26"/>
        </w:rPr>
        <w:t>A tal fine, s</w:t>
      </w:r>
      <w:r w:rsidR="00573C78">
        <w:rPr>
          <w:rFonts w:ascii="Times New Roman" w:hAnsi="Times New Roman" w:cs="Times New Roman"/>
          <w:sz w:val="26"/>
          <w:szCs w:val="26"/>
        </w:rPr>
        <w:t>i propone un</w:t>
      </w:r>
      <w:r w:rsidR="00B95834">
        <w:rPr>
          <w:rFonts w:ascii="Times New Roman" w:hAnsi="Times New Roman" w:cs="Times New Roman"/>
          <w:sz w:val="26"/>
          <w:szCs w:val="26"/>
        </w:rPr>
        <w:t>’</w:t>
      </w:r>
      <w:r w:rsidR="00573C78">
        <w:rPr>
          <w:rFonts w:ascii="Times New Roman" w:hAnsi="Times New Roman" w:cs="Times New Roman"/>
          <w:sz w:val="26"/>
          <w:szCs w:val="26"/>
        </w:rPr>
        <w:t>analisi numerica che</w:t>
      </w:r>
      <w:r w:rsidR="00F012C4">
        <w:rPr>
          <w:rFonts w:ascii="Times New Roman" w:hAnsi="Times New Roman" w:cs="Times New Roman"/>
          <w:sz w:val="26"/>
          <w:szCs w:val="26"/>
        </w:rPr>
        <w:t>,</w:t>
      </w:r>
      <w:r w:rsidR="00573C78">
        <w:rPr>
          <w:rFonts w:ascii="Times New Roman" w:hAnsi="Times New Roman" w:cs="Times New Roman"/>
          <w:sz w:val="26"/>
          <w:szCs w:val="26"/>
        </w:rPr>
        <w:t xml:space="preserve"> con l’ausilio della </w:t>
      </w:r>
      <w:r w:rsidR="00573C78" w:rsidRPr="00CD375C">
        <w:rPr>
          <w:rFonts w:ascii="Times New Roman" w:hAnsi="Times New Roman" w:cs="Times New Roman"/>
          <w:i/>
          <w:sz w:val="26"/>
          <w:szCs w:val="26"/>
        </w:rPr>
        <w:t xml:space="preserve">style </w:t>
      </w:r>
      <w:proofErr w:type="spellStart"/>
      <w:r w:rsidR="00573C78" w:rsidRPr="00CD375C">
        <w:rPr>
          <w:rFonts w:ascii="Times New Roman" w:hAnsi="Times New Roman" w:cs="Times New Roman"/>
          <w:i/>
          <w:sz w:val="26"/>
          <w:szCs w:val="26"/>
        </w:rPr>
        <w:t>analysis</w:t>
      </w:r>
      <w:proofErr w:type="spellEnd"/>
      <w:r w:rsidR="00F012C4">
        <w:rPr>
          <w:rFonts w:ascii="Times New Roman" w:hAnsi="Times New Roman" w:cs="Times New Roman"/>
          <w:sz w:val="26"/>
          <w:szCs w:val="26"/>
        </w:rPr>
        <w:t>,</w:t>
      </w:r>
      <w:r w:rsidR="00573C78">
        <w:rPr>
          <w:rFonts w:ascii="Times New Roman" w:hAnsi="Times New Roman" w:cs="Times New Roman"/>
          <w:sz w:val="26"/>
          <w:szCs w:val="26"/>
        </w:rPr>
        <w:t xml:space="preserve"> </w:t>
      </w:r>
      <w:r w:rsidR="00F012C4">
        <w:rPr>
          <w:rFonts w:ascii="Times New Roman" w:hAnsi="Times New Roman" w:cs="Times New Roman"/>
          <w:sz w:val="26"/>
          <w:szCs w:val="26"/>
        </w:rPr>
        <w:t>permette</w:t>
      </w:r>
      <w:r w:rsidR="00573C78">
        <w:rPr>
          <w:rFonts w:ascii="Times New Roman" w:hAnsi="Times New Roman" w:cs="Times New Roman"/>
          <w:sz w:val="26"/>
          <w:szCs w:val="26"/>
        </w:rPr>
        <w:t xml:space="preserve"> </w:t>
      </w:r>
      <w:r w:rsidR="00F012C4">
        <w:rPr>
          <w:rFonts w:ascii="Times New Roman" w:hAnsi="Times New Roman" w:cs="Times New Roman"/>
          <w:sz w:val="26"/>
          <w:szCs w:val="26"/>
        </w:rPr>
        <w:t xml:space="preserve">di </w:t>
      </w:r>
      <w:r w:rsidR="006526E0">
        <w:rPr>
          <w:rFonts w:ascii="Times New Roman" w:hAnsi="Times New Roman" w:cs="Times New Roman"/>
          <w:sz w:val="26"/>
          <w:szCs w:val="26"/>
        </w:rPr>
        <w:t>separare</w:t>
      </w:r>
      <w:r w:rsidR="00F012C4">
        <w:rPr>
          <w:rFonts w:ascii="Times New Roman" w:hAnsi="Times New Roman" w:cs="Times New Roman"/>
          <w:sz w:val="26"/>
          <w:szCs w:val="26"/>
        </w:rPr>
        <w:t xml:space="preserve"> </w:t>
      </w:r>
      <w:r w:rsidR="00573C78">
        <w:rPr>
          <w:rFonts w:ascii="Times New Roman" w:hAnsi="Times New Roman" w:cs="Times New Roman"/>
          <w:sz w:val="26"/>
          <w:szCs w:val="26"/>
        </w:rPr>
        <w:t xml:space="preserve">il segmento dei fondi flessibili </w:t>
      </w:r>
      <w:r w:rsidR="00F012C4">
        <w:rPr>
          <w:rFonts w:ascii="Times New Roman" w:hAnsi="Times New Roman" w:cs="Times New Roman"/>
          <w:sz w:val="26"/>
          <w:szCs w:val="26"/>
        </w:rPr>
        <w:lastRenderedPageBreak/>
        <w:t>rispetto</w:t>
      </w:r>
      <w:r w:rsidR="00573C78">
        <w:rPr>
          <w:rFonts w:ascii="Times New Roman" w:hAnsi="Times New Roman" w:cs="Times New Roman"/>
          <w:sz w:val="26"/>
          <w:szCs w:val="26"/>
        </w:rPr>
        <w:t xml:space="preserve"> </w:t>
      </w:r>
      <w:r w:rsidR="00F012C4">
        <w:rPr>
          <w:rFonts w:ascii="Times New Roman" w:hAnsi="Times New Roman" w:cs="Times New Roman"/>
          <w:sz w:val="26"/>
          <w:szCs w:val="26"/>
        </w:rPr>
        <w:t>a</w:t>
      </w:r>
      <w:r w:rsidR="00573C78">
        <w:rPr>
          <w:rFonts w:ascii="Times New Roman" w:hAnsi="Times New Roman" w:cs="Times New Roman"/>
          <w:sz w:val="26"/>
          <w:szCs w:val="26"/>
        </w:rPr>
        <w:t xml:space="preserve">i prodotti bilanciati e </w:t>
      </w:r>
      <w:proofErr w:type="spellStart"/>
      <w:r w:rsidR="00573C78">
        <w:rPr>
          <w:rFonts w:ascii="Times New Roman" w:hAnsi="Times New Roman" w:cs="Times New Roman"/>
          <w:i/>
          <w:sz w:val="26"/>
          <w:szCs w:val="26"/>
        </w:rPr>
        <w:t>total</w:t>
      </w:r>
      <w:proofErr w:type="spellEnd"/>
      <w:r w:rsidR="00573C78">
        <w:rPr>
          <w:rFonts w:ascii="Times New Roman" w:hAnsi="Times New Roman" w:cs="Times New Roman"/>
          <w:i/>
          <w:sz w:val="26"/>
          <w:szCs w:val="26"/>
        </w:rPr>
        <w:t xml:space="preserve"> </w:t>
      </w:r>
      <w:proofErr w:type="spellStart"/>
      <w:r w:rsidR="00573C78">
        <w:rPr>
          <w:rFonts w:ascii="Times New Roman" w:hAnsi="Times New Roman" w:cs="Times New Roman"/>
          <w:i/>
          <w:sz w:val="26"/>
          <w:szCs w:val="26"/>
        </w:rPr>
        <w:t>return</w:t>
      </w:r>
      <w:proofErr w:type="spellEnd"/>
      <w:r w:rsidR="00573C78">
        <w:rPr>
          <w:rFonts w:ascii="Times New Roman" w:hAnsi="Times New Roman" w:cs="Times New Roman"/>
          <w:sz w:val="26"/>
          <w:szCs w:val="26"/>
        </w:rPr>
        <w:t xml:space="preserve">. </w:t>
      </w:r>
      <w:r w:rsidR="00F012C4">
        <w:rPr>
          <w:rFonts w:ascii="Times New Roman" w:hAnsi="Times New Roman" w:cs="Times New Roman"/>
          <w:sz w:val="26"/>
          <w:szCs w:val="26"/>
        </w:rPr>
        <w:t>La tesi è che</w:t>
      </w:r>
      <w:r w:rsidR="00B95834">
        <w:rPr>
          <w:rFonts w:ascii="Times New Roman" w:hAnsi="Times New Roman" w:cs="Times New Roman"/>
          <w:sz w:val="26"/>
          <w:szCs w:val="26"/>
        </w:rPr>
        <w:t>,</w:t>
      </w:r>
      <w:r w:rsidR="00F012C4">
        <w:rPr>
          <w:rFonts w:ascii="Times New Roman" w:hAnsi="Times New Roman" w:cs="Times New Roman"/>
          <w:sz w:val="26"/>
          <w:szCs w:val="26"/>
        </w:rPr>
        <w:t xml:space="preserve"> qualora la </w:t>
      </w:r>
      <w:r w:rsidR="00F012C4" w:rsidRPr="006526E0">
        <w:rPr>
          <w:rFonts w:ascii="Times New Roman" w:hAnsi="Times New Roman" w:cs="Times New Roman"/>
          <w:i/>
          <w:sz w:val="26"/>
          <w:szCs w:val="26"/>
        </w:rPr>
        <w:t xml:space="preserve">style </w:t>
      </w:r>
      <w:proofErr w:type="spellStart"/>
      <w:r w:rsidR="00F012C4" w:rsidRPr="006526E0">
        <w:rPr>
          <w:rFonts w:ascii="Times New Roman" w:hAnsi="Times New Roman" w:cs="Times New Roman"/>
          <w:i/>
          <w:sz w:val="26"/>
          <w:szCs w:val="26"/>
        </w:rPr>
        <w:t>analysis</w:t>
      </w:r>
      <w:proofErr w:type="spellEnd"/>
      <w:r w:rsidR="00F012C4">
        <w:rPr>
          <w:rFonts w:ascii="Times New Roman" w:hAnsi="Times New Roman" w:cs="Times New Roman"/>
          <w:sz w:val="26"/>
          <w:szCs w:val="26"/>
        </w:rPr>
        <w:t xml:space="preserve"> (implementata utilizzando </w:t>
      </w:r>
      <w:r w:rsidR="006526E0">
        <w:rPr>
          <w:rFonts w:ascii="Times New Roman" w:hAnsi="Times New Roman" w:cs="Times New Roman"/>
          <w:sz w:val="26"/>
          <w:szCs w:val="26"/>
        </w:rPr>
        <w:t>come</w:t>
      </w:r>
      <w:r w:rsidR="00F012C4">
        <w:rPr>
          <w:rFonts w:ascii="Times New Roman" w:hAnsi="Times New Roman" w:cs="Times New Roman"/>
          <w:sz w:val="26"/>
          <w:szCs w:val="26"/>
        </w:rPr>
        <w:t xml:space="preserve"> </w:t>
      </w:r>
      <w:proofErr w:type="spellStart"/>
      <w:r w:rsidR="00F012C4">
        <w:rPr>
          <w:rFonts w:ascii="Times New Roman" w:hAnsi="Times New Roman" w:cs="Times New Roman"/>
          <w:sz w:val="26"/>
          <w:szCs w:val="26"/>
        </w:rPr>
        <w:t>regressori</w:t>
      </w:r>
      <w:proofErr w:type="spellEnd"/>
      <w:r w:rsidR="00F012C4">
        <w:rPr>
          <w:rFonts w:ascii="Times New Roman" w:hAnsi="Times New Roman" w:cs="Times New Roman"/>
          <w:sz w:val="26"/>
          <w:szCs w:val="26"/>
        </w:rPr>
        <w:t xml:space="preserve"> </w:t>
      </w:r>
      <w:r w:rsidR="006306C2">
        <w:rPr>
          <w:rFonts w:ascii="Times New Roman" w:hAnsi="Times New Roman" w:cs="Times New Roman"/>
          <w:sz w:val="26"/>
          <w:szCs w:val="26"/>
        </w:rPr>
        <w:t>10</w:t>
      </w:r>
      <w:r w:rsidR="00F012C4">
        <w:rPr>
          <w:rFonts w:ascii="Times New Roman" w:hAnsi="Times New Roman" w:cs="Times New Roman"/>
          <w:sz w:val="26"/>
          <w:szCs w:val="26"/>
        </w:rPr>
        <w:t xml:space="preserve"> di indici di mercato</w:t>
      </w:r>
      <w:r w:rsidR="0008644E">
        <w:rPr>
          <w:rStyle w:val="Rimandonotaapidipagina"/>
          <w:rFonts w:ascii="Times New Roman" w:hAnsi="Times New Roman" w:cs="Times New Roman"/>
          <w:sz w:val="26"/>
          <w:szCs w:val="26"/>
        </w:rPr>
        <w:footnoteReference w:id="14"/>
      </w:r>
      <w:r w:rsidR="00F012C4">
        <w:rPr>
          <w:rFonts w:ascii="Times New Roman" w:hAnsi="Times New Roman" w:cs="Times New Roman"/>
          <w:sz w:val="26"/>
          <w:szCs w:val="26"/>
        </w:rPr>
        <w:t xml:space="preserve"> rappresentativi dei più rilevanti mercati finanziari)</w:t>
      </w:r>
      <w:r w:rsidR="0008644E">
        <w:rPr>
          <w:rFonts w:ascii="Times New Roman" w:hAnsi="Times New Roman" w:cs="Times New Roman"/>
          <w:sz w:val="26"/>
          <w:szCs w:val="26"/>
        </w:rPr>
        <w:t xml:space="preserve"> evidenzi </w:t>
      </w:r>
      <w:r w:rsidR="00882A53">
        <w:rPr>
          <w:rFonts w:ascii="Times New Roman" w:hAnsi="Times New Roman" w:cs="Times New Roman"/>
          <w:sz w:val="26"/>
          <w:szCs w:val="26"/>
        </w:rPr>
        <w:t xml:space="preserve">un </w:t>
      </w:r>
      <w:r w:rsidR="0008644E">
        <w:rPr>
          <w:rFonts w:ascii="Times New Roman" w:hAnsi="Times New Roman" w:cs="Times New Roman"/>
          <w:sz w:val="26"/>
          <w:szCs w:val="26"/>
        </w:rPr>
        <w:t>valor</w:t>
      </w:r>
      <w:r w:rsidR="00882A53">
        <w:rPr>
          <w:rFonts w:ascii="Times New Roman" w:hAnsi="Times New Roman" w:cs="Times New Roman"/>
          <w:sz w:val="26"/>
          <w:szCs w:val="26"/>
        </w:rPr>
        <w:t>e</w:t>
      </w:r>
      <w:r w:rsidR="0008644E">
        <w:rPr>
          <w:rFonts w:ascii="Times New Roman" w:hAnsi="Times New Roman" w:cs="Times New Roman"/>
          <w:sz w:val="26"/>
          <w:szCs w:val="26"/>
        </w:rPr>
        <w:t xml:space="preserve"> di R</w:t>
      </w:r>
      <w:r w:rsidR="0008644E" w:rsidRPr="0008644E">
        <w:rPr>
          <w:rFonts w:ascii="Times New Roman" w:hAnsi="Times New Roman" w:cs="Times New Roman"/>
          <w:sz w:val="26"/>
          <w:szCs w:val="26"/>
          <w:vertAlign w:val="superscript"/>
        </w:rPr>
        <w:t>2</w:t>
      </w:r>
      <w:r w:rsidR="0008644E">
        <w:rPr>
          <w:rFonts w:ascii="Times New Roman" w:hAnsi="Times New Roman" w:cs="Times New Roman"/>
          <w:sz w:val="26"/>
          <w:szCs w:val="26"/>
        </w:rPr>
        <w:t xml:space="preserve"> </w:t>
      </w:r>
      <w:r w:rsidR="00882A53">
        <w:rPr>
          <w:rFonts w:ascii="Times New Roman" w:hAnsi="Times New Roman" w:cs="Times New Roman"/>
          <w:sz w:val="26"/>
          <w:szCs w:val="26"/>
        </w:rPr>
        <w:t>molto</w:t>
      </w:r>
      <w:r w:rsidR="0008644E">
        <w:rPr>
          <w:rFonts w:ascii="Times New Roman" w:hAnsi="Times New Roman" w:cs="Times New Roman"/>
          <w:sz w:val="26"/>
          <w:szCs w:val="26"/>
        </w:rPr>
        <w:t xml:space="preserve"> alt</w:t>
      </w:r>
      <w:r w:rsidR="00882A53">
        <w:rPr>
          <w:rFonts w:ascii="Times New Roman" w:hAnsi="Times New Roman" w:cs="Times New Roman"/>
          <w:sz w:val="26"/>
          <w:szCs w:val="26"/>
        </w:rPr>
        <w:t>o</w:t>
      </w:r>
      <w:r w:rsidR="0008644E">
        <w:rPr>
          <w:rFonts w:ascii="Times New Roman" w:hAnsi="Times New Roman" w:cs="Times New Roman"/>
          <w:sz w:val="26"/>
          <w:szCs w:val="26"/>
        </w:rPr>
        <w:t xml:space="preserve">, </w:t>
      </w:r>
      <w:r w:rsidR="00882A53">
        <w:rPr>
          <w:rFonts w:ascii="Times New Roman" w:hAnsi="Times New Roman" w:cs="Times New Roman"/>
          <w:sz w:val="26"/>
          <w:szCs w:val="26"/>
        </w:rPr>
        <w:t xml:space="preserve">il fondo vada considerato </w:t>
      </w:r>
      <w:r w:rsidR="00B95834">
        <w:rPr>
          <w:rFonts w:ascii="Times New Roman" w:hAnsi="Times New Roman" w:cs="Times New Roman"/>
          <w:sz w:val="26"/>
          <w:szCs w:val="26"/>
        </w:rPr>
        <w:t xml:space="preserve">come un fondo </w:t>
      </w:r>
      <w:r w:rsidR="00882A53">
        <w:rPr>
          <w:rFonts w:ascii="Times New Roman" w:hAnsi="Times New Roman" w:cs="Times New Roman"/>
          <w:sz w:val="26"/>
          <w:szCs w:val="26"/>
        </w:rPr>
        <w:t xml:space="preserve">bilanciato, </w:t>
      </w:r>
      <w:r w:rsidR="00B95834">
        <w:rPr>
          <w:rFonts w:ascii="Times New Roman" w:hAnsi="Times New Roman" w:cs="Times New Roman"/>
          <w:sz w:val="26"/>
          <w:szCs w:val="26"/>
        </w:rPr>
        <w:t>dal momento che</w:t>
      </w:r>
      <w:r w:rsidR="00882A53">
        <w:rPr>
          <w:rFonts w:ascii="Times New Roman" w:hAnsi="Times New Roman" w:cs="Times New Roman"/>
          <w:sz w:val="26"/>
          <w:szCs w:val="26"/>
        </w:rPr>
        <w:t xml:space="preserve"> </w:t>
      </w:r>
      <w:r w:rsidR="0008644E">
        <w:rPr>
          <w:rFonts w:ascii="Times New Roman" w:hAnsi="Times New Roman" w:cs="Times New Roman"/>
          <w:sz w:val="26"/>
          <w:szCs w:val="26"/>
        </w:rPr>
        <w:t>l</w:t>
      </w:r>
      <w:r w:rsidR="00882A53">
        <w:rPr>
          <w:rFonts w:ascii="Times New Roman" w:hAnsi="Times New Roman" w:cs="Times New Roman"/>
          <w:sz w:val="26"/>
          <w:szCs w:val="26"/>
        </w:rPr>
        <w:t>’elevata</w:t>
      </w:r>
      <w:r w:rsidR="0008644E">
        <w:rPr>
          <w:rFonts w:ascii="Times New Roman" w:hAnsi="Times New Roman" w:cs="Times New Roman"/>
          <w:sz w:val="26"/>
          <w:szCs w:val="26"/>
        </w:rPr>
        <w:t xml:space="preserve"> capacità della regressione di spiegare il comportamento del prodotto</w:t>
      </w:r>
      <w:r w:rsidR="00882A53">
        <w:rPr>
          <w:rFonts w:ascii="Times New Roman" w:hAnsi="Times New Roman" w:cs="Times New Roman"/>
          <w:sz w:val="26"/>
          <w:szCs w:val="26"/>
        </w:rPr>
        <w:t xml:space="preserve"> rileva che l’asset </w:t>
      </w:r>
      <w:proofErr w:type="spellStart"/>
      <w:r w:rsidR="00B95834">
        <w:rPr>
          <w:rFonts w:ascii="Times New Roman" w:hAnsi="Times New Roman" w:cs="Times New Roman"/>
          <w:sz w:val="26"/>
          <w:szCs w:val="26"/>
        </w:rPr>
        <w:t>allocation</w:t>
      </w:r>
      <w:proofErr w:type="spellEnd"/>
      <w:r w:rsidR="00B95834">
        <w:rPr>
          <w:rFonts w:ascii="Times New Roman" w:hAnsi="Times New Roman" w:cs="Times New Roman"/>
          <w:sz w:val="26"/>
          <w:szCs w:val="26"/>
        </w:rPr>
        <w:t xml:space="preserve"> </w:t>
      </w:r>
      <w:r w:rsidR="00882A53">
        <w:rPr>
          <w:rFonts w:ascii="Times New Roman" w:hAnsi="Times New Roman" w:cs="Times New Roman"/>
          <w:sz w:val="26"/>
          <w:szCs w:val="26"/>
        </w:rPr>
        <w:t>implicita del fondo non subisce significative variazioni nel tempo</w:t>
      </w:r>
      <w:r w:rsidR="0020147E">
        <w:rPr>
          <w:rFonts w:ascii="Times New Roman" w:hAnsi="Times New Roman" w:cs="Times New Roman"/>
          <w:sz w:val="26"/>
          <w:szCs w:val="26"/>
        </w:rPr>
        <w:t>;</w:t>
      </w:r>
      <w:r w:rsidR="00882A53">
        <w:rPr>
          <w:rFonts w:ascii="Times New Roman" w:hAnsi="Times New Roman" w:cs="Times New Roman"/>
          <w:sz w:val="26"/>
          <w:szCs w:val="26"/>
        </w:rPr>
        <w:t xml:space="preserve"> </w:t>
      </w:r>
      <w:r w:rsidR="0020147E">
        <w:rPr>
          <w:rFonts w:ascii="Times New Roman" w:hAnsi="Times New Roman" w:cs="Times New Roman"/>
          <w:sz w:val="26"/>
          <w:szCs w:val="26"/>
        </w:rPr>
        <w:t>a</w:t>
      </w:r>
      <w:r w:rsidR="0008644E">
        <w:rPr>
          <w:rFonts w:ascii="Times New Roman" w:hAnsi="Times New Roman" w:cs="Times New Roman"/>
          <w:sz w:val="26"/>
          <w:szCs w:val="26"/>
        </w:rPr>
        <w:t>ll’opposto, quando il valore di R</w:t>
      </w:r>
      <w:r w:rsidR="0008644E" w:rsidRPr="0008644E">
        <w:rPr>
          <w:rFonts w:ascii="Times New Roman" w:hAnsi="Times New Roman" w:cs="Times New Roman"/>
          <w:sz w:val="26"/>
          <w:szCs w:val="26"/>
          <w:vertAlign w:val="superscript"/>
        </w:rPr>
        <w:t>2</w:t>
      </w:r>
      <w:r w:rsidR="0008644E">
        <w:rPr>
          <w:rFonts w:ascii="Times New Roman" w:hAnsi="Times New Roman" w:cs="Times New Roman"/>
          <w:sz w:val="26"/>
          <w:szCs w:val="26"/>
        </w:rPr>
        <w:t xml:space="preserve"> è </w:t>
      </w:r>
      <w:r w:rsidR="00882A53">
        <w:rPr>
          <w:rFonts w:ascii="Times New Roman" w:hAnsi="Times New Roman" w:cs="Times New Roman"/>
          <w:sz w:val="26"/>
          <w:szCs w:val="26"/>
        </w:rPr>
        <w:t>molto</w:t>
      </w:r>
      <w:r w:rsidR="0008644E">
        <w:rPr>
          <w:rFonts w:ascii="Times New Roman" w:hAnsi="Times New Roman" w:cs="Times New Roman"/>
          <w:sz w:val="26"/>
          <w:szCs w:val="26"/>
        </w:rPr>
        <w:t xml:space="preserve"> basso, l’incapacità della regressione di </w:t>
      </w:r>
      <w:r w:rsidR="00376474">
        <w:rPr>
          <w:rFonts w:ascii="Times New Roman" w:hAnsi="Times New Roman" w:cs="Times New Roman"/>
          <w:sz w:val="26"/>
          <w:szCs w:val="26"/>
        </w:rPr>
        <w:t>identificare una combinazione di mercati in grado di spiegare la performance del fondo, suggerisce</w:t>
      </w:r>
      <w:r w:rsidR="00882A53">
        <w:rPr>
          <w:rFonts w:ascii="Times New Roman" w:hAnsi="Times New Roman" w:cs="Times New Roman"/>
          <w:sz w:val="26"/>
          <w:szCs w:val="26"/>
        </w:rPr>
        <w:t xml:space="preserve"> che il fondo </w:t>
      </w:r>
      <w:r w:rsidR="0020147E">
        <w:rPr>
          <w:rFonts w:ascii="Times New Roman" w:hAnsi="Times New Roman" w:cs="Times New Roman"/>
          <w:sz w:val="26"/>
          <w:szCs w:val="26"/>
        </w:rPr>
        <w:t>attua strategie di gestione che la regressione lineare non riesce a</w:t>
      </w:r>
      <w:r w:rsidR="00B95834">
        <w:rPr>
          <w:rFonts w:ascii="Times New Roman" w:hAnsi="Times New Roman" w:cs="Times New Roman"/>
          <w:sz w:val="26"/>
          <w:szCs w:val="26"/>
        </w:rPr>
        <w:t xml:space="preserve"> cogliere/</w:t>
      </w:r>
      <w:r w:rsidR="006306C2">
        <w:rPr>
          <w:rFonts w:ascii="Times New Roman" w:hAnsi="Times New Roman" w:cs="Times New Roman"/>
          <w:sz w:val="26"/>
          <w:szCs w:val="26"/>
        </w:rPr>
        <w:t>interpretare</w:t>
      </w:r>
      <w:r w:rsidR="0020147E">
        <w:rPr>
          <w:rFonts w:ascii="Times New Roman" w:hAnsi="Times New Roman" w:cs="Times New Roman"/>
          <w:sz w:val="26"/>
          <w:szCs w:val="26"/>
        </w:rPr>
        <w:t xml:space="preserve">. Questo accade quando il </w:t>
      </w:r>
      <w:r w:rsidR="006526E0">
        <w:rPr>
          <w:rFonts w:ascii="Times New Roman" w:hAnsi="Times New Roman" w:cs="Times New Roman"/>
          <w:sz w:val="26"/>
          <w:szCs w:val="26"/>
        </w:rPr>
        <w:t>fondo</w:t>
      </w:r>
      <w:r w:rsidR="0020147E">
        <w:rPr>
          <w:rFonts w:ascii="Times New Roman" w:hAnsi="Times New Roman" w:cs="Times New Roman"/>
          <w:sz w:val="26"/>
          <w:szCs w:val="26"/>
        </w:rPr>
        <w:t xml:space="preserve"> è </w:t>
      </w:r>
      <w:proofErr w:type="spellStart"/>
      <w:r w:rsidR="0020147E" w:rsidRPr="0020147E">
        <w:rPr>
          <w:rFonts w:ascii="Times New Roman" w:hAnsi="Times New Roman" w:cs="Times New Roman"/>
          <w:i/>
          <w:sz w:val="26"/>
          <w:szCs w:val="26"/>
        </w:rPr>
        <w:t>total</w:t>
      </w:r>
      <w:proofErr w:type="spellEnd"/>
      <w:r w:rsidR="0020147E" w:rsidRPr="0020147E">
        <w:rPr>
          <w:rFonts w:ascii="Times New Roman" w:hAnsi="Times New Roman" w:cs="Times New Roman"/>
          <w:i/>
          <w:sz w:val="26"/>
          <w:szCs w:val="26"/>
        </w:rPr>
        <w:t xml:space="preserve"> </w:t>
      </w:r>
      <w:proofErr w:type="spellStart"/>
      <w:r w:rsidR="0020147E" w:rsidRPr="0020147E">
        <w:rPr>
          <w:rFonts w:ascii="Times New Roman" w:hAnsi="Times New Roman" w:cs="Times New Roman"/>
          <w:i/>
          <w:sz w:val="26"/>
          <w:szCs w:val="26"/>
        </w:rPr>
        <w:t>return</w:t>
      </w:r>
      <w:proofErr w:type="spellEnd"/>
      <w:r w:rsidR="0020147E">
        <w:rPr>
          <w:rFonts w:ascii="Times New Roman" w:hAnsi="Times New Roman" w:cs="Times New Roman"/>
          <w:sz w:val="26"/>
          <w:szCs w:val="26"/>
        </w:rPr>
        <w:t xml:space="preserve">: l’uso di derivati, </w:t>
      </w:r>
      <w:r w:rsidR="0020147E" w:rsidRPr="00CE3A47">
        <w:rPr>
          <w:rFonts w:ascii="Times New Roman" w:hAnsi="Times New Roman" w:cs="Times New Roman"/>
          <w:i/>
          <w:sz w:val="26"/>
          <w:szCs w:val="26"/>
        </w:rPr>
        <w:t>short selling</w:t>
      </w:r>
      <w:r w:rsidR="0020147E" w:rsidRPr="00CE3A47">
        <w:rPr>
          <w:rFonts w:ascii="Times New Roman" w:hAnsi="Times New Roman" w:cs="Times New Roman"/>
          <w:sz w:val="26"/>
          <w:szCs w:val="26"/>
        </w:rPr>
        <w:t xml:space="preserve">, </w:t>
      </w:r>
      <w:r w:rsidR="0020147E">
        <w:rPr>
          <w:rFonts w:ascii="Times New Roman" w:hAnsi="Times New Roman" w:cs="Times New Roman"/>
          <w:sz w:val="26"/>
          <w:szCs w:val="26"/>
        </w:rPr>
        <w:t>arbitraggio</w:t>
      </w:r>
      <w:r w:rsidR="0020147E" w:rsidRPr="00CE3A47">
        <w:rPr>
          <w:rFonts w:ascii="Times New Roman" w:hAnsi="Times New Roman" w:cs="Times New Roman"/>
          <w:sz w:val="26"/>
          <w:szCs w:val="26"/>
        </w:rPr>
        <w:t xml:space="preserve">, </w:t>
      </w:r>
      <w:r w:rsidR="0020147E">
        <w:rPr>
          <w:rFonts w:ascii="Times New Roman" w:hAnsi="Times New Roman" w:cs="Times New Roman"/>
          <w:sz w:val="26"/>
          <w:szCs w:val="26"/>
        </w:rPr>
        <w:t>leva nonché di asset class</w:t>
      </w:r>
      <w:r w:rsidR="0020147E" w:rsidRPr="00CE3A47">
        <w:rPr>
          <w:rFonts w:ascii="Times New Roman" w:hAnsi="Times New Roman" w:cs="Times New Roman"/>
          <w:sz w:val="26"/>
          <w:szCs w:val="26"/>
        </w:rPr>
        <w:t xml:space="preserve"> </w:t>
      </w:r>
      <w:r w:rsidR="0020147E">
        <w:rPr>
          <w:rFonts w:ascii="Times New Roman" w:hAnsi="Times New Roman" w:cs="Times New Roman"/>
          <w:sz w:val="26"/>
          <w:szCs w:val="26"/>
        </w:rPr>
        <w:t>alternative impedisc</w:t>
      </w:r>
      <w:r w:rsidR="006526E0">
        <w:rPr>
          <w:rFonts w:ascii="Times New Roman" w:hAnsi="Times New Roman" w:cs="Times New Roman"/>
          <w:sz w:val="26"/>
          <w:szCs w:val="26"/>
        </w:rPr>
        <w:t>e</w:t>
      </w:r>
      <w:r w:rsidR="0020147E">
        <w:rPr>
          <w:rFonts w:ascii="Times New Roman" w:hAnsi="Times New Roman" w:cs="Times New Roman"/>
          <w:sz w:val="26"/>
          <w:szCs w:val="26"/>
        </w:rPr>
        <w:t xml:space="preserve"> </w:t>
      </w:r>
      <w:r w:rsidR="006306C2">
        <w:rPr>
          <w:rFonts w:ascii="Times New Roman" w:hAnsi="Times New Roman" w:cs="Times New Roman"/>
          <w:sz w:val="26"/>
          <w:szCs w:val="26"/>
        </w:rPr>
        <w:t>alla</w:t>
      </w:r>
      <w:r w:rsidR="0020147E">
        <w:rPr>
          <w:rFonts w:ascii="Times New Roman" w:hAnsi="Times New Roman" w:cs="Times New Roman"/>
          <w:sz w:val="26"/>
          <w:szCs w:val="26"/>
        </w:rPr>
        <w:t xml:space="preserve"> </w:t>
      </w:r>
      <w:r w:rsidR="006306C2">
        <w:rPr>
          <w:rFonts w:ascii="Times New Roman" w:hAnsi="Times New Roman" w:cs="Times New Roman"/>
          <w:sz w:val="26"/>
          <w:szCs w:val="26"/>
        </w:rPr>
        <w:t xml:space="preserve">style </w:t>
      </w:r>
      <w:proofErr w:type="spellStart"/>
      <w:r w:rsidR="006306C2">
        <w:rPr>
          <w:rFonts w:ascii="Times New Roman" w:hAnsi="Times New Roman" w:cs="Times New Roman"/>
          <w:sz w:val="26"/>
          <w:szCs w:val="26"/>
        </w:rPr>
        <w:t>analysis</w:t>
      </w:r>
      <w:proofErr w:type="spellEnd"/>
      <w:r w:rsidR="0020147E">
        <w:rPr>
          <w:rFonts w:ascii="Times New Roman" w:hAnsi="Times New Roman" w:cs="Times New Roman"/>
          <w:sz w:val="26"/>
          <w:szCs w:val="26"/>
        </w:rPr>
        <w:t xml:space="preserve"> di spiegarne </w:t>
      </w:r>
      <w:r w:rsidR="00045631">
        <w:rPr>
          <w:rFonts w:ascii="Times New Roman" w:hAnsi="Times New Roman" w:cs="Times New Roman"/>
          <w:sz w:val="26"/>
          <w:szCs w:val="26"/>
        </w:rPr>
        <w:t>il comportamento</w:t>
      </w:r>
      <w:r w:rsidR="0020147E">
        <w:rPr>
          <w:rFonts w:ascii="Times New Roman" w:hAnsi="Times New Roman" w:cs="Times New Roman"/>
          <w:sz w:val="26"/>
          <w:szCs w:val="26"/>
        </w:rPr>
        <w:t>.</w:t>
      </w:r>
      <w:r w:rsidR="00045631">
        <w:rPr>
          <w:rFonts w:ascii="Times New Roman" w:hAnsi="Times New Roman" w:cs="Times New Roman"/>
          <w:sz w:val="26"/>
          <w:szCs w:val="26"/>
        </w:rPr>
        <w:t xml:space="preserve"> </w:t>
      </w:r>
    </w:p>
    <w:p w14:paraId="383822A8" w14:textId="74EAABF2" w:rsidR="003531EB" w:rsidRDefault="00045631" w:rsidP="0048692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Per</w:t>
      </w:r>
      <w:r w:rsidR="0020147E">
        <w:rPr>
          <w:rFonts w:ascii="Times New Roman" w:hAnsi="Times New Roman" w:cs="Times New Roman"/>
          <w:sz w:val="26"/>
          <w:szCs w:val="26"/>
        </w:rPr>
        <w:t xml:space="preserve"> </w:t>
      </w:r>
      <w:r w:rsidR="00D646C9">
        <w:rPr>
          <w:rFonts w:ascii="Times New Roman" w:hAnsi="Times New Roman" w:cs="Times New Roman"/>
          <w:sz w:val="26"/>
          <w:szCs w:val="26"/>
        </w:rPr>
        <w:t>l’</w:t>
      </w:r>
      <w:r w:rsidR="0020147E">
        <w:rPr>
          <w:rFonts w:ascii="Times New Roman" w:hAnsi="Times New Roman" w:cs="Times New Roman"/>
          <w:sz w:val="26"/>
          <w:szCs w:val="26"/>
        </w:rPr>
        <w:t>identifica</w:t>
      </w:r>
      <w:r w:rsidR="00D646C9">
        <w:rPr>
          <w:rFonts w:ascii="Times New Roman" w:hAnsi="Times New Roman" w:cs="Times New Roman"/>
          <w:sz w:val="26"/>
          <w:szCs w:val="26"/>
        </w:rPr>
        <w:t>zion</w:t>
      </w:r>
      <w:r w:rsidR="0020147E">
        <w:rPr>
          <w:rFonts w:ascii="Times New Roman" w:hAnsi="Times New Roman" w:cs="Times New Roman"/>
          <w:sz w:val="26"/>
          <w:szCs w:val="26"/>
        </w:rPr>
        <w:t xml:space="preserve">e </w:t>
      </w:r>
      <w:r w:rsidR="00D646C9">
        <w:rPr>
          <w:rFonts w:ascii="Times New Roman" w:hAnsi="Times New Roman" w:cs="Times New Roman"/>
          <w:sz w:val="26"/>
          <w:szCs w:val="26"/>
        </w:rPr>
        <w:t>de</w:t>
      </w:r>
      <w:r w:rsidR="0020147E">
        <w:rPr>
          <w:rFonts w:ascii="Times New Roman" w:hAnsi="Times New Roman" w:cs="Times New Roman"/>
          <w:sz w:val="26"/>
          <w:szCs w:val="26"/>
        </w:rPr>
        <w:t xml:space="preserve">l sottoinsieme dei prodotti flessibili </w:t>
      </w:r>
      <w:r>
        <w:rPr>
          <w:rFonts w:ascii="Times New Roman" w:hAnsi="Times New Roman" w:cs="Times New Roman"/>
          <w:sz w:val="26"/>
          <w:szCs w:val="26"/>
        </w:rPr>
        <w:t>è stata effettuata</w:t>
      </w:r>
      <w:r w:rsidR="0020147E">
        <w:rPr>
          <w:rFonts w:ascii="Times New Roman" w:hAnsi="Times New Roman" w:cs="Times New Roman"/>
          <w:sz w:val="26"/>
          <w:szCs w:val="26"/>
        </w:rPr>
        <w:t xml:space="preserve"> (sulla finestra temporale 31/12/2016-31/12/2019) la style </w:t>
      </w:r>
      <w:proofErr w:type="spellStart"/>
      <w:r w:rsidR="0020147E">
        <w:rPr>
          <w:rFonts w:ascii="Times New Roman" w:hAnsi="Times New Roman" w:cs="Times New Roman"/>
          <w:sz w:val="26"/>
          <w:szCs w:val="26"/>
        </w:rPr>
        <w:t>analysis</w:t>
      </w:r>
      <w:proofErr w:type="spellEnd"/>
      <w:r w:rsidR="0020147E">
        <w:rPr>
          <w:rFonts w:ascii="Times New Roman" w:hAnsi="Times New Roman" w:cs="Times New Roman"/>
          <w:sz w:val="26"/>
          <w:szCs w:val="26"/>
        </w:rPr>
        <w:t xml:space="preserve"> di tutti i fondi del </w:t>
      </w:r>
      <w:r w:rsidR="0020147E" w:rsidRPr="006526E0">
        <w:rPr>
          <w:rFonts w:ascii="Times New Roman" w:hAnsi="Times New Roman" w:cs="Times New Roman"/>
          <w:i/>
          <w:sz w:val="26"/>
          <w:szCs w:val="26"/>
        </w:rPr>
        <w:t>panel</w:t>
      </w:r>
      <w:r w:rsidR="0020147E">
        <w:rPr>
          <w:rFonts w:ascii="Times New Roman" w:hAnsi="Times New Roman" w:cs="Times New Roman"/>
          <w:sz w:val="26"/>
          <w:szCs w:val="26"/>
        </w:rPr>
        <w:t xml:space="preserve">, </w:t>
      </w:r>
      <w:r w:rsidR="006526E0">
        <w:rPr>
          <w:rFonts w:ascii="Times New Roman" w:hAnsi="Times New Roman" w:cs="Times New Roman"/>
          <w:sz w:val="26"/>
          <w:szCs w:val="26"/>
        </w:rPr>
        <w:t>e si sono poi eliminati</w:t>
      </w:r>
      <w:r w:rsidR="0020147E">
        <w:rPr>
          <w:rFonts w:ascii="Times New Roman" w:hAnsi="Times New Roman" w:cs="Times New Roman"/>
          <w:sz w:val="26"/>
          <w:szCs w:val="26"/>
        </w:rPr>
        <w:t xml:space="preserve"> quelli per</w:t>
      </w:r>
      <w:r w:rsidR="00475B22">
        <w:rPr>
          <w:rFonts w:ascii="Times New Roman" w:hAnsi="Times New Roman" w:cs="Times New Roman"/>
          <w:sz w:val="26"/>
          <w:szCs w:val="26"/>
        </w:rPr>
        <w:t xml:space="preserve"> </w:t>
      </w:r>
      <w:r w:rsidR="0020147E">
        <w:rPr>
          <w:rFonts w:ascii="Times New Roman" w:hAnsi="Times New Roman" w:cs="Times New Roman"/>
          <w:sz w:val="26"/>
          <w:szCs w:val="26"/>
        </w:rPr>
        <w:t>i quali l’R</w:t>
      </w:r>
      <w:r w:rsidR="0020147E" w:rsidRPr="0020147E">
        <w:rPr>
          <w:rFonts w:ascii="Times New Roman" w:hAnsi="Times New Roman" w:cs="Times New Roman"/>
          <w:sz w:val="26"/>
          <w:szCs w:val="26"/>
          <w:vertAlign w:val="superscript"/>
        </w:rPr>
        <w:t>2</w:t>
      </w:r>
      <w:r w:rsidR="0020147E">
        <w:rPr>
          <w:rFonts w:ascii="Times New Roman" w:hAnsi="Times New Roman" w:cs="Times New Roman"/>
          <w:sz w:val="26"/>
          <w:szCs w:val="26"/>
        </w:rPr>
        <w:t xml:space="preserve"> della style </w:t>
      </w:r>
      <w:proofErr w:type="spellStart"/>
      <w:r w:rsidR="0020147E">
        <w:rPr>
          <w:rFonts w:ascii="Times New Roman" w:hAnsi="Times New Roman" w:cs="Times New Roman"/>
          <w:sz w:val="26"/>
          <w:szCs w:val="26"/>
        </w:rPr>
        <w:t>analysis</w:t>
      </w:r>
      <w:proofErr w:type="spellEnd"/>
      <w:r w:rsidR="0020147E">
        <w:rPr>
          <w:rFonts w:ascii="Times New Roman" w:hAnsi="Times New Roman" w:cs="Times New Roman"/>
          <w:sz w:val="26"/>
          <w:szCs w:val="26"/>
        </w:rPr>
        <w:t xml:space="preserve"> </w:t>
      </w:r>
      <w:r w:rsidR="00696D22">
        <w:rPr>
          <w:rFonts w:ascii="Times New Roman" w:hAnsi="Times New Roman" w:cs="Times New Roman"/>
          <w:sz w:val="26"/>
          <w:szCs w:val="26"/>
        </w:rPr>
        <w:t xml:space="preserve">è risultata </w:t>
      </w:r>
      <w:r>
        <w:rPr>
          <w:rFonts w:ascii="Times New Roman" w:hAnsi="Times New Roman" w:cs="Times New Roman"/>
          <w:sz w:val="26"/>
          <w:szCs w:val="26"/>
        </w:rPr>
        <w:t>rispettivamente</w:t>
      </w:r>
      <w:r w:rsidR="0020147E">
        <w:rPr>
          <w:rFonts w:ascii="Times New Roman" w:hAnsi="Times New Roman" w:cs="Times New Roman"/>
          <w:sz w:val="26"/>
          <w:szCs w:val="26"/>
        </w:rPr>
        <w:t xml:space="preserve"> superiore all’</w:t>
      </w:r>
      <w:r w:rsidR="00547BA2">
        <w:rPr>
          <w:rFonts w:ascii="Times New Roman" w:hAnsi="Times New Roman" w:cs="Times New Roman"/>
          <w:sz w:val="26"/>
          <w:szCs w:val="26"/>
        </w:rPr>
        <w:t>80</w:t>
      </w:r>
      <w:r w:rsidR="0020147E">
        <w:rPr>
          <w:rFonts w:ascii="Times New Roman" w:hAnsi="Times New Roman" w:cs="Times New Roman"/>
          <w:sz w:val="26"/>
          <w:szCs w:val="26"/>
        </w:rPr>
        <w:t>% ed inferiore al</w:t>
      </w:r>
      <w:r w:rsidR="00547BA2">
        <w:rPr>
          <w:rFonts w:ascii="Times New Roman" w:hAnsi="Times New Roman" w:cs="Times New Roman"/>
          <w:sz w:val="26"/>
          <w:szCs w:val="26"/>
        </w:rPr>
        <w:t xml:space="preserve"> 20</w:t>
      </w:r>
      <w:r w:rsidR="0020147E">
        <w:rPr>
          <w:rFonts w:ascii="Times New Roman" w:hAnsi="Times New Roman" w:cs="Times New Roman"/>
          <w:sz w:val="26"/>
          <w:szCs w:val="26"/>
        </w:rPr>
        <w:t>%.</w:t>
      </w:r>
      <w:r w:rsidR="00547BA2">
        <w:rPr>
          <w:rFonts w:ascii="Times New Roman" w:hAnsi="Times New Roman" w:cs="Times New Roman"/>
          <w:sz w:val="26"/>
          <w:szCs w:val="26"/>
        </w:rPr>
        <w:t xml:space="preserve"> Degli iniziali 516 prodotti aventi una serie storica di almeno 3 anni, </w:t>
      </w:r>
      <w:r w:rsidR="006526E0">
        <w:rPr>
          <w:rFonts w:ascii="Times New Roman" w:hAnsi="Times New Roman" w:cs="Times New Roman"/>
          <w:sz w:val="26"/>
          <w:szCs w:val="26"/>
        </w:rPr>
        <w:t xml:space="preserve">ne </w:t>
      </w:r>
      <w:r w:rsidR="00475B22">
        <w:rPr>
          <w:rFonts w:ascii="Times New Roman" w:hAnsi="Times New Roman" w:cs="Times New Roman"/>
          <w:sz w:val="26"/>
          <w:szCs w:val="26"/>
        </w:rPr>
        <w:t>residuano 224: 39 sono stati eliminati perché considerat</w:t>
      </w:r>
      <w:r w:rsidR="006526E0">
        <w:rPr>
          <w:rFonts w:ascii="Times New Roman" w:hAnsi="Times New Roman" w:cs="Times New Roman"/>
          <w:sz w:val="26"/>
          <w:szCs w:val="26"/>
        </w:rPr>
        <w:t>i</w:t>
      </w:r>
      <w:r w:rsidR="00475B22">
        <w:rPr>
          <w:rFonts w:ascii="Times New Roman" w:hAnsi="Times New Roman" w:cs="Times New Roman"/>
          <w:sz w:val="26"/>
          <w:szCs w:val="26"/>
        </w:rPr>
        <w:t xml:space="preserve"> </w:t>
      </w:r>
      <w:proofErr w:type="spellStart"/>
      <w:r w:rsidR="00475B22" w:rsidRPr="00475B22">
        <w:rPr>
          <w:rFonts w:ascii="Times New Roman" w:hAnsi="Times New Roman" w:cs="Times New Roman"/>
          <w:i/>
          <w:sz w:val="26"/>
          <w:szCs w:val="26"/>
        </w:rPr>
        <w:t>total</w:t>
      </w:r>
      <w:proofErr w:type="spellEnd"/>
      <w:r w:rsidR="00475B22" w:rsidRPr="00475B22">
        <w:rPr>
          <w:rFonts w:ascii="Times New Roman" w:hAnsi="Times New Roman" w:cs="Times New Roman"/>
          <w:i/>
          <w:sz w:val="26"/>
          <w:szCs w:val="26"/>
        </w:rPr>
        <w:t xml:space="preserve"> </w:t>
      </w:r>
      <w:proofErr w:type="spellStart"/>
      <w:r w:rsidR="00475B22" w:rsidRPr="00475B22">
        <w:rPr>
          <w:rFonts w:ascii="Times New Roman" w:hAnsi="Times New Roman" w:cs="Times New Roman"/>
          <w:i/>
          <w:sz w:val="26"/>
          <w:szCs w:val="26"/>
        </w:rPr>
        <w:t>return</w:t>
      </w:r>
      <w:proofErr w:type="spellEnd"/>
      <w:r w:rsidR="00475B22">
        <w:rPr>
          <w:rFonts w:ascii="Times New Roman" w:hAnsi="Times New Roman" w:cs="Times New Roman"/>
          <w:sz w:val="26"/>
          <w:szCs w:val="26"/>
        </w:rPr>
        <w:t xml:space="preserve"> in virtù di un R</w:t>
      </w:r>
      <w:r w:rsidR="00475B22" w:rsidRPr="00475B22">
        <w:rPr>
          <w:rFonts w:ascii="Times New Roman" w:hAnsi="Times New Roman" w:cs="Times New Roman"/>
          <w:sz w:val="26"/>
          <w:szCs w:val="26"/>
          <w:vertAlign w:val="superscript"/>
        </w:rPr>
        <w:t>2</w:t>
      </w:r>
      <w:r w:rsidR="00475B22">
        <w:rPr>
          <w:rFonts w:ascii="Times New Roman" w:hAnsi="Times New Roman" w:cs="Times New Roman"/>
          <w:sz w:val="26"/>
          <w:szCs w:val="26"/>
        </w:rPr>
        <w:t xml:space="preserve"> inferiore al 20%, mentre ben 253 sono stati </w:t>
      </w:r>
      <w:r w:rsidR="00492581">
        <w:rPr>
          <w:rFonts w:ascii="Times New Roman" w:hAnsi="Times New Roman" w:cs="Times New Roman"/>
          <w:sz w:val="26"/>
          <w:szCs w:val="26"/>
        </w:rPr>
        <w:t>trascurati</w:t>
      </w:r>
      <w:r w:rsidR="00475B22">
        <w:rPr>
          <w:rFonts w:ascii="Times New Roman" w:hAnsi="Times New Roman" w:cs="Times New Roman"/>
          <w:sz w:val="26"/>
          <w:szCs w:val="26"/>
        </w:rPr>
        <w:t xml:space="preserve"> perché catalogati come bilanciati</w:t>
      </w:r>
      <w:r w:rsidR="006526E0">
        <w:rPr>
          <w:rFonts w:ascii="Times New Roman" w:hAnsi="Times New Roman" w:cs="Times New Roman"/>
          <w:sz w:val="26"/>
          <w:szCs w:val="26"/>
        </w:rPr>
        <w:t>,</w:t>
      </w:r>
      <w:r w:rsidR="00475B22">
        <w:rPr>
          <w:rFonts w:ascii="Times New Roman" w:hAnsi="Times New Roman" w:cs="Times New Roman"/>
          <w:sz w:val="26"/>
          <w:szCs w:val="26"/>
        </w:rPr>
        <w:t xml:space="preserve"> </w:t>
      </w:r>
      <w:r w:rsidR="00351C11">
        <w:rPr>
          <w:rFonts w:ascii="Times New Roman" w:hAnsi="Times New Roman" w:cs="Times New Roman"/>
          <w:sz w:val="26"/>
          <w:szCs w:val="26"/>
        </w:rPr>
        <w:t>a causa</w:t>
      </w:r>
      <w:r w:rsidR="00475B22">
        <w:rPr>
          <w:rFonts w:ascii="Times New Roman" w:hAnsi="Times New Roman" w:cs="Times New Roman"/>
          <w:sz w:val="26"/>
          <w:szCs w:val="26"/>
        </w:rPr>
        <w:t xml:space="preserve"> di un R</w:t>
      </w:r>
      <w:r w:rsidR="00475B22" w:rsidRPr="00475B22">
        <w:rPr>
          <w:rFonts w:ascii="Times New Roman" w:hAnsi="Times New Roman" w:cs="Times New Roman"/>
          <w:sz w:val="26"/>
          <w:szCs w:val="26"/>
          <w:vertAlign w:val="superscript"/>
        </w:rPr>
        <w:t>2</w:t>
      </w:r>
      <w:r w:rsidR="00475B22">
        <w:rPr>
          <w:rFonts w:ascii="Times New Roman" w:hAnsi="Times New Roman" w:cs="Times New Roman"/>
          <w:sz w:val="26"/>
          <w:szCs w:val="26"/>
        </w:rPr>
        <w:t xml:space="preserve"> superiore all’80%.</w:t>
      </w:r>
      <w:r w:rsidR="00486923">
        <w:rPr>
          <w:rFonts w:ascii="Times New Roman" w:hAnsi="Times New Roman" w:cs="Times New Roman"/>
          <w:sz w:val="26"/>
          <w:szCs w:val="26"/>
        </w:rPr>
        <w:t xml:space="preserve"> </w:t>
      </w:r>
    </w:p>
    <w:p w14:paraId="5C965BD9" w14:textId="77777777" w:rsidR="0020147E" w:rsidRPr="00475B22" w:rsidRDefault="00D646C9" w:rsidP="0048692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Il risultato di questo esercizio è in grado di fornire utili indicazioni ai fini della </w:t>
      </w:r>
      <w:r w:rsidR="003531EB">
        <w:rPr>
          <w:rFonts w:ascii="Times New Roman" w:hAnsi="Times New Roman" w:cs="Times New Roman"/>
          <w:sz w:val="26"/>
          <w:szCs w:val="26"/>
        </w:rPr>
        <w:t>strutturazione</w:t>
      </w:r>
      <w:r>
        <w:rPr>
          <w:rFonts w:ascii="Times New Roman" w:hAnsi="Times New Roman" w:cs="Times New Roman"/>
          <w:sz w:val="26"/>
          <w:szCs w:val="26"/>
        </w:rPr>
        <w:t xml:space="preserve"> del paniere dei fondi distribuiti: n</w:t>
      </w:r>
      <w:r w:rsidR="00486923">
        <w:rPr>
          <w:rFonts w:ascii="Times New Roman" w:hAnsi="Times New Roman" w:cs="Times New Roman"/>
          <w:sz w:val="26"/>
          <w:szCs w:val="26"/>
        </w:rPr>
        <w:t xml:space="preserve">ell’ipotesi in cui il numero dei prodotti classificati come flessibili sia esiguo, </w:t>
      </w:r>
      <w:r w:rsidR="006526E0">
        <w:rPr>
          <w:rFonts w:ascii="Times New Roman" w:hAnsi="Times New Roman" w:cs="Times New Roman"/>
          <w:sz w:val="26"/>
          <w:szCs w:val="26"/>
        </w:rPr>
        <w:t>l’</w:t>
      </w:r>
      <w:r w:rsidR="00486923">
        <w:rPr>
          <w:rFonts w:ascii="Times New Roman" w:hAnsi="Times New Roman" w:cs="Times New Roman"/>
          <w:sz w:val="26"/>
          <w:szCs w:val="26"/>
        </w:rPr>
        <w:t>intermediario dovrebbe ampliare</w:t>
      </w:r>
      <w:r w:rsidR="00486923" w:rsidRPr="00486923">
        <w:rPr>
          <w:rFonts w:ascii="Times New Roman" w:hAnsi="Times New Roman" w:cs="Times New Roman"/>
          <w:sz w:val="26"/>
          <w:szCs w:val="26"/>
        </w:rPr>
        <w:t xml:space="preserve"> la gamma</w:t>
      </w:r>
      <w:r w:rsidR="00492581">
        <w:rPr>
          <w:rFonts w:ascii="Times New Roman" w:hAnsi="Times New Roman" w:cs="Times New Roman"/>
          <w:sz w:val="26"/>
          <w:szCs w:val="26"/>
        </w:rPr>
        <w:t xml:space="preserve"> dei prodotti, stipulando accordi di distribuzione con altre</w:t>
      </w:r>
      <w:r w:rsidR="00486923" w:rsidRPr="00486923">
        <w:rPr>
          <w:rFonts w:ascii="Times New Roman" w:hAnsi="Times New Roman" w:cs="Times New Roman"/>
          <w:sz w:val="26"/>
          <w:szCs w:val="26"/>
        </w:rPr>
        <w:t xml:space="preserve"> </w:t>
      </w:r>
      <w:r w:rsidR="00492581">
        <w:rPr>
          <w:rFonts w:ascii="Times New Roman" w:hAnsi="Times New Roman" w:cs="Times New Roman"/>
          <w:sz w:val="26"/>
          <w:szCs w:val="26"/>
        </w:rPr>
        <w:t>case</w:t>
      </w:r>
      <w:r w:rsidR="00486923">
        <w:rPr>
          <w:rFonts w:ascii="Times New Roman" w:hAnsi="Times New Roman" w:cs="Times New Roman"/>
          <w:sz w:val="26"/>
          <w:szCs w:val="26"/>
        </w:rPr>
        <w:t xml:space="preserve"> di gestione.</w:t>
      </w:r>
    </w:p>
    <w:p w14:paraId="525E884A" w14:textId="77777777" w:rsidR="006B682A" w:rsidRDefault="00E40066" w:rsidP="0020147E">
      <w:pPr>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Come secondo step del processo, i</w:t>
      </w:r>
      <w:r w:rsidR="006B682A">
        <w:rPr>
          <w:rFonts w:ascii="Times New Roman" w:hAnsi="Times New Roman" w:cs="Times New Roman"/>
          <w:sz w:val="26"/>
          <w:szCs w:val="26"/>
        </w:rPr>
        <w:t xml:space="preserve"> fondi classificati come flessibili devono essere </w:t>
      </w:r>
      <w:r>
        <w:rPr>
          <w:rFonts w:ascii="Times New Roman" w:hAnsi="Times New Roman" w:cs="Times New Roman"/>
          <w:sz w:val="26"/>
          <w:szCs w:val="26"/>
        </w:rPr>
        <w:t>oggetto di segmentazione</w:t>
      </w:r>
      <w:r w:rsidR="006B682A">
        <w:rPr>
          <w:rFonts w:ascii="Times New Roman" w:hAnsi="Times New Roman" w:cs="Times New Roman"/>
          <w:sz w:val="26"/>
          <w:szCs w:val="26"/>
        </w:rPr>
        <w:t xml:space="preserve"> </w:t>
      </w:r>
      <w:r w:rsidR="00486923">
        <w:rPr>
          <w:rFonts w:ascii="Times New Roman" w:hAnsi="Times New Roman" w:cs="Times New Roman"/>
          <w:sz w:val="26"/>
          <w:szCs w:val="26"/>
        </w:rPr>
        <w:t>in</w:t>
      </w:r>
      <w:r w:rsidR="006B682A">
        <w:rPr>
          <w:rFonts w:ascii="Times New Roman" w:hAnsi="Times New Roman" w:cs="Times New Roman"/>
          <w:sz w:val="26"/>
          <w:szCs w:val="26"/>
        </w:rPr>
        <w:t xml:space="preserve"> </w:t>
      </w:r>
      <w:r w:rsidR="00486923">
        <w:rPr>
          <w:rFonts w:ascii="Times New Roman" w:hAnsi="Times New Roman" w:cs="Times New Roman"/>
          <w:sz w:val="26"/>
          <w:szCs w:val="26"/>
        </w:rPr>
        <w:t xml:space="preserve">classi </w:t>
      </w:r>
      <w:r w:rsidR="006B682A">
        <w:rPr>
          <w:rFonts w:ascii="Times New Roman" w:hAnsi="Times New Roman" w:cs="Times New Roman"/>
          <w:sz w:val="26"/>
          <w:szCs w:val="26"/>
        </w:rPr>
        <w:t>omogene</w:t>
      </w:r>
      <w:r w:rsidR="00486923">
        <w:rPr>
          <w:rFonts w:ascii="Times New Roman" w:hAnsi="Times New Roman" w:cs="Times New Roman"/>
          <w:sz w:val="26"/>
          <w:szCs w:val="26"/>
        </w:rPr>
        <w:t>e. A tal proposito</w:t>
      </w:r>
      <w:r w:rsidR="003531EB">
        <w:rPr>
          <w:rFonts w:ascii="Times New Roman" w:hAnsi="Times New Roman" w:cs="Times New Roman"/>
          <w:sz w:val="26"/>
          <w:szCs w:val="26"/>
        </w:rPr>
        <w:t>,</w:t>
      </w:r>
      <w:r w:rsidR="00486923">
        <w:rPr>
          <w:rFonts w:ascii="Times New Roman" w:hAnsi="Times New Roman" w:cs="Times New Roman"/>
          <w:sz w:val="26"/>
          <w:szCs w:val="26"/>
        </w:rPr>
        <w:t xml:space="preserve"> è da evitare sia la creazione di un numero eccessivo di classi che renderebbe poi complesso il processo di selezione, sia la creazione di un numero di classi troppo esiguo, che impedirebbe di </w:t>
      </w:r>
      <w:r w:rsidR="003531EB">
        <w:rPr>
          <w:rFonts w:ascii="Times New Roman" w:hAnsi="Times New Roman" w:cs="Times New Roman"/>
          <w:sz w:val="26"/>
          <w:szCs w:val="26"/>
        </w:rPr>
        <w:t>isolare</w:t>
      </w:r>
      <w:r w:rsidR="00486923">
        <w:rPr>
          <w:rFonts w:ascii="Times New Roman" w:hAnsi="Times New Roman" w:cs="Times New Roman"/>
          <w:sz w:val="26"/>
          <w:szCs w:val="26"/>
        </w:rPr>
        <w:t xml:space="preserve"> sottoinsiem</w:t>
      </w:r>
      <w:r w:rsidR="006526E0">
        <w:rPr>
          <w:rFonts w:ascii="Times New Roman" w:hAnsi="Times New Roman" w:cs="Times New Roman"/>
          <w:sz w:val="26"/>
          <w:szCs w:val="26"/>
        </w:rPr>
        <w:t>i</w:t>
      </w:r>
      <w:r w:rsidR="00486923">
        <w:rPr>
          <w:rFonts w:ascii="Times New Roman" w:hAnsi="Times New Roman" w:cs="Times New Roman"/>
          <w:sz w:val="26"/>
          <w:szCs w:val="26"/>
        </w:rPr>
        <w:t xml:space="preserve"> di prodotti tra loro eterogeni. </w:t>
      </w:r>
      <w:r w:rsidR="00990EC2">
        <w:rPr>
          <w:rFonts w:ascii="Times New Roman" w:hAnsi="Times New Roman" w:cs="Times New Roman"/>
          <w:sz w:val="26"/>
          <w:szCs w:val="26"/>
        </w:rPr>
        <w:t>S</w:t>
      </w:r>
      <w:r w:rsidR="002A0A0E">
        <w:rPr>
          <w:rFonts w:ascii="Times New Roman" w:hAnsi="Times New Roman" w:cs="Times New Roman"/>
          <w:sz w:val="26"/>
          <w:szCs w:val="26"/>
        </w:rPr>
        <w:t>i è provveduto al</w:t>
      </w:r>
      <w:r>
        <w:rPr>
          <w:rFonts w:ascii="Times New Roman" w:hAnsi="Times New Roman" w:cs="Times New Roman"/>
          <w:sz w:val="26"/>
          <w:szCs w:val="26"/>
        </w:rPr>
        <w:t>la creazione</w:t>
      </w:r>
      <w:r w:rsidR="00486923">
        <w:rPr>
          <w:rFonts w:ascii="Times New Roman" w:hAnsi="Times New Roman" w:cs="Times New Roman"/>
          <w:sz w:val="26"/>
          <w:szCs w:val="26"/>
        </w:rPr>
        <w:t xml:space="preserve"> </w:t>
      </w:r>
      <w:r>
        <w:rPr>
          <w:rFonts w:ascii="Times New Roman" w:hAnsi="Times New Roman" w:cs="Times New Roman"/>
          <w:sz w:val="26"/>
          <w:szCs w:val="26"/>
        </w:rPr>
        <w:t xml:space="preserve">di </w:t>
      </w:r>
      <w:r w:rsidR="00486923">
        <w:rPr>
          <w:rFonts w:ascii="Times New Roman" w:hAnsi="Times New Roman" w:cs="Times New Roman"/>
          <w:sz w:val="26"/>
          <w:szCs w:val="26"/>
        </w:rPr>
        <w:t>quattro distinte classi</w:t>
      </w:r>
      <w:r w:rsidR="004443B8">
        <w:rPr>
          <w:rFonts w:ascii="Times New Roman" w:hAnsi="Times New Roman" w:cs="Times New Roman"/>
          <w:sz w:val="26"/>
          <w:szCs w:val="26"/>
        </w:rPr>
        <w:t xml:space="preserve">, utilizzando </w:t>
      </w:r>
      <w:r>
        <w:rPr>
          <w:rFonts w:ascii="Times New Roman" w:hAnsi="Times New Roman" w:cs="Times New Roman"/>
          <w:sz w:val="26"/>
          <w:szCs w:val="26"/>
        </w:rPr>
        <w:t>quali</w:t>
      </w:r>
      <w:r w:rsidR="004443B8">
        <w:rPr>
          <w:rFonts w:ascii="Times New Roman" w:hAnsi="Times New Roman" w:cs="Times New Roman"/>
          <w:sz w:val="26"/>
          <w:szCs w:val="26"/>
        </w:rPr>
        <w:t xml:space="preserve"> variabili discriminanti:</w:t>
      </w:r>
    </w:p>
    <w:p w14:paraId="0F9F5A60" w14:textId="548EB36A" w:rsidR="00E40066" w:rsidRDefault="00E40066" w:rsidP="004443B8">
      <w:pPr>
        <w:pStyle w:val="Paragrafoelenco"/>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il rischio, inteso come deviazione standard dei rendimenti dei prodotti; al fine di discriminare tra prodotti a rischio basso e </w:t>
      </w:r>
      <w:r w:rsidR="00B95834">
        <w:rPr>
          <w:rFonts w:ascii="Times New Roman" w:hAnsi="Times New Roman" w:cs="Times New Roman"/>
          <w:sz w:val="26"/>
          <w:szCs w:val="26"/>
        </w:rPr>
        <w:t xml:space="preserve">a </w:t>
      </w:r>
      <w:r>
        <w:rPr>
          <w:rFonts w:ascii="Times New Roman" w:hAnsi="Times New Roman" w:cs="Times New Roman"/>
          <w:sz w:val="26"/>
          <w:szCs w:val="26"/>
        </w:rPr>
        <w:t>rischio medio-alto</w:t>
      </w:r>
      <w:r w:rsidR="002A0A0E">
        <w:rPr>
          <w:rFonts w:ascii="Times New Roman" w:hAnsi="Times New Roman" w:cs="Times New Roman"/>
          <w:sz w:val="26"/>
          <w:szCs w:val="26"/>
        </w:rPr>
        <w:t>,</w:t>
      </w:r>
      <w:r>
        <w:rPr>
          <w:rFonts w:ascii="Times New Roman" w:hAnsi="Times New Roman" w:cs="Times New Roman"/>
          <w:sz w:val="26"/>
          <w:szCs w:val="26"/>
        </w:rPr>
        <w:t xml:space="preserve"> si è utilizzata </w:t>
      </w:r>
      <w:r w:rsidR="00B34014">
        <w:rPr>
          <w:rFonts w:ascii="Times New Roman" w:hAnsi="Times New Roman" w:cs="Times New Roman"/>
          <w:sz w:val="26"/>
          <w:szCs w:val="26"/>
        </w:rPr>
        <w:t>come</w:t>
      </w:r>
      <w:r w:rsidR="006306C2">
        <w:rPr>
          <w:rFonts w:ascii="Times New Roman" w:hAnsi="Times New Roman" w:cs="Times New Roman"/>
          <w:sz w:val="26"/>
          <w:szCs w:val="26"/>
        </w:rPr>
        <w:t xml:space="preserve"> variabile-soglia</w:t>
      </w:r>
      <w:r>
        <w:rPr>
          <w:rFonts w:ascii="Times New Roman" w:hAnsi="Times New Roman" w:cs="Times New Roman"/>
          <w:sz w:val="26"/>
          <w:szCs w:val="26"/>
        </w:rPr>
        <w:t xml:space="preserve"> la deviazione standard del portafoglio neutrale </w:t>
      </w:r>
      <w:r w:rsidRPr="002A0A0E">
        <w:rPr>
          <w:rFonts w:ascii="Times New Roman" w:hAnsi="Times New Roman" w:cs="Times New Roman"/>
          <w:i/>
          <w:sz w:val="26"/>
          <w:szCs w:val="26"/>
        </w:rPr>
        <w:t xml:space="preserve">home </w:t>
      </w:r>
      <w:proofErr w:type="spellStart"/>
      <w:r w:rsidRPr="002A0A0E">
        <w:rPr>
          <w:rFonts w:ascii="Times New Roman" w:hAnsi="Times New Roman" w:cs="Times New Roman"/>
          <w:i/>
          <w:sz w:val="26"/>
          <w:szCs w:val="26"/>
        </w:rPr>
        <w:t>bias</w:t>
      </w:r>
      <w:proofErr w:type="spellEnd"/>
      <w:r w:rsidRPr="002A0A0E">
        <w:rPr>
          <w:rFonts w:ascii="Times New Roman" w:hAnsi="Times New Roman" w:cs="Times New Roman"/>
          <w:i/>
          <w:sz w:val="26"/>
          <w:szCs w:val="26"/>
        </w:rPr>
        <w:t xml:space="preserve"> </w:t>
      </w:r>
      <w:proofErr w:type="spellStart"/>
      <w:r w:rsidRPr="002A0A0E">
        <w:rPr>
          <w:rFonts w:ascii="Times New Roman" w:hAnsi="Times New Roman" w:cs="Times New Roman"/>
          <w:i/>
          <w:sz w:val="26"/>
          <w:szCs w:val="26"/>
        </w:rPr>
        <w:t>adjusted</w:t>
      </w:r>
      <w:proofErr w:type="spellEnd"/>
      <w:r>
        <w:rPr>
          <w:rFonts w:ascii="Times New Roman" w:hAnsi="Times New Roman" w:cs="Times New Roman"/>
          <w:sz w:val="26"/>
          <w:szCs w:val="26"/>
        </w:rPr>
        <w:t xml:space="preserve"> </w:t>
      </w:r>
      <w:r w:rsidR="00B95834">
        <w:rPr>
          <w:rFonts w:ascii="Times New Roman" w:hAnsi="Times New Roman" w:cs="Times New Roman"/>
          <w:sz w:val="26"/>
          <w:szCs w:val="26"/>
        </w:rPr>
        <w:t>caratterizzato da u</w:t>
      </w:r>
      <w:r>
        <w:rPr>
          <w:rFonts w:ascii="Times New Roman" w:hAnsi="Times New Roman" w:cs="Times New Roman"/>
          <w:sz w:val="26"/>
          <w:szCs w:val="26"/>
        </w:rPr>
        <w:t>na componente azionaria pari al 25%;</w:t>
      </w:r>
    </w:p>
    <w:p w14:paraId="6F5AC008" w14:textId="77777777" w:rsidR="004443B8" w:rsidRDefault="00E40066" w:rsidP="004443B8">
      <w:pPr>
        <w:pStyle w:val="Paragrafoelenco"/>
        <w:numPr>
          <w:ilvl w:val="0"/>
          <w:numId w:val="1"/>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il valore assunto dall’R</w:t>
      </w:r>
      <w:r w:rsidRPr="00E40066">
        <w:rPr>
          <w:rFonts w:ascii="Times New Roman" w:hAnsi="Times New Roman" w:cs="Times New Roman"/>
          <w:sz w:val="26"/>
          <w:szCs w:val="26"/>
          <w:vertAlign w:val="superscript"/>
        </w:rPr>
        <w:t>2</w:t>
      </w:r>
      <w:r>
        <w:rPr>
          <w:rFonts w:ascii="Times New Roman" w:hAnsi="Times New Roman" w:cs="Times New Roman"/>
          <w:sz w:val="26"/>
          <w:szCs w:val="26"/>
        </w:rPr>
        <w:t xml:space="preserve"> della </w:t>
      </w:r>
      <w:r w:rsidRPr="002A0A0E">
        <w:rPr>
          <w:rFonts w:ascii="Times New Roman" w:hAnsi="Times New Roman" w:cs="Times New Roman"/>
          <w:i/>
          <w:sz w:val="26"/>
          <w:szCs w:val="26"/>
        </w:rPr>
        <w:t xml:space="preserve">style </w:t>
      </w:r>
      <w:proofErr w:type="spellStart"/>
      <w:r w:rsidRPr="002A0A0E">
        <w:rPr>
          <w:rFonts w:ascii="Times New Roman" w:hAnsi="Times New Roman" w:cs="Times New Roman"/>
          <w:i/>
          <w:sz w:val="26"/>
          <w:szCs w:val="26"/>
        </w:rPr>
        <w:t>analysis</w:t>
      </w:r>
      <w:proofErr w:type="spellEnd"/>
      <w:r>
        <w:rPr>
          <w:rFonts w:ascii="Times New Roman" w:hAnsi="Times New Roman" w:cs="Times New Roman"/>
          <w:sz w:val="26"/>
          <w:szCs w:val="26"/>
        </w:rPr>
        <w:t xml:space="preserve">; i fondi il cui </w:t>
      </w:r>
      <w:bookmarkStart w:id="14" w:name="OLE_LINK150"/>
      <w:r>
        <w:rPr>
          <w:rFonts w:ascii="Times New Roman" w:hAnsi="Times New Roman" w:cs="Times New Roman"/>
          <w:sz w:val="26"/>
          <w:szCs w:val="26"/>
        </w:rPr>
        <w:t>R</w:t>
      </w:r>
      <w:r w:rsidRPr="00E40066">
        <w:rPr>
          <w:rFonts w:ascii="Times New Roman" w:hAnsi="Times New Roman" w:cs="Times New Roman"/>
          <w:sz w:val="26"/>
          <w:szCs w:val="26"/>
          <w:vertAlign w:val="superscript"/>
        </w:rPr>
        <w:t>2</w:t>
      </w:r>
      <w:bookmarkEnd w:id="14"/>
      <w:r>
        <w:rPr>
          <w:rFonts w:ascii="Times New Roman" w:hAnsi="Times New Roman" w:cs="Times New Roman"/>
          <w:sz w:val="26"/>
          <w:szCs w:val="26"/>
        </w:rPr>
        <w:t xml:space="preserve"> è </w:t>
      </w:r>
      <w:r w:rsidR="002A0A0E">
        <w:rPr>
          <w:rFonts w:ascii="Times New Roman" w:hAnsi="Times New Roman" w:cs="Times New Roman"/>
          <w:sz w:val="26"/>
          <w:szCs w:val="26"/>
        </w:rPr>
        <w:t>superiore</w:t>
      </w:r>
      <w:r>
        <w:rPr>
          <w:rFonts w:ascii="Times New Roman" w:hAnsi="Times New Roman" w:cs="Times New Roman"/>
          <w:sz w:val="26"/>
          <w:szCs w:val="26"/>
        </w:rPr>
        <w:t xml:space="preserve"> al 50% sono classificati come Flessibili </w:t>
      </w:r>
      <w:r w:rsidR="00CF664C">
        <w:rPr>
          <w:rFonts w:ascii="Times New Roman" w:hAnsi="Times New Roman" w:cs="Times New Roman"/>
          <w:sz w:val="26"/>
          <w:szCs w:val="26"/>
        </w:rPr>
        <w:t>Medio Dinamismo</w:t>
      </w:r>
      <w:r>
        <w:rPr>
          <w:rFonts w:ascii="Times New Roman" w:hAnsi="Times New Roman" w:cs="Times New Roman"/>
          <w:sz w:val="26"/>
          <w:szCs w:val="26"/>
        </w:rPr>
        <w:t xml:space="preserve">, mentre quelli con </w:t>
      </w:r>
      <w:r w:rsidR="003531EB">
        <w:rPr>
          <w:rFonts w:ascii="Times New Roman" w:hAnsi="Times New Roman" w:cs="Times New Roman"/>
          <w:sz w:val="26"/>
          <w:szCs w:val="26"/>
        </w:rPr>
        <w:t>R</w:t>
      </w:r>
      <w:r w:rsidR="003531EB" w:rsidRPr="00E40066">
        <w:rPr>
          <w:rFonts w:ascii="Times New Roman" w:hAnsi="Times New Roman" w:cs="Times New Roman"/>
          <w:sz w:val="26"/>
          <w:szCs w:val="26"/>
          <w:vertAlign w:val="superscript"/>
        </w:rPr>
        <w:t>2</w:t>
      </w:r>
      <w:r>
        <w:rPr>
          <w:rFonts w:ascii="Times New Roman" w:hAnsi="Times New Roman" w:cs="Times New Roman"/>
          <w:sz w:val="26"/>
          <w:szCs w:val="26"/>
        </w:rPr>
        <w:t xml:space="preserve"> inferiore al 50% sono classificati come Flessibili </w:t>
      </w:r>
      <w:r w:rsidR="00CF664C">
        <w:rPr>
          <w:rFonts w:ascii="Times New Roman" w:hAnsi="Times New Roman" w:cs="Times New Roman"/>
          <w:sz w:val="26"/>
          <w:szCs w:val="26"/>
        </w:rPr>
        <w:t>Alto</w:t>
      </w:r>
      <w:r>
        <w:rPr>
          <w:rFonts w:ascii="Times New Roman" w:hAnsi="Times New Roman" w:cs="Times New Roman"/>
          <w:sz w:val="26"/>
          <w:szCs w:val="26"/>
        </w:rPr>
        <w:t xml:space="preserve"> </w:t>
      </w:r>
      <w:r w:rsidR="00CF664C">
        <w:rPr>
          <w:rFonts w:ascii="Times New Roman" w:hAnsi="Times New Roman" w:cs="Times New Roman"/>
          <w:sz w:val="26"/>
          <w:szCs w:val="26"/>
        </w:rPr>
        <w:t>Dinamismo</w:t>
      </w:r>
      <w:r>
        <w:rPr>
          <w:rFonts w:ascii="Times New Roman" w:hAnsi="Times New Roman" w:cs="Times New Roman"/>
          <w:sz w:val="26"/>
          <w:szCs w:val="26"/>
        </w:rPr>
        <w:t>.</w:t>
      </w:r>
    </w:p>
    <w:p w14:paraId="05982881" w14:textId="77777777" w:rsidR="00B95834" w:rsidRDefault="00B95834" w:rsidP="00E40066">
      <w:pPr>
        <w:spacing w:after="0" w:line="360" w:lineRule="auto"/>
        <w:jc w:val="both"/>
        <w:rPr>
          <w:rFonts w:ascii="Times New Roman" w:hAnsi="Times New Roman" w:cs="Times New Roman"/>
          <w:sz w:val="26"/>
          <w:szCs w:val="26"/>
        </w:rPr>
      </w:pPr>
    </w:p>
    <w:p w14:paraId="36A463C0" w14:textId="0185D063" w:rsidR="004443B8" w:rsidRPr="00E40066" w:rsidRDefault="00CA3690" w:rsidP="00E4006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L’applicazione di questo modello di segmentazione ha condotto alla classificazione riportata nella Tabella 5.</w:t>
      </w:r>
      <w:bookmarkStart w:id="15" w:name="OLE_LINK147"/>
    </w:p>
    <w:bookmarkEnd w:id="15"/>
    <w:p w14:paraId="5B938EB8" w14:textId="77777777" w:rsidR="00CA3690" w:rsidRDefault="00CA3690" w:rsidP="00CA3690">
      <w:pPr>
        <w:spacing w:after="0" w:line="360" w:lineRule="auto"/>
        <w:jc w:val="both"/>
        <w:rPr>
          <w:rFonts w:ascii="Times New Roman" w:hAnsi="Times New Roman" w:cs="Times New Roman"/>
          <w:sz w:val="26"/>
          <w:szCs w:val="26"/>
        </w:rPr>
      </w:pPr>
    </w:p>
    <w:p w14:paraId="46D71E1B" w14:textId="023230F7" w:rsidR="00CA3690" w:rsidRDefault="00CA3690" w:rsidP="00CA3690">
      <w:pPr>
        <w:spacing w:after="0" w:line="240" w:lineRule="auto"/>
        <w:ind w:left="1276" w:hanging="1276"/>
        <w:jc w:val="both"/>
        <w:rPr>
          <w:rFonts w:ascii="Times New Roman" w:hAnsi="Times New Roman" w:cs="Times New Roman"/>
          <w:b/>
          <w:sz w:val="26"/>
          <w:szCs w:val="26"/>
        </w:rPr>
      </w:pPr>
      <w:r>
        <w:rPr>
          <w:rFonts w:ascii="Times New Roman" w:hAnsi="Times New Roman" w:cs="Times New Roman"/>
          <w:b/>
          <w:sz w:val="26"/>
          <w:szCs w:val="26"/>
        </w:rPr>
        <w:t>Tabella</w:t>
      </w:r>
      <w:r w:rsidRPr="00103341">
        <w:rPr>
          <w:rFonts w:ascii="Times New Roman" w:hAnsi="Times New Roman" w:cs="Times New Roman"/>
          <w:b/>
          <w:sz w:val="26"/>
          <w:szCs w:val="26"/>
        </w:rPr>
        <w:t xml:space="preserve"> </w:t>
      </w:r>
      <w:r>
        <w:rPr>
          <w:rFonts w:ascii="Times New Roman" w:hAnsi="Times New Roman" w:cs="Times New Roman"/>
          <w:b/>
          <w:sz w:val="26"/>
          <w:szCs w:val="26"/>
        </w:rPr>
        <w:t>5</w:t>
      </w:r>
      <w:r w:rsidRPr="00103341">
        <w:rPr>
          <w:rFonts w:ascii="Times New Roman" w:hAnsi="Times New Roman" w:cs="Times New Roman"/>
          <w:b/>
          <w:sz w:val="26"/>
          <w:szCs w:val="26"/>
        </w:rPr>
        <w:t>:</w:t>
      </w:r>
      <w:r>
        <w:rPr>
          <w:rFonts w:ascii="Times New Roman" w:hAnsi="Times New Roman" w:cs="Times New Roman"/>
          <w:b/>
          <w:sz w:val="26"/>
          <w:szCs w:val="26"/>
        </w:rPr>
        <w:tab/>
        <w:t>La classificazione dei fondi flessibili per livelli di rischio e grado di direzionalità della gestione</w:t>
      </w:r>
    </w:p>
    <w:p w14:paraId="5A8D154C" w14:textId="77777777" w:rsidR="00B95834" w:rsidRDefault="00B95834" w:rsidP="00CA3690">
      <w:pPr>
        <w:spacing w:after="0" w:line="240" w:lineRule="auto"/>
        <w:ind w:left="1276" w:hanging="1276"/>
        <w:jc w:val="both"/>
        <w:rPr>
          <w:rFonts w:ascii="Times New Roman" w:hAnsi="Times New Roman" w:cs="Times New Roman"/>
          <w:b/>
          <w:sz w:val="26"/>
          <w:szCs w:val="26"/>
        </w:rPr>
      </w:pPr>
    </w:p>
    <w:p w14:paraId="4AA1231E" w14:textId="77777777" w:rsidR="00B95834" w:rsidRPr="00103341" w:rsidRDefault="00B95834" w:rsidP="00CA3690">
      <w:pPr>
        <w:spacing w:after="0" w:line="240" w:lineRule="auto"/>
        <w:ind w:left="1276" w:hanging="1276"/>
        <w:jc w:val="both"/>
        <w:rPr>
          <w:rFonts w:ascii="Times New Roman" w:hAnsi="Times New Roman" w:cs="Times New Roman"/>
          <w:b/>
          <w:sz w:val="26"/>
          <w:szCs w:val="26"/>
        </w:rPr>
      </w:pPr>
    </w:p>
    <w:tbl>
      <w:tblPr>
        <w:tblStyle w:val="Grigliatabella"/>
        <w:tblW w:w="8564" w:type="dxa"/>
        <w:jc w:val="center"/>
        <w:tblLook w:val="04A0" w:firstRow="1" w:lastRow="0" w:firstColumn="1" w:lastColumn="0" w:noHBand="0" w:noVBand="1"/>
      </w:tblPr>
      <w:tblGrid>
        <w:gridCol w:w="3018"/>
        <w:gridCol w:w="2717"/>
        <w:gridCol w:w="2829"/>
      </w:tblGrid>
      <w:tr w:rsidR="00CA3690" w14:paraId="0745D1A0" w14:textId="77777777" w:rsidTr="00B95834">
        <w:trPr>
          <w:trHeight w:val="652"/>
          <w:jc w:val="center"/>
        </w:trPr>
        <w:tc>
          <w:tcPr>
            <w:tcW w:w="3018" w:type="dxa"/>
          </w:tcPr>
          <w:p w14:paraId="45AAD5EA" w14:textId="77777777" w:rsidR="00CA3690" w:rsidRPr="00CA3690" w:rsidRDefault="00CA3690" w:rsidP="00CA3690">
            <w:pPr>
              <w:spacing w:line="360" w:lineRule="auto"/>
              <w:jc w:val="center"/>
              <w:rPr>
                <w:rFonts w:ascii="Times New Roman" w:hAnsi="Times New Roman" w:cs="Times New Roman"/>
                <w:b/>
                <w:sz w:val="26"/>
                <w:szCs w:val="26"/>
              </w:rPr>
            </w:pPr>
            <w:bookmarkStart w:id="16" w:name="OLE_LINK145"/>
            <w:bookmarkStart w:id="17" w:name="OLE_LINK146"/>
            <w:r w:rsidRPr="00CA3690">
              <w:rPr>
                <w:rFonts w:ascii="Times New Roman" w:hAnsi="Times New Roman" w:cs="Times New Roman"/>
                <w:b/>
                <w:sz w:val="26"/>
                <w:szCs w:val="26"/>
              </w:rPr>
              <w:t>Categorie Flessibili</w:t>
            </w:r>
          </w:p>
        </w:tc>
        <w:tc>
          <w:tcPr>
            <w:tcW w:w="2717" w:type="dxa"/>
          </w:tcPr>
          <w:p w14:paraId="45DD3F42" w14:textId="77777777" w:rsidR="00CA3690" w:rsidRPr="00CA3690" w:rsidRDefault="00CA3690" w:rsidP="00CA3690">
            <w:pPr>
              <w:spacing w:line="360" w:lineRule="auto"/>
              <w:jc w:val="center"/>
              <w:rPr>
                <w:rFonts w:ascii="Times New Roman" w:hAnsi="Times New Roman" w:cs="Times New Roman"/>
                <w:b/>
                <w:sz w:val="26"/>
                <w:szCs w:val="26"/>
              </w:rPr>
            </w:pPr>
            <w:r w:rsidRPr="00CA3690">
              <w:rPr>
                <w:rFonts w:ascii="Times New Roman" w:hAnsi="Times New Roman" w:cs="Times New Roman"/>
                <w:b/>
                <w:sz w:val="26"/>
                <w:szCs w:val="26"/>
              </w:rPr>
              <w:t>Rischio Basso</w:t>
            </w:r>
          </w:p>
        </w:tc>
        <w:tc>
          <w:tcPr>
            <w:tcW w:w="2829" w:type="dxa"/>
          </w:tcPr>
          <w:p w14:paraId="53D0AB3B" w14:textId="77777777" w:rsidR="00CA3690" w:rsidRPr="00CA3690" w:rsidRDefault="00CA3690" w:rsidP="00CA3690">
            <w:pPr>
              <w:spacing w:line="360" w:lineRule="auto"/>
              <w:jc w:val="center"/>
              <w:rPr>
                <w:rFonts w:ascii="Times New Roman" w:hAnsi="Times New Roman" w:cs="Times New Roman"/>
                <w:b/>
                <w:sz w:val="26"/>
                <w:szCs w:val="26"/>
              </w:rPr>
            </w:pPr>
            <w:r w:rsidRPr="00CA3690">
              <w:rPr>
                <w:rFonts w:ascii="Times New Roman" w:hAnsi="Times New Roman" w:cs="Times New Roman"/>
                <w:b/>
                <w:sz w:val="26"/>
                <w:szCs w:val="26"/>
              </w:rPr>
              <w:t>Rischio Medio-Alto</w:t>
            </w:r>
          </w:p>
        </w:tc>
      </w:tr>
      <w:bookmarkEnd w:id="16"/>
      <w:bookmarkEnd w:id="17"/>
      <w:tr w:rsidR="00CA3690" w14:paraId="5A2EA67D" w14:textId="77777777" w:rsidTr="00B95834">
        <w:trPr>
          <w:trHeight w:val="652"/>
          <w:jc w:val="center"/>
        </w:trPr>
        <w:tc>
          <w:tcPr>
            <w:tcW w:w="3018" w:type="dxa"/>
          </w:tcPr>
          <w:p w14:paraId="1C879CC7" w14:textId="77777777" w:rsidR="00CA3690" w:rsidRPr="00CA3690" w:rsidRDefault="00C029BD" w:rsidP="00C029BD">
            <w:pPr>
              <w:spacing w:line="360" w:lineRule="auto"/>
              <w:jc w:val="center"/>
              <w:rPr>
                <w:rFonts w:ascii="Times New Roman" w:hAnsi="Times New Roman" w:cs="Times New Roman"/>
                <w:b/>
                <w:sz w:val="26"/>
                <w:szCs w:val="26"/>
              </w:rPr>
            </w:pPr>
            <w:r>
              <w:rPr>
                <w:rFonts w:ascii="Times New Roman" w:hAnsi="Times New Roman" w:cs="Times New Roman"/>
                <w:b/>
                <w:sz w:val="26"/>
                <w:szCs w:val="26"/>
              </w:rPr>
              <w:t>Medio Dinamismo</w:t>
            </w:r>
          </w:p>
        </w:tc>
        <w:tc>
          <w:tcPr>
            <w:tcW w:w="2717" w:type="dxa"/>
          </w:tcPr>
          <w:p w14:paraId="199633DF" w14:textId="77777777" w:rsidR="00CA3690" w:rsidRDefault="00351C11" w:rsidP="00CA3690">
            <w:pPr>
              <w:spacing w:line="360" w:lineRule="auto"/>
              <w:jc w:val="center"/>
              <w:rPr>
                <w:rFonts w:ascii="Times New Roman" w:hAnsi="Times New Roman" w:cs="Times New Roman"/>
                <w:sz w:val="26"/>
                <w:szCs w:val="26"/>
              </w:rPr>
            </w:pPr>
            <w:r>
              <w:rPr>
                <w:rFonts w:ascii="Times New Roman" w:hAnsi="Times New Roman" w:cs="Times New Roman"/>
                <w:sz w:val="26"/>
                <w:szCs w:val="26"/>
              </w:rPr>
              <w:t>39</w:t>
            </w:r>
          </w:p>
        </w:tc>
        <w:tc>
          <w:tcPr>
            <w:tcW w:w="2829" w:type="dxa"/>
          </w:tcPr>
          <w:p w14:paraId="3250A09E" w14:textId="77777777" w:rsidR="00CA3690" w:rsidRDefault="00351C11" w:rsidP="00CA3690">
            <w:pPr>
              <w:spacing w:line="360" w:lineRule="auto"/>
              <w:jc w:val="center"/>
              <w:rPr>
                <w:rFonts w:ascii="Times New Roman" w:hAnsi="Times New Roman" w:cs="Times New Roman"/>
                <w:sz w:val="26"/>
                <w:szCs w:val="26"/>
              </w:rPr>
            </w:pPr>
            <w:r>
              <w:rPr>
                <w:rFonts w:ascii="Times New Roman" w:hAnsi="Times New Roman" w:cs="Times New Roman"/>
                <w:sz w:val="26"/>
                <w:szCs w:val="26"/>
              </w:rPr>
              <w:t>118</w:t>
            </w:r>
          </w:p>
        </w:tc>
      </w:tr>
      <w:tr w:rsidR="00CA3690" w14:paraId="018BF8D0" w14:textId="77777777" w:rsidTr="00B95834">
        <w:trPr>
          <w:trHeight w:val="652"/>
          <w:jc w:val="center"/>
        </w:trPr>
        <w:tc>
          <w:tcPr>
            <w:tcW w:w="3018" w:type="dxa"/>
          </w:tcPr>
          <w:p w14:paraId="4AB5E220" w14:textId="77777777" w:rsidR="00CA3690" w:rsidRPr="00CA3690" w:rsidRDefault="00C029BD" w:rsidP="00CA3690">
            <w:pPr>
              <w:spacing w:line="360" w:lineRule="auto"/>
              <w:jc w:val="center"/>
              <w:rPr>
                <w:rFonts w:ascii="Times New Roman" w:hAnsi="Times New Roman" w:cs="Times New Roman"/>
                <w:b/>
                <w:sz w:val="26"/>
                <w:szCs w:val="26"/>
              </w:rPr>
            </w:pPr>
            <w:r>
              <w:rPr>
                <w:rFonts w:ascii="Times New Roman" w:hAnsi="Times New Roman" w:cs="Times New Roman"/>
                <w:b/>
                <w:sz w:val="26"/>
                <w:szCs w:val="26"/>
              </w:rPr>
              <w:t>Alto Dinamismo</w:t>
            </w:r>
          </w:p>
        </w:tc>
        <w:tc>
          <w:tcPr>
            <w:tcW w:w="2717" w:type="dxa"/>
          </w:tcPr>
          <w:p w14:paraId="3EB0C1DD" w14:textId="77777777" w:rsidR="00CA3690" w:rsidRDefault="00351C11" w:rsidP="00CA3690">
            <w:pPr>
              <w:spacing w:line="360" w:lineRule="auto"/>
              <w:jc w:val="center"/>
              <w:rPr>
                <w:rFonts w:ascii="Times New Roman" w:hAnsi="Times New Roman" w:cs="Times New Roman"/>
                <w:sz w:val="26"/>
                <w:szCs w:val="26"/>
              </w:rPr>
            </w:pPr>
            <w:r>
              <w:rPr>
                <w:rFonts w:ascii="Times New Roman" w:hAnsi="Times New Roman" w:cs="Times New Roman"/>
                <w:sz w:val="26"/>
                <w:szCs w:val="26"/>
              </w:rPr>
              <w:t>17</w:t>
            </w:r>
          </w:p>
        </w:tc>
        <w:tc>
          <w:tcPr>
            <w:tcW w:w="2829" w:type="dxa"/>
          </w:tcPr>
          <w:p w14:paraId="1E0A05C4" w14:textId="77777777" w:rsidR="00CA3690" w:rsidRDefault="00351C11" w:rsidP="00CA3690">
            <w:pPr>
              <w:spacing w:line="360" w:lineRule="auto"/>
              <w:jc w:val="center"/>
              <w:rPr>
                <w:rFonts w:ascii="Times New Roman" w:hAnsi="Times New Roman" w:cs="Times New Roman"/>
                <w:sz w:val="26"/>
                <w:szCs w:val="26"/>
              </w:rPr>
            </w:pPr>
            <w:r>
              <w:rPr>
                <w:rFonts w:ascii="Times New Roman" w:hAnsi="Times New Roman" w:cs="Times New Roman"/>
                <w:sz w:val="26"/>
                <w:szCs w:val="26"/>
              </w:rPr>
              <w:t>50</w:t>
            </w:r>
          </w:p>
        </w:tc>
      </w:tr>
    </w:tbl>
    <w:p w14:paraId="71D4F769" w14:textId="77777777" w:rsidR="00CA3690" w:rsidRDefault="00CA3690" w:rsidP="00CA3690">
      <w:pPr>
        <w:spacing w:after="0" w:line="360" w:lineRule="auto"/>
        <w:ind w:left="1276" w:hanging="1276"/>
        <w:jc w:val="center"/>
        <w:rPr>
          <w:rFonts w:ascii="Times New Roman" w:hAnsi="Times New Roman" w:cs="Times New Roman"/>
          <w:sz w:val="26"/>
          <w:szCs w:val="26"/>
        </w:rPr>
      </w:pPr>
    </w:p>
    <w:p w14:paraId="05682213" w14:textId="77777777" w:rsidR="00B95834" w:rsidRDefault="00B95834" w:rsidP="00594036">
      <w:pPr>
        <w:spacing w:after="0" w:line="360" w:lineRule="auto"/>
        <w:jc w:val="both"/>
        <w:rPr>
          <w:rFonts w:ascii="Times New Roman" w:hAnsi="Times New Roman" w:cs="Times New Roman"/>
          <w:sz w:val="26"/>
          <w:szCs w:val="26"/>
        </w:rPr>
      </w:pPr>
    </w:p>
    <w:p w14:paraId="12246BAA" w14:textId="4A1587E2" w:rsidR="00594036" w:rsidRPr="00E40066" w:rsidRDefault="00594036" w:rsidP="0059403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Una </w:t>
      </w:r>
      <w:r w:rsidR="003531EB">
        <w:rPr>
          <w:rFonts w:ascii="Times New Roman" w:hAnsi="Times New Roman" w:cs="Times New Roman"/>
          <w:sz w:val="26"/>
          <w:szCs w:val="26"/>
        </w:rPr>
        <w:t>segmentazione</w:t>
      </w:r>
      <w:r>
        <w:rPr>
          <w:rFonts w:ascii="Times New Roman" w:hAnsi="Times New Roman" w:cs="Times New Roman"/>
          <w:sz w:val="26"/>
          <w:szCs w:val="26"/>
        </w:rPr>
        <w:t xml:space="preserve"> così organizzat</w:t>
      </w:r>
      <w:r w:rsidR="00B95834">
        <w:rPr>
          <w:rFonts w:ascii="Times New Roman" w:hAnsi="Times New Roman" w:cs="Times New Roman"/>
          <w:sz w:val="26"/>
          <w:szCs w:val="26"/>
        </w:rPr>
        <w:t>a</w:t>
      </w:r>
      <w:r>
        <w:rPr>
          <w:rFonts w:ascii="Times New Roman" w:hAnsi="Times New Roman" w:cs="Times New Roman"/>
          <w:sz w:val="26"/>
          <w:szCs w:val="26"/>
        </w:rPr>
        <w:t xml:space="preserve"> aiuta</w:t>
      </w:r>
      <w:r w:rsidR="00B95834">
        <w:rPr>
          <w:rFonts w:ascii="Times New Roman" w:hAnsi="Times New Roman" w:cs="Times New Roman"/>
          <w:sz w:val="26"/>
          <w:szCs w:val="26"/>
        </w:rPr>
        <w:t>,</w:t>
      </w:r>
      <w:r>
        <w:rPr>
          <w:rFonts w:ascii="Times New Roman" w:hAnsi="Times New Roman" w:cs="Times New Roman"/>
          <w:sz w:val="26"/>
          <w:szCs w:val="26"/>
        </w:rPr>
        <w:t xml:space="preserve"> da un lato</w:t>
      </w:r>
      <w:r w:rsidR="00B95834">
        <w:rPr>
          <w:rFonts w:ascii="Times New Roman" w:hAnsi="Times New Roman" w:cs="Times New Roman"/>
          <w:sz w:val="26"/>
          <w:szCs w:val="26"/>
        </w:rPr>
        <w:t>,</w:t>
      </w:r>
      <w:r>
        <w:rPr>
          <w:rFonts w:ascii="Times New Roman" w:hAnsi="Times New Roman" w:cs="Times New Roman"/>
          <w:sz w:val="26"/>
          <w:szCs w:val="26"/>
        </w:rPr>
        <w:t xml:space="preserve"> a selezionare prodotti flessibili con livelli di rischio coerenti con la tolleranza al rischio dell’investitore</w:t>
      </w:r>
      <w:r w:rsidR="00492581">
        <w:rPr>
          <w:rFonts w:ascii="Times New Roman" w:hAnsi="Times New Roman" w:cs="Times New Roman"/>
          <w:sz w:val="26"/>
          <w:szCs w:val="26"/>
        </w:rPr>
        <w:t xml:space="preserve"> </w:t>
      </w:r>
      <w:r>
        <w:rPr>
          <w:rFonts w:ascii="Times New Roman" w:hAnsi="Times New Roman" w:cs="Times New Roman"/>
          <w:sz w:val="26"/>
          <w:szCs w:val="26"/>
        </w:rPr>
        <w:lastRenderedPageBreak/>
        <w:t>e</w:t>
      </w:r>
      <w:r w:rsidR="00B95834">
        <w:rPr>
          <w:rFonts w:ascii="Times New Roman" w:hAnsi="Times New Roman" w:cs="Times New Roman"/>
          <w:sz w:val="26"/>
          <w:szCs w:val="26"/>
        </w:rPr>
        <w:t>,</w:t>
      </w:r>
      <w:r>
        <w:rPr>
          <w:rFonts w:ascii="Times New Roman" w:hAnsi="Times New Roman" w:cs="Times New Roman"/>
          <w:sz w:val="26"/>
          <w:szCs w:val="26"/>
        </w:rPr>
        <w:t xml:space="preserve"> dall’altro</w:t>
      </w:r>
      <w:r w:rsidR="00B95834">
        <w:rPr>
          <w:rFonts w:ascii="Times New Roman" w:hAnsi="Times New Roman" w:cs="Times New Roman"/>
          <w:sz w:val="26"/>
          <w:szCs w:val="26"/>
        </w:rPr>
        <w:t>,</w:t>
      </w:r>
      <w:r>
        <w:rPr>
          <w:rFonts w:ascii="Times New Roman" w:hAnsi="Times New Roman" w:cs="Times New Roman"/>
          <w:sz w:val="26"/>
          <w:szCs w:val="26"/>
        </w:rPr>
        <w:t xml:space="preserve"> permette di discriminare tra prodotti flessibili caratterizzati da un </w:t>
      </w:r>
      <w:r w:rsidR="00351C11">
        <w:rPr>
          <w:rFonts w:ascii="Times New Roman" w:hAnsi="Times New Roman" w:cs="Times New Roman"/>
          <w:sz w:val="26"/>
          <w:szCs w:val="26"/>
        </w:rPr>
        <w:t>grado più o meno pronunciato di</w:t>
      </w:r>
      <w:r w:rsidR="00135046">
        <w:rPr>
          <w:rFonts w:ascii="Times New Roman" w:hAnsi="Times New Roman" w:cs="Times New Roman"/>
          <w:sz w:val="26"/>
          <w:szCs w:val="26"/>
        </w:rPr>
        <w:t xml:space="preserve"> attività di</w:t>
      </w:r>
      <w:r w:rsidR="00351C11">
        <w:rPr>
          <w:rFonts w:ascii="Times New Roman" w:hAnsi="Times New Roman" w:cs="Times New Roman"/>
          <w:sz w:val="26"/>
          <w:szCs w:val="26"/>
        </w:rPr>
        <w:t xml:space="preserve"> </w:t>
      </w:r>
      <w:r w:rsidR="00135046">
        <w:rPr>
          <w:rFonts w:ascii="Times New Roman" w:hAnsi="Times New Roman" w:cs="Times New Roman"/>
          <w:i/>
          <w:sz w:val="26"/>
          <w:szCs w:val="26"/>
        </w:rPr>
        <w:t>market timing</w:t>
      </w:r>
      <w:r>
        <w:rPr>
          <w:rFonts w:ascii="Times New Roman" w:hAnsi="Times New Roman" w:cs="Times New Roman"/>
          <w:sz w:val="26"/>
          <w:szCs w:val="26"/>
        </w:rPr>
        <w:t>.</w:t>
      </w:r>
      <w:bookmarkStart w:id="18" w:name="OLE_LINK148"/>
    </w:p>
    <w:bookmarkEnd w:id="18"/>
    <w:p w14:paraId="3986E23E" w14:textId="77777777" w:rsidR="00B95834" w:rsidRDefault="003531EB" w:rsidP="00786B8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In </w:t>
      </w:r>
      <w:r w:rsidR="00B95834">
        <w:rPr>
          <w:rFonts w:ascii="Times New Roman" w:hAnsi="Times New Roman" w:cs="Times New Roman"/>
          <w:sz w:val="26"/>
          <w:szCs w:val="26"/>
        </w:rPr>
        <w:t xml:space="preserve">definitiva, quindi, una classificazione cosi condotta </w:t>
      </w:r>
      <w:r w:rsidR="00B34014">
        <w:rPr>
          <w:rFonts w:ascii="Times New Roman" w:hAnsi="Times New Roman" w:cs="Times New Roman"/>
          <w:sz w:val="26"/>
          <w:szCs w:val="26"/>
        </w:rPr>
        <w:t>può</w:t>
      </w:r>
      <w:r w:rsidR="00786B86">
        <w:rPr>
          <w:rFonts w:ascii="Times New Roman" w:hAnsi="Times New Roman" w:cs="Times New Roman"/>
          <w:sz w:val="26"/>
          <w:szCs w:val="26"/>
        </w:rPr>
        <w:t xml:space="preserve"> </w:t>
      </w:r>
      <w:r w:rsidR="00B34014">
        <w:rPr>
          <w:rFonts w:ascii="Times New Roman" w:hAnsi="Times New Roman" w:cs="Times New Roman"/>
          <w:sz w:val="26"/>
          <w:szCs w:val="26"/>
        </w:rPr>
        <w:t>efficacemente orientare</w:t>
      </w:r>
      <w:r w:rsidR="00786B86">
        <w:rPr>
          <w:rFonts w:ascii="Times New Roman" w:hAnsi="Times New Roman" w:cs="Times New Roman"/>
          <w:sz w:val="26"/>
          <w:szCs w:val="26"/>
        </w:rPr>
        <w:t xml:space="preserve"> </w:t>
      </w:r>
      <w:r w:rsidR="00B34014">
        <w:rPr>
          <w:rFonts w:ascii="Times New Roman" w:hAnsi="Times New Roman" w:cs="Times New Roman"/>
          <w:sz w:val="26"/>
          <w:szCs w:val="26"/>
        </w:rPr>
        <w:t>il</w:t>
      </w:r>
      <w:r w:rsidR="00786B86">
        <w:rPr>
          <w:rFonts w:ascii="Times New Roman" w:hAnsi="Times New Roman" w:cs="Times New Roman"/>
          <w:sz w:val="26"/>
          <w:szCs w:val="26"/>
        </w:rPr>
        <w:t xml:space="preserve"> processo di selezione</w:t>
      </w:r>
      <w:r w:rsidR="00B34014">
        <w:rPr>
          <w:rFonts w:ascii="Times New Roman" w:hAnsi="Times New Roman" w:cs="Times New Roman"/>
          <w:sz w:val="26"/>
          <w:szCs w:val="26"/>
        </w:rPr>
        <w:t>,</w:t>
      </w:r>
      <w:r w:rsidR="002A0A0E">
        <w:rPr>
          <w:rFonts w:ascii="Times New Roman" w:hAnsi="Times New Roman" w:cs="Times New Roman"/>
          <w:sz w:val="26"/>
          <w:szCs w:val="26"/>
        </w:rPr>
        <w:t xml:space="preserve"> ma occorre </w:t>
      </w:r>
      <w:r w:rsidR="00B34014">
        <w:rPr>
          <w:rFonts w:ascii="Times New Roman" w:hAnsi="Times New Roman" w:cs="Times New Roman"/>
          <w:sz w:val="26"/>
          <w:szCs w:val="26"/>
        </w:rPr>
        <w:t>comunque disporre</w:t>
      </w:r>
      <w:r w:rsidR="002A0A0E">
        <w:rPr>
          <w:rFonts w:ascii="Times New Roman" w:hAnsi="Times New Roman" w:cs="Times New Roman"/>
          <w:sz w:val="26"/>
          <w:szCs w:val="26"/>
        </w:rPr>
        <w:t xml:space="preserve"> di un efficace modello di valutazione della qualità dei fondi, in grado di premiare le caratteristiche che rendono i prodotti</w:t>
      </w:r>
      <w:r w:rsidR="00586875">
        <w:rPr>
          <w:rFonts w:ascii="Times New Roman" w:hAnsi="Times New Roman" w:cs="Times New Roman"/>
          <w:sz w:val="26"/>
          <w:szCs w:val="26"/>
        </w:rPr>
        <w:t xml:space="preserve"> flessibili</w:t>
      </w:r>
      <w:r w:rsidR="002A0A0E">
        <w:rPr>
          <w:rFonts w:ascii="Times New Roman" w:hAnsi="Times New Roman" w:cs="Times New Roman"/>
          <w:sz w:val="26"/>
          <w:szCs w:val="26"/>
        </w:rPr>
        <w:t xml:space="preserve"> particolarmente appetibili per gli investitori (ad esempio la minimizzazione dei </w:t>
      </w:r>
      <w:proofErr w:type="spellStart"/>
      <w:r w:rsidR="002A0A0E" w:rsidRPr="00351C11">
        <w:rPr>
          <w:rFonts w:ascii="Times New Roman" w:hAnsi="Times New Roman" w:cs="Times New Roman"/>
          <w:i/>
          <w:sz w:val="26"/>
          <w:szCs w:val="26"/>
        </w:rPr>
        <w:t>drawdown</w:t>
      </w:r>
      <w:proofErr w:type="spellEnd"/>
      <w:r w:rsidR="002A0A0E">
        <w:rPr>
          <w:rFonts w:ascii="Times New Roman" w:hAnsi="Times New Roman" w:cs="Times New Roman"/>
          <w:sz w:val="26"/>
          <w:szCs w:val="26"/>
        </w:rPr>
        <w:t xml:space="preserve"> nelle fasi orso di mercato)</w:t>
      </w:r>
      <w:r w:rsidR="00B95834">
        <w:rPr>
          <w:rFonts w:ascii="Times New Roman" w:hAnsi="Times New Roman" w:cs="Times New Roman"/>
          <w:sz w:val="26"/>
          <w:szCs w:val="26"/>
        </w:rPr>
        <w:t xml:space="preserve"> per poter giungere ad una vera e propria </w:t>
      </w:r>
      <w:proofErr w:type="spellStart"/>
      <w:r w:rsidR="00B95834">
        <w:rPr>
          <w:rFonts w:ascii="Times New Roman" w:hAnsi="Times New Roman" w:cs="Times New Roman"/>
          <w:sz w:val="26"/>
          <w:szCs w:val="26"/>
        </w:rPr>
        <w:t>rankizzazione</w:t>
      </w:r>
      <w:proofErr w:type="spellEnd"/>
      <w:r w:rsidR="00B95834">
        <w:rPr>
          <w:rFonts w:ascii="Times New Roman" w:hAnsi="Times New Roman" w:cs="Times New Roman"/>
          <w:sz w:val="26"/>
          <w:szCs w:val="26"/>
        </w:rPr>
        <w:t xml:space="preserve"> del catalogo prodotti a propria disposizione; in altri termini, o con </w:t>
      </w:r>
      <w:r w:rsidR="00D65082">
        <w:rPr>
          <w:rFonts w:ascii="Times New Roman" w:hAnsi="Times New Roman" w:cs="Times New Roman"/>
          <w:sz w:val="26"/>
          <w:szCs w:val="26"/>
        </w:rPr>
        <w:t>il supporto di fornitori esterni di score/rating dei fondi</w:t>
      </w:r>
      <w:r w:rsidR="00B95834">
        <w:rPr>
          <w:rFonts w:ascii="Times New Roman" w:hAnsi="Times New Roman" w:cs="Times New Roman"/>
          <w:sz w:val="26"/>
          <w:szCs w:val="26"/>
        </w:rPr>
        <w:t>,</w:t>
      </w:r>
      <w:r w:rsidR="00D65082">
        <w:rPr>
          <w:rFonts w:ascii="Times New Roman" w:hAnsi="Times New Roman" w:cs="Times New Roman"/>
          <w:sz w:val="26"/>
          <w:szCs w:val="26"/>
        </w:rPr>
        <w:t xml:space="preserve"> o sviluppando un modello di rating/score proprietario</w:t>
      </w:r>
      <w:r w:rsidR="0055235B">
        <w:rPr>
          <w:rFonts w:ascii="Times New Roman" w:hAnsi="Times New Roman" w:cs="Times New Roman"/>
          <w:sz w:val="26"/>
          <w:szCs w:val="26"/>
        </w:rPr>
        <w:t>, andranno</w:t>
      </w:r>
      <w:r w:rsidR="00D65082">
        <w:rPr>
          <w:rFonts w:ascii="Times New Roman" w:hAnsi="Times New Roman" w:cs="Times New Roman"/>
          <w:sz w:val="26"/>
          <w:szCs w:val="26"/>
        </w:rPr>
        <w:t xml:space="preserve"> </w:t>
      </w:r>
      <w:r w:rsidR="00E97312">
        <w:rPr>
          <w:rFonts w:ascii="Times New Roman" w:hAnsi="Times New Roman" w:cs="Times New Roman"/>
          <w:sz w:val="26"/>
          <w:szCs w:val="26"/>
        </w:rPr>
        <w:t>isola</w:t>
      </w:r>
      <w:r w:rsidR="0055235B">
        <w:rPr>
          <w:rFonts w:ascii="Times New Roman" w:hAnsi="Times New Roman" w:cs="Times New Roman"/>
          <w:sz w:val="26"/>
          <w:szCs w:val="26"/>
        </w:rPr>
        <w:t>ti</w:t>
      </w:r>
      <w:r w:rsidR="00586875">
        <w:rPr>
          <w:rFonts w:ascii="Times New Roman" w:hAnsi="Times New Roman" w:cs="Times New Roman"/>
          <w:sz w:val="26"/>
          <w:szCs w:val="26"/>
        </w:rPr>
        <w:t>,</w:t>
      </w:r>
      <w:r w:rsidR="00E97312">
        <w:rPr>
          <w:rFonts w:ascii="Times New Roman" w:hAnsi="Times New Roman" w:cs="Times New Roman"/>
          <w:sz w:val="26"/>
          <w:szCs w:val="26"/>
        </w:rPr>
        <w:t xml:space="preserve"> all’interno di ogni </w:t>
      </w:r>
      <w:r w:rsidR="00B95834">
        <w:rPr>
          <w:rFonts w:ascii="Times New Roman" w:hAnsi="Times New Roman" w:cs="Times New Roman"/>
          <w:sz w:val="26"/>
          <w:szCs w:val="26"/>
        </w:rPr>
        <w:t>sotto-categoria</w:t>
      </w:r>
      <w:r w:rsidR="00586875">
        <w:rPr>
          <w:rFonts w:ascii="Times New Roman" w:hAnsi="Times New Roman" w:cs="Times New Roman"/>
          <w:sz w:val="26"/>
          <w:szCs w:val="26"/>
        </w:rPr>
        <w:t>,</w:t>
      </w:r>
      <w:r w:rsidR="00E97312">
        <w:rPr>
          <w:rFonts w:ascii="Times New Roman" w:hAnsi="Times New Roman" w:cs="Times New Roman"/>
          <w:sz w:val="26"/>
          <w:szCs w:val="26"/>
        </w:rPr>
        <w:t xml:space="preserve"> i fondi meritevoli di selezione.</w:t>
      </w:r>
      <w:r w:rsidR="00CB5095">
        <w:rPr>
          <w:rFonts w:ascii="Times New Roman" w:hAnsi="Times New Roman" w:cs="Times New Roman"/>
          <w:sz w:val="26"/>
          <w:szCs w:val="26"/>
        </w:rPr>
        <w:t xml:space="preserve"> </w:t>
      </w:r>
    </w:p>
    <w:p w14:paraId="1A4302CC" w14:textId="45F58F4D" w:rsidR="00351C11" w:rsidRDefault="00CB5095" w:rsidP="00786B8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L’obiettivo finale</w:t>
      </w:r>
      <w:r w:rsidR="0055235B">
        <w:rPr>
          <w:rFonts w:ascii="Times New Roman" w:hAnsi="Times New Roman" w:cs="Times New Roman"/>
          <w:sz w:val="26"/>
          <w:szCs w:val="26"/>
        </w:rPr>
        <w:t xml:space="preserve"> </w:t>
      </w:r>
      <w:r w:rsidR="00586875">
        <w:rPr>
          <w:rFonts w:ascii="Times New Roman" w:hAnsi="Times New Roman" w:cs="Times New Roman"/>
          <w:sz w:val="26"/>
          <w:szCs w:val="26"/>
        </w:rPr>
        <w:t xml:space="preserve">da perseguire </w:t>
      </w:r>
      <w:r>
        <w:rPr>
          <w:rFonts w:ascii="Times New Roman" w:hAnsi="Times New Roman" w:cs="Times New Roman"/>
          <w:sz w:val="26"/>
          <w:szCs w:val="26"/>
        </w:rPr>
        <w:t>è quello sintetizzato nella Figura 3, nella quale</w:t>
      </w:r>
      <w:r w:rsidR="00696D22">
        <w:rPr>
          <w:rFonts w:ascii="Times New Roman" w:hAnsi="Times New Roman" w:cs="Times New Roman"/>
          <w:sz w:val="26"/>
          <w:szCs w:val="26"/>
        </w:rPr>
        <w:t>,</w:t>
      </w:r>
      <w:r>
        <w:rPr>
          <w:rFonts w:ascii="Times New Roman" w:hAnsi="Times New Roman" w:cs="Times New Roman"/>
          <w:sz w:val="26"/>
          <w:szCs w:val="26"/>
        </w:rPr>
        <w:t xml:space="preserve"> </w:t>
      </w:r>
      <w:r w:rsidR="00F97460">
        <w:rPr>
          <w:rFonts w:ascii="Times New Roman" w:hAnsi="Times New Roman" w:cs="Times New Roman"/>
          <w:sz w:val="26"/>
          <w:szCs w:val="26"/>
        </w:rPr>
        <w:t>applicando</w:t>
      </w:r>
      <w:r w:rsidR="00586875">
        <w:rPr>
          <w:rFonts w:ascii="Times New Roman" w:hAnsi="Times New Roman" w:cs="Times New Roman"/>
          <w:sz w:val="26"/>
          <w:szCs w:val="26"/>
        </w:rPr>
        <w:t xml:space="preserve"> sul triennio 201</w:t>
      </w:r>
      <w:r w:rsidR="00696D22">
        <w:rPr>
          <w:rFonts w:ascii="Times New Roman" w:hAnsi="Times New Roman" w:cs="Times New Roman"/>
          <w:sz w:val="26"/>
          <w:szCs w:val="26"/>
        </w:rPr>
        <w:t>6</w:t>
      </w:r>
      <w:r w:rsidR="00586875">
        <w:rPr>
          <w:rFonts w:ascii="Times New Roman" w:hAnsi="Times New Roman" w:cs="Times New Roman"/>
          <w:sz w:val="26"/>
          <w:szCs w:val="26"/>
        </w:rPr>
        <w:t>-2019</w:t>
      </w:r>
      <w:r w:rsidR="00F97460">
        <w:rPr>
          <w:rFonts w:ascii="Times New Roman" w:hAnsi="Times New Roman" w:cs="Times New Roman"/>
          <w:sz w:val="26"/>
          <w:szCs w:val="26"/>
        </w:rPr>
        <w:t xml:space="preserve"> un modello di scoring in grado di premiare i fondi </w:t>
      </w:r>
      <w:r w:rsidR="0055235B">
        <w:rPr>
          <w:rFonts w:ascii="Times New Roman" w:hAnsi="Times New Roman" w:cs="Times New Roman"/>
          <w:sz w:val="26"/>
          <w:szCs w:val="26"/>
        </w:rPr>
        <w:t>capaci</w:t>
      </w:r>
      <w:r w:rsidR="00F97460">
        <w:rPr>
          <w:rFonts w:ascii="Times New Roman" w:hAnsi="Times New Roman" w:cs="Times New Roman"/>
          <w:sz w:val="26"/>
          <w:szCs w:val="26"/>
        </w:rPr>
        <w:t xml:space="preserve"> di produrre </w:t>
      </w:r>
      <w:r w:rsidR="00586875">
        <w:rPr>
          <w:rFonts w:ascii="Times New Roman" w:hAnsi="Times New Roman" w:cs="Times New Roman"/>
          <w:sz w:val="26"/>
          <w:szCs w:val="26"/>
        </w:rPr>
        <w:t xml:space="preserve">alti rendimenti </w:t>
      </w:r>
      <w:r w:rsidR="00F97460">
        <w:rPr>
          <w:rFonts w:ascii="Times New Roman" w:hAnsi="Times New Roman" w:cs="Times New Roman"/>
          <w:sz w:val="26"/>
          <w:szCs w:val="26"/>
        </w:rPr>
        <w:t xml:space="preserve">limitando </w:t>
      </w:r>
      <w:r w:rsidR="00696D22">
        <w:rPr>
          <w:rFonts w:ascii="Times New Roman" w:hAnsi="Times New Roman" w:cs="Times New Roman"/>
          <w:sz w:val="26"/>
          <w:szCs w:val="26"/>
        </w:rPr>
        <w:t xml:space="preserve">il </w:t>
      </w:r>
      <w:proofErr w:type="spellStart"/>
      <w:r w:rsidR="00F97460" w:rsidRPr="00F97460">
        <w:rPr>
          <w:rFonts w:ascii="Times New Roman" w:hAnsi="Times New Roman" w:cs="Times New Roman"/>
          <w:i/>
          <w:sz w:val="26"/>
          <w:szCs w:val="26"/>
        </w:rPr>
        <w:t>downside</w:t>
      </w:r>
      <w:proofErr w:type="spellEnd"/>
      <w:r w:rsidR="00696D22">
        <w:rPr>
          <w:rFonts w:ascii="Times New Roman" w:hAnsi="Times New Roman" w:cs="Times New Roman"/>
          <w:sz w:val="26"/>
          <w:szCs w:val="26"/>
        </w:rPr>
        <w:t xml:space="preserve"> risk, </w:t>
      </w:r>
      <w:r>
        <w:rPr>
          <w:rFonts w:ascii="Times New Roman" w:hAnsi="Times New Roman" w:cs="Times New Roman"/>
          <w:sz w:val="26"/>
          <w:szCs w:val="26"/>
        </w:rPr>
        <w:t xml:space="preserve">è </w:t>
      </w:r>
      <w:r w:rsidR="00F97460">
        <w:rPr>
          <w:rFonts w:ascii="Times New Roman" w:hAnsi="Times New Roman" w:cs="Times New Roman"/>
          <w:sz w:val="26"/>
          <w:szCs w:val="26"/>
        </w:rPr>
        <w:t xml:space="preserve">stato </w:t>
      </w:r>
      <w:r>
        <w:rPr>
          <w:rFonts w:ascii="Times New Roman" w:hAnsi="Times New Roman" w:cs="Times New Roman"/>
          <w:sz w:val="26"/>
          <w:szCs w:val="26"/>
        </w:rPr>
        <w:t xml:space="preserve">possibile </w:t>
      </w:r>
      <w:r w:rsidR="0055235B">
        <w:rPr>
          <w:rFonts w:ascii="Times New Roman" w:hAnsi="Times New Roman" w:cs="Times New Roman"/>
          <w:sz w:val="26"/>
          <w:szCs w:val="26"/>
        </w:rPr>
        <w:t>identificare</w:t>
      </w:r>
      <w:r w:rsidR="00F97460">
        <w:rPr>
          <w:rFonts w:ascii="Times New Roman" w:hAnsi="Times New Roman" w:cs="Times New Roman"/>
          <w:sz w:val="26"/>
          <w:szCs w:val="26"/>
        </w:rPr>
        <w:t xml:space="preserve">, </w:t>
      </w:r>
      <w:r w:rsidR="0055235B">
        <w:rPr>
          <w:rFonts w:ascii="Times New Roman" w:hAnsi="Times New Roman" w:cs="Times New Roman"/>
          <w:sz w:val="26"/>
          <w:szCs w:val="26"/>
        </w:rPr>
        <w:t>in</w:t>
      </w:r>
      <w:r w:rsidR="00F97460">
        <w:rPr>
          <w:rFonts w:ascii="Times New Roman" w:hAnsi="Times New Roman" w:cs="Times New Roman"/>
          <w:sz w:val="26"/>
          <w:szCs w:val="26"/>
        </w:rPr>
        <w:t xml:space="preserve"> ciascuna delle quattro classi,</w:t>
      </w:r>
      <w:r>
        <w:rPr>
          <w:rFonts w:ascii="Times New Roman" w:hAnsi="Times New Roman" w:cs="Times New Roman"/>
          <w:sz w:val="26"/>
          <w:szCs w:val="26"/>
        </w:rPr>
        <w:t xml:space="preserve"> i fondi </w:t>
      </w:r>
      <w:r w:rsidRPr="00F97460">
        <w:rPr>
          <w:rFonts w:ascii="Times New Roman" w:hAnsi="Times New Roman" w:cs="Times New Roman"/>
          <w:i/>
          <w:sz w:val="26"/>
          <w:szCs w:val="26"/>
        </w:rPr>
        <w:t>best in class</w:t>
      </w:r>
      <w:r w:rsidR="00586875">
        <w:rPr>
          <w:rFonts w:ascii="Times New Roman" w:hAnsi="Times New Roman" w:cs="Times New Roman"/>
          <w:sz w:val="26"/>
          <w:szCs w:val="26"/>
        </w:rPr>
        <w:t>, ossia quelli che</w:t>
      </w:r>
      <w:r w:rsidR="00696D22">
        <w:rPr>
          <w:rFonts w:ascii="Times New Roman" w:hAnsi="Times New Roman" w:cs="Times New Roman"/>
          <w:sz w:val="26"/>
          <w:szCs w:val="26"/>
        </w:rPr>
        <w:t>,</w:t>
      </w:r>
      <w:r w:rsidR="00F97460">
        <w:rPr>
          <w:rFonts w:ascii="Times New Roman" w:hAnsi="Times New Roman" w:cs="Times New Roman"/>
          <w:sz w:val="26"/>
          <w:szCs w:val="26"/>
        </w:rPr>
        <w:t xml:space="preserve"> </w:t>
      </w:r>
      <w:r w:rsidR="0055235B">
        <w:rPr>
          <w:rFonts w:ascii="Times New Roman" w:hAnsi="Times New Roman" w:cs="Times New Roman"/>
          <w:sz w:val="26"/>
          <w:szCs w:val="26"/>
        </w:rPr>
        <w:t>in ragione della</w:t>
      </w:r>
      <w:r w:rsidR="00F97460">
        <w:rPr>
          <w:rFonts w:ascii="Times New Roman" w:hAnsi="Times New Roman" w:cs="Times New Roman"/>
          <w:sz w:val="26"/>
          <w:szCs w:val="26"/>
        </w:rPr>
        <w:t xml:space="preserve"> loro </w:t>
      </w:r>
      <w:r w:rsidR="0055235B">
        <w:rPr>
          <w:rFonts w:ascii="Times New Roman" w:hAnsi="Times New Roman" w:cs="Times New Roman"/>
          <w:sz w:val="26"/>
          <w:szCs w:val="26"/>
        </w:rPr>
        <w:t>ottima</w:t>
      </w:r>
      <w:r w:rsidR="00F97460">
        <w:rPr>
          <w:rFonts w:ascii="Times New Roman" w:hAnsi="Times New Roman" w:cs="Times New Roman"/>
          <w:sz w:val="26"/>
          <w:szCs w:val="26"/>
        </w:rPr>
        <w:t xml:space="preserve"> </w:t>
      </w:r>
      <w:r w:rsidR="00F97460" w:rsidRPr="0055235B">
        <w:rPr>
          <w:rFonts w:ascii="Times New Roman" w:hAnsi="Times New Roman" w:cs="Times New Roman"/>
          <w:i/>
          <w:sz w:val="26"/>
          <w:szCs w:val="26"/>
        </w:rPr>
        <w:t xml:space="preserve">performance </w:t>
      </w:r>
      <w:r w:rsidR="00F97460">
        <w:rPr>
          <w:rFonts w:ascii="Times New Roman" w:hAnsi="Times New Roman" w:cs="Times New Roman"/>
          <w:sz w:val="26"/>
          <w:szCs w:val="26"/>
        </w:rPr>
        <w:t xml:space="preserve">(si apprezzi la loro collocazione nello spazio Maximum </w:t>
      </w:r>
      <w:proofErr w:type="spellStart"/>
      <w:r w:rsidR="00F97460">
        <w:rPr>
          <w:rFonts w:ascii="Times New Roman" w:hAnsi="Times New Roman" w:cs="Times New Roman"/>
          <w:sz w:val="26"/>
          <w:szCs w:val="26"/>
        </w:rPr>
        <w:t>Drawdown</w:t>
      </w:r>
      <w:proofErr w:type="spellEnd"/>
      <w:r w:rsidR="00990EC2">
        <w:rPr>
          <w:rFonts w:ascii="Times New Roman" w:hAnsi="Times New Roman" w:cs="Times New Roman"/>
          <w:sz w:val="26"/>
          <w:szCs w:val="26"/>
        </w:rPr>
        <w:t xml:space="preserve"> di period</w:t>
      </w:r>
      <w:bookmarkStart w:id="19" w:name="_GoBack"/>
      <w:bookmarkEnd w:id="19"/>
      <w:r w:rsidR="00990EC2">
        <w:rPr>
          <w:rFonts w:ascii="Times New Roman" w:hAnsi="Times New Roman" w:cs="Times New Roman"/>
          <w:sz w:val="26"/>
          <w:szCs w:val="26"/>
        </w:rPr>
        <w:t>o</w:t>
      </w:r>
      <w:r w:rsidR="00F97460">
        <w:rPr>
          <w:rFonts w:ascii="Times New Roman" w:hAnsi="Times New Roman" w:cs="Times New Roman"/>
          <w:sz w:val="26"/>
          <w:szCs w:val="26"/>
        </w:rPr>
        <w:t xml:space="preserve"> </w:t>
      </w:r>
      <w:r w:rsidR="00990EC2">
        <w:rPr>
          <w:rFonts w:ascii="Times New Roman" w:hAnsi="Times New Roman" w:cs="Times New Roman"/>
          <w:sz w:val="26"/>
          <w:szCs w:val="26"/>
        </w:rPr>
        <w:t>–</w:t>
      </w:r>
      <w:r w:rsidR="00F97460">
        <w:rPr>
          <w:rFonts w:ascii="Times New Roman" w:hAnsi="Times New Roman" w:cs="Times New Roman"/>
          <w:sz w:val="26"/>
          <w:szCs w:val="26"/>
        </w:rPr>
        <w:t xml:space="preserve"> Rendimento</w:t>
      </w:r>
      <w:r w:rsidR="00990EC2">
        <w:rPr>
          <w:rFonts w:ascii="Times New Roman" w:hAnsi="Times New Roman" w:cs="Times New Roman"/>
          <w:sz w:val="26"/>
          <w:szCs w:val="26"/>
        </w:rPr>
        <w:t xml:space="preserve"> Medio Annuo</w:t>
      </w:r>
      <w:r w:rsidR="00F97460">
        <w:rPr>
          <w:rFonts w:ascii="Times New Roman" w:hAnsi="Times New Roman" w:cs="Times New Roman"/>
          <w:sz w:val="26"/>
          <w:szCs w:val="26"/>
        </w:rPr>
        <w:t>)</w:t>
      </w:r>
      <w:r w:rsidR="00696D22">
        <w:rPr>
          <w:rFonts w:ascii="Times New Roman" w:hAnsi="Times New Roman" w:cs="Times New Roman"/>
          <w:sz w:val="26"/>
          <w:szCs w:val="26"/>
        </w:rPr>
        <w:t>,</w:t>
      </w:r>
      <w:r w:rsidR="00F97460">
        <w:rPr>
          <w:rFonts w:ascii="Times New Roman" w:hAnsi="Times New Roman" w:cs="Times New Roman"/>
          <w:sz w:val="26"/>
          <w:szCs w:val="26"/>
        </w:rPr>
        <w:t xml:space="preserve"> meritano di essere preferiti agli altri</w:t>
      </w:r>
      <w:r w:rsidR="0055235B">
        <w:rPr>
          <w:rFonts w:ascii="Times New Roman" w:hAnsi="Times New Roman" w:cs="Times New Roman"/>
          <w:sz w:val="26"/>
          <w:szCs w:val="26"/>
        </w:rPr>
        <w:t>.</w:t>
      </w:r>
    </w:p>
    <w:p w14:paraId="17CEFBC4" w14:textId="77777777" w:rsidR="00786B86" w:rsidRDefault="00786B86" w:rsidP="00786B86">
      <w:pPr>
        <w:spacing w:after="0" w:line="360" w:lineRule="auto"/>
        <w:jc w:val="both"/>
        <w:rPr>
          <w:rFonts w:ascii="Times New Roman" w:hAnsi="Times New Roman" w:cs="Times New Roman"/>
          <w:sz w:val="26"/>
          <w:szCs w:val="26"/>
        </w:rPr>
      </w:pPr>
    </w:p>
    <w:p w14:paraId="7A9D55C2" w14:textId="77777777" w:rsidR="0055235B" w:rsidRPr="00103341" w:rsidRDefault="0055235B" w:rsidP="0055235B">
      <w:pPr>
        <w:spacing w:after="0" w:line="240" w:lineRule="auto"/>
        <w:ind w:left="1276" w:hanging="1276"/>
        <w:jc w:val="both"/>
        <w:rPr>
          <w:rFonts w:ascii="Times New Roman" w:hAnsi="Times New Roman" w:cs="Times New Roman"/>
          <w:b/>
          <w:sz w:val="26"/>
          <w:szCs w:val="26"/>
        </w:rPr>
      </w:pPr>
      <w:r>
        <w:rPr>
          <w:rFonts w:ascii="Times New Roman" w:hAnsi="Times New Roman" w:cs="Times New Roman"/>
          <w:b/>
          <w:sz w:val="26"/>
          <w:szCs w:val="26"/>
        </w:rPr>
        <w:t>Figura</w:t>
      </w:r>
      <w:r w:rsidRPr="00103341">
        <w:rPr>
          <w:rFonts w:ascii="Times New Roman" w:hAnsi="Times New Roman" w:cs="Times New Roman"/>
          <w:b/>
          <w:sz w:val="26"/>
          <w:szCs w:val="26"/>
        </w:rPr>
        <w:t xml:space="preserve"> </w:t>
      </w:r>
      <w:r>
        <w:rPr>
          <w:rFonts w:ascii="Times New Roman" w:hAnsi="Times New Roman" w:cs="Times New Roman"/>
          <w:b/>
          <w:sz w:val="26"/>
          <w:szCs w:val="26"/>
        </w:rPr>
        <w:t>3</w:t>
      </w:r>
      <w:r w:rsidRPr="00103341">
        <w:rPr>
          <w:rFonts w:ascii="Times New Roman" w:hAnsi="Times New Roman" w:cs="Times New Roman"/>
          <w:b/>
          <w:sz w:val="26"/>
          <w:szCs w:val="26"/>
        </w:rPr>
        <w:t>:</w:t>
      </w:r>
      <w:r>
        <w:rPr>
          <w:rFonts w:ascii="Times New Roman" w:hAnsi="Times New Roman" w:cs="Times New Roman"/>
          <w:b/>
          <w:sz w:val="26"/>
          <w:szCs w:val="26"/>
        </w:rPr>
        <w:tab/>
        <w:t xml:space="preserve">I fondi </w:t>
      </w:r>
      <w:r w:rsidRPr="0055235B">
        <w:rPr>
          <w:rFonts w:ascii="Times New Roman" w:hAnsi="Times New Roman" w:cs="Times New Roman"/>
          <w:b/>
          <w:i/>
          <w:sz w:val="26"/>
          <w:szCs w:val="26"/>
        </w:rPr>
        <w:t>Best in Class</w:t>
      </w:r>
    </w:p>
    <w:tbl>
      <w:tblPr>
        <w:tblStyle w:val="Grigliatabella"/>
        <w:tblW w:w="9073" w:type="dxa"/>
        <w:tblInd w:w="-176" w:type="dxa"/>
        <w:tblLook w:val="04A0" w:firstRow="1" w:lastRow="0" w:firstColumn="1" w:lastColumn="0" w:noHBand="0" w:noVBand="1"/>
      </w:tblPr>
      <w:tblGrid>
        <w:gridCol w:w="4537"/>
        <w:gridCol w:w="4536"/>
      </w:tblGrid>
      <w:tr w:rsidR="0055235B" w14:paraId="02D1729D" w14:textId="77777777" w:rsidTr="0055235B">
        <w:tc>
          <w:tcPr>
            <w:tcW w:w="4537" w:type="dxa"/>
          </w:tcPr>
          <w:p w14:paraId="00EFDF3A" w14:textId="77777777" w:rsidR="0055235B" w:rsidRPr="0055235B" w:rsidRDefault="0055235B" w:rsidP="0055235B">
            <w:pPr>
              <w:spacing w:line="360" w:lineRule="auto"/>
              <w:ind w:left="-1276" w:firstLine="1276"/>
              <w:jc w:val="center"/>
              <w:rPr>
                <w:rFonts w:ascii="Times New Roman" w:hAnsi="Times New Roman" w:cs="Times New Roman"/>
                <w:b/>
                <w:sz w:val="18"/>
                <w:szCs w:val="26"/>
              </w:rPr>
            </w:pPr>
            <w:bookmarkStart w:id="20" w:name="OLE_LINK153"/>
            <w:bookmarkStart w:id="21" w:name="_Hlk30693375"/>
            <w:r w:rsidRPr="0055235B">
              <w:rPr>
                <w:rFonts w:ascii="Times New Roman" w:hAnsi="Times New Roman" w:cs="Times New Roman"/>
                <w:b/>
                <w:sz w:val="18"/>
                <w:szCs w:val="26"/>
              </w:rPr>
              <w:t>Rischio Basso – Medio Dinamismo</w:t>
            </w:r>
            <w:bookmarkEnd w:id="20"/>
          </w:p>
          <w:p w14:paraId="0D536F58" w14:textId="77777777" w:rsidR="0055235B" w:rsidRPr="0055235B" w:rsidRDefault="004447D4" w:rsidP="00A37BDD">
            <w:pPr>
              <w:spacing w:line="360" w:lineRule="auto"/>
              <w:ind w:left="-1276" w:firstLine="1276"/>
              <w:jc w:val="center"/>
              <w:rPr>
                <w:rFonts w:ascii="Times New Roman" w:hAnsi="Times New Roman" w:cs="Times New Roman"/>
                <w:b/>
                <w:sz w:val="18"/>
                <w:szCs w:val="26"/>
              </w:rPr>
            </w:pPr>
            <w:r>
              <w:rPr>
                <w:rFonts w:ascii="Times New Roman" w:hAnsi="Times New Roman" w:cs="Times New Roman"/>
                <w:b/>
                <w:noProof/>
                <w:sz w:val="18"/>
                <w:szCs w:val="26"/>
                <w:lang w:eastAsia="it-IT"/>
              </w:rPr>
              <w:drawing>
                <wp:inline distT="0" distB="0" distL="0" distR="0" wp14:anchorId="3BCCE424" wp14:editId="3E590D00">
                  <wp:extent cx="2660073" cy="19964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6036" cy="2000875"/>
                          </a:xfrm>
                          <a:prstGeom prst="rect">
                            <a:avLst/>
                          </a:prstGeom>
                          <a:noFill/>
                          <a:ln>
                            <a:noFill/>
                          </a:ln>
                        </pic:spPr>
                      </pic:pic>
                    </a:graphicData>
                  </a:graphic>
                </wp:inline>
              </w:drawing>
            </w:r>
          </w:p>
        </w:tc>
        <w:tc>
          <w:tcPr>
            <w:tcW w:w="4536" w:type="dxa"/>
          </w:tcPr>
          <w:p w14:paraId="54E32A15" w14:textId="77777777" w:rsidR="0055235B" w:rsidRPr="0055235B" w:rsidRDefault="0055235B" w:rsidP="00181439">
            <w:pPr>
              <w:spacing w:line="360" w:lineRule="auto"/>
              <w:ind w:left="-1276" w:firstLine="1276"/>
              <w:jc w:val="center"/>
              <w:rPr>
                <w:rFonts w:ascii="Times New Roman" w:hAnsi="Times New Roman" w:cs="Times New Roman"/>
                <w:b/>
                <w:sz w:val="18"/>
                <w:szCs w:val="26"/>
              </w:rPr>
            </w:pPr>
            <w:r w:rsidRPr="0055235B">
              <w:rPr>
                <w:rFonts w:ascii="Times New Roman" w:hAnsi="Times New Roman" w:cs="Times New Roman"/>
                <w:b/>
                <w:sz w:val="18"/>
                <w:szCs w:val="26"/>
              </w:rPr>
              <w:t xml:space="preserve">Rischio </w:t>
            </w:r>
            <w:bookmarkStart w:id="22" w:name="OLE_LINK156"/>
            <w:r w:rsidRPr="0055235B">
              <w:rPr>
                <w:rFonts w:ascii="Times New Roman" w:hAnsi="Times New Roman" w:cs="Times New Roman"/>
                <w:b/>
                <w:sz w:val="18"/>
                <w:szCs w:val="26"/>
              </w:rPr>
              <w:t xml:space="preserve">Medio-Alto </w:t>
            </w:r>
            <w:bookmarkEnd w:id="22"/>
            <w:r w:rsidRPr="0055235B">
              <w:rPr>
                <w:rFonts w:ascii="Times New Roman" w:hAnsi="Times New Roman" w:cs="Times New Roman"/>
                <w:b/>
                <w:sz w:val="18"/>
                <w:szCs w:val="26"/>
              </w:rPr>
              <w:t>– Medio Dinamismo</w:t>
            </w:r>
          </w:p>
          <w:p w14:paraId="29D245EE" w14:textId="77777777" w:rsidR="0055235B" w:rsidRPr="0055235B" w:rsidRDefault="00651AD3" w:rsidP="00181439">
            <w:pPr>
              <w:spacing w:line="360" w:lineRule="auto"/>
              <w:ind w:left="-1276" w:firstLine="1276"/>
              <w:jc w:val="center"/>
              <w:rPr>
                <w:rFonts w:ascii="Times New Roman" w:hAnsi="Times New Roman" w:cs="Times New Roman"/>
                <w:b/>
                <w:sz w:val="18"/>
                <w:szCs w:val="26"/>
              </w:rPr>
            </w:pPr>
            <w:r>
              <w:rPr>
                <w:rFonts w:ascii="Times New Roman" w:hAnsi="Times New Roman" w:cs="Times New Roman"/>
                <w:b/>
                <w:noProof/>
                <w:sz w:val="18"/>
                <w:szCs w:val="26"/>
                <w:lang w:eastAsia="it-IT"/>
              </w:rPr>
              <w:drawing>
                <wp:inline distT="0" distB="0" distL="0" distR="0" wp14:anchorId="79547D42" wp14:editId="39563906">
                  <wp:extent cx="2721571" cy="2042556"/>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1677" cy="2042636"/>
                          </a:xfrm>
                          <a:prstGeom prst="rect">
                            <a:avLst/>
                          </a:prstGeom>
                          <a:noFill/>
                          <a:ln>
                            <a:noFill/>
                          </a:ln>
                        </pic:spPr>
                      </pic:pic>
                    </a:graphicData>
                  </a:graphic>
                </wp:inline>
              </w:drawing>
            </w:r>
          </w:p>
        </w:tc>
      </w:tr>
      <w:tr w:rsidR="0055235B" w14:paraId="37DBB40B" w14:textId="77777777" w:rsidTr="0055235B">
        <w:tc>
          <w:tcPr>
            <w:tcW w:w="4537" w:type="dxa"/>
          </w:tcPr>
          <w:p w14:paraId="38269886" w14:textId="77777777" w:rsidR="0055235B" w:rsidRPr="0055235B" w:rsidRDefault="0055235B" w:rsidP="00586875">
            <w:pPr>
              <w:spacing w:line="360" w:lineRule="auto"/>
              <w:rPr>
                <w:rFonts w:ascii="Times New Roman" w:hAnsi="Times New Roman" w:cs="Times New Roman"/>
                <w:b/>
                <w:sz w:val="18"/>
                <w:szCs w:val="26"/>
              </w:rPr>
            </w:pPr>
            <w:r w:rsidRPr="0055235B">
              <w:rPr>
                <w:rFonts w:ascii="Times New Roman" w:hAnsi="Times New Roman" w:cs="Times New Roman"/>
                <w:b/>
                <w:sz w:val="18"/>
                <w:szCs w:val="26"/>
              </w:rPr>
              <w:t>Rischio Basso – Alto Dinamismo</w:t>
            </w:r>
          </w:p>
          <w:p w14:paraId="3BB61BF5" w14:textId="77777777" w:rsidR="0055235B" w:rsidRPr="0055235B" w:rsidRDefault="00421E8B" w:rsidP="00586875">
            <w:pPr>
              <w:spacing w:line="360" w:lineRule="auto"/>
              <w:rPr>
                <w:rFonts w:ascii="Times New Roman" w:hAnsi="Times New Roman" w:cs="Times New Roman"/>
                <w:b/>
                <w:sz w:val="18"/>
                <w:szCs w:val="26"/>
              </w:rPr>
            </w:pPr>
            <w:r>
              <w:rPr>
                <w:rFonts w:ascii="Times New Roman" w:hAnsi="Times New Roman" w:cs="Times New Roman"/>
                <w:b/>
                <w:noProof/>
                <w:sz w:val="18"/>
                <w:szCs w:val="26"/>
                <w:lang w:eastAsia="it-IT"/>
              </w:rPr>
              <w:lastRenderedPageBreak/>
              <w:drawing>
                <wp:inline distT="0" distB="0" distL="0" distR="0" wp14:anchorId="3BD67252" wp14:editId="2CEC9725">
                  <wp:extent cx="2729483" cy="2048494"/>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1363" cy="2049905"/>
                          </a:xfrm>
                          <a:prstGeom prst="rect">
                            <a:avLst/>
                          </a:prstGeom>
                          <a:noFill/>
                          <a:ln>
                            <a:noFill/>
                          </a:ln>
                        </pic:spPr>
                      </pic:pic>
                    </a:graphicData>
                  </a:graphic>
                </wp:inline>
              </w:drawing>
            </w:r>
          </w:p>
        </w:tc>
        <w:tc>
          <w:tcPr>
            <w:tcW w:w="4536" w:type="dxa"/>
          </w:tcPr>
          <w:p w14:paraId="545B573A" w14:textId="77777777" w:rsidR="0055235B" w:rsidRPr="0055235B" w:rsidRDefault="0055235B" w:rsidP="00586875">
            <w:pPr>
              <w:spacing w:line="360" w:lineRule="auto"/>
              <w:rPr>
                <w:rFonts w:ascii="Times New Roman" w:hAnsi="Times New Roman" w:cs="Times New Roman"/>
                <w:b/>
                <w:sz w:val="18"/>
                <w:szCs w:val="26"/>
              </w:rPr>
            </w:pPr>
            <w:r w:rsidRPr="0055235B">
              <w:rPr>
                <w:rFonts w:ascii="Times New Roman" w:hAnsi="Times New Roman" w:cs="Times New Roman"/>
                <w:b/>
                <w:sz w:val="18"/>
                <w:szCs w:val="26"/>
              </w:rPr>
              <w:lastRenderedPageBreak/>
              <w:t>Rischio Medio-Alto – Alto Dinamismo</w:t>
            </w:r>
          </w:p>
          <w:p w14:paraId="4F2E2203" w14:textId="77777777" w:rsidR="0055235B" w:rsidRPr="0055235B" w:rsidRDefault="004447D4" w:rsidP="00586875">
            <w:pPr>
              <w:spacing w:line="360" w:lineRule="auto"/>
              <w:rPr>
                <w:rFonts w:ascii="Times New Roman" w:hAnsi="Times New Roman" w:cs="Times New Roman"/>
                <w:b/>
                <w:sz w:val="18"/>
                <w:szCs w:val="26"/>
              </w:rPr>
            </w:pPr>
            <w:r>
              <w:rPr>
                <w:rFonts w:ascii="Times New Roman" w:hAnsi="Times New Roman" w:cs="Times New Roman"/>
                <w:b/>
                <w:noProof/>
                <w:sz w:val="18"/>
                <w:szCs w:val="26"/>
                <w:lang w:eastAsia="it-IT"/>
              </w:rPr>
              <w:lastRenderedPageBreak/>
              <w:drawing>
                <wp:inline distT="0" distB="0" distL="0" distR="0" wp14:anchorId="0B6F3ABD" wp14:editId="452D2566">
                  <wp:extent cx="2731325" cy="2049876"/>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3206" cy="2051288"/>
                          </a:xfrm>
                          <a:prstGeom prst="rect">
                            <a:avLst/>
                          </a:prstGeom>
                          <a:noFill/>
                          <a:ln>
                            <a:noFill/>
                          </a:ln>
                        </pic:spPr>
                      </pic:pic>
                    </a:graphicData>
                  </a:graphic>
                </wp:inline>
              </w:drawing>
            </w:r>
          </w:p>
        </w:tc>
      </w:tr>
    </w:tbl>
    <w:bookmarkEnd w:id="21"/>
    <w:p w14:paraId="0296D381" w14:textId="77777777" w:rsidR="0055235B" w:rsidRDefault="0055235B" w:rsidP="004447D4">
      <w:pPr>
        <w:spacing w:after="0" w:line="360" w:lineRule="auto"/>
        <w:ind w:left="-284"/>
        <w:jc w:val="both"/>
        <w:rPr>
          <w:rFonts w:ascii="Times New Roman" w:hAnsi="Times New Roman" w:cs="Times New Roman"/>
          <w:sz w:val="26"/>
          <w:szCs w:val="26"/>
        </w:rPr>
      </w:pPr>
      <w:r w:rsidRPr="00103341">
        <w:rPr>
          <w:rFonts w:ascii="Times New Roman" w:hAnsi="Times New Roman" w:cs="Times New Roman"/>
          <w:i/>
        </w:rPr>
        <w:lastRenderedPageBreak/>
        <w:t xml:space="preserve">Fonte: Nostre elaborazioni su dati </w:t>
      </w:r>
      <w:proofErr w:type="spellStart"/>
      <w:r>
        <w:rPr>
          <w:rFonts w:ascii="Times New Roman" w:hAnsi="Times New Roman" w:cs="Times New Roman"/>
          <w:i/>
        </w:rPr>
        <w:t>Quantalys</w:t>
      </w:r>
      <w:proofErr w:type="spellEnd"/>
      <w:r>
        <w:rPr>
          <w:rFonts w:ascii="Times New Roman" w:hAnsi="Times New Roman" w:cs="Times New Roman"/>
          <w:i/>
        </w:rPr>
        <w:t xml:space="preserve"> e Thomson Reuters </w:t>
      </w:r>
      <w:proofErr w:type="spellStart"/>
      <w:r>
        <w:rPr>
          <w:rFonts w:ascii="Times New Roman" w:hAnsi="Times New Roman" w:cs="Times New Roman"/>
          <w:i/>
        </w:rPr>
        <w:t>Datastream</w:t>
      </w:r>
      <w:proofErr w:type="spellEnd"/>
      <w:r>
        <w:rPr>
          <w:rFonts w:ascii="Times New Roman" w:hAnsi="Times New Roman" w:cs="Times New Roman"/>
          <w:i/>
        </w:rPr>
        <w:t>.</w:t>
      </w:r>
    </w:p>
    <w:p w14:paraId="6F3CB69B" w14:textId="77777777" w:rsidR="0055235B" w:rsidRDefault="0055235B" w:rsidP="00786B86">
      <w:pPr>
        <w:spacing w:after="0" w:line="360" w:lineRule="auto"/>
        <w:jc w:val="both"/>
        <w:rPr>
          <w:rFonts w:ascii="Times New Roman" w:hAnsi="Times New Roman" w:cs="Times New Roman"/>
          <w:sz w:val="26"/>
          <w:szCs w:val="26"/>
        </w:rPr>
      </w:pPr>
    </w:p>
    <w:p w14:paraId="073641BD" w14:textId="77777777" w:rsidR="00786B86" w:rsidRPr="00501CFF" w:rsidRDefault="00786B86" w:rsidP="00786B86">
      <w:pPr>
        <w:pStyle w:val="Titolo1"/>
        <w:numPr>
          <w:ilvl w:val="0"/>
          <w:numId w:val="3"/>
        </w:numPr>
        <w:spacing w:after="120"/>
        <w:ind w:left="425" w:hanging="425"/>
        <w:rPr>
          <w:rFonts w:ascii="Times New Roman" w:hAnsi="Times New Roman" w:cs="Times New Roman"/>
          <w:color w:val="auto"/>
          <w:sz w:val="26"/>
          <w:szCs w:val="26"/>
        </w:rPr>
      </w:pPr>
      <w:bookmarkStart w:id="23" w:name="_Toc30702201"/>
      <w:r w:rsidRPr="00501CFF">
        <w:rPr>
          <w:rFonts w:ascii="Times New Roman" w:hAnsi="Times New Roman" w:cs="Times New Roman"/>
          <w:color w:val="auto"/>
          <w:sz w:val="26"/>
          <w:szCs w:val="26"/>
        </w:rPr>
        <w:t>Conclusioni</w:t>
      </w:r>
      <w:bookmarkEnd w:id="23"/>
    </w:p>
    <w:p w14:paraId="2855CC3D" w14:textId="3AAA444A" w:rsidR="00554243" w:rsidRDefault="00501CFF" w:rsidP="00554243">
      <w:pPr>
        <w:spacing w:after="0" w:line="360" w:lineRule="auto"/>
        <w:jc w:val="both"/>
        <w:rPr>
          <w:rFonts w:ascii="Times New Roman" w:hAnsi="Times New Roman" w:cs="Times New Roman"/>
          <w:sz w:val="26"/>
          <w:szCs w:val="26"/>
        </w:rPr>
      </w:pPr>
      <w:r w:rsidRPr="00501CFF">
        <w:rPr>
          <w:rFonts w:ascii="Times New Roman" w:hAnsi="Times New Roman" w:cs="Times New Roman"/>
          <w:sz w:val="26"/>
          <w:szCs w:val="26"/>
        </w:rPr>
        <w:t xml:space="preserve">Il </w:t>
      </w:r>
      <w:r w:rsidR="00554243">
        <w:rPr>
          <w:rFonts w:ascii="Times New Roman" w:hAnsi="Times New Roman" w:cs="Times New Roman"/>
          <w:sz w:val="26"/>
          <w:szCs w:val="26"/>
        </w:rPr>
        <w:t xml:space="preserve">presente contributo ha preso le mosse dall’analisi dell’enorme successo fatto registrare, negli ultimissimi anni, dal comparto dei fondi flessibili, letteralmente esploso sia in termini di nuovi prodotti via via offerti sul nostro mercato, sia in termini di masse allocate sugli stessi nei portafogli della clientela privata. </w:t>
      </w:r>
      <w:r w:rsidR="00554243" w:rsidRPr="00120B5D">
        <w:rPr>
          <w:rFonts w:ascii="Times New Roman" w:hAnsi="Times New Roman" w:cs="Times New Roman"/>
          <w:sz w:val="26"/>
          <w:szCs w:val="26"/>
        </w:rPr>
        <w:t xml:space="preserve">Data la dimensione </w:t>
      </w:r>
      <w:r w:rsidR="00554243">
        <w:rPr>
          <w:rFonts w:ascii="Times New Roman" w:hAnsi="Times New Roman" w:cs="Times New Roman"/>
          <w:sz w:val="26"/>
          <w:szCs w:val="26"/>
        </w:rPr>
        <w:t xml:space="preserve">assunta dal fenomeno </w:t>
      </w:r>
      <w:r w:rsidR="00554243">
        <w:rPr>
          <w:rFonts w:ascii="Times New Roman" w:hAnsi="Times New Roman" w:cs="Times New Roman"/>
          <w:sz w:val="26"/>
          <w:szCs w:val="26"/>
        </w:rPr>
        <w:t xml:space="preserve">in oggetto, è risultato </w:t>
      </w:r>
      <w:r w:rsidR="00F5789B">
        <w:rPr>
          <w:rFonts w:ascii="Times New Roman" w:hAnsi="Times New Roman" w:cs="Times New Roman"/>
          <w:sz w:val="26"/>
          <w:szCs w:val="26"/>
        </w:rPr>
        <w:t xml:space="preserve">inevitabile </w:t>
      </w:r>
      <w:r w:rsidR="001A6D70">
        <w:rPr>
          <w:rFonts w:ascii="Times New Roman" w:hAnsi="Times New Roman" w:cs="Times New Roman"/>
          <w:sz w:val="26"/>
          <w:szCs w:val="26"/>
        </w:rPr>
        <w:t xml:space="preserve">doversi </w:t>
      </w:r>
      <w:r w:rsidR="00F5789B">
        <w:rPr>
          <w:rFonts w:ascii="Times New Roman" w:hAnsi="Times New Roman" w:cs="Times New Roman"/>
          <w:sz w:val="26"/>
          <w:szCs w:val="26"/>
        </w:rPr>
        <w:t>interrogar</w:t>
      </w:r>
      <w:r w:rsidR="001A6D70">
        <w:rPr>
          <w:rFonts w:ascii="Times New Roman" w:hAnsi="Times New Roman" w:cs="Times New Roman"/>
          <w:sz w:val="26"/>
          <w:szCs w:val="26"/>
        </w:rPr>
        <w:t>e</w:t>
      </w:r>
      <w:r w:rsidR="00F5789B">
        <w:rPr>
          <w:rFonts w:ascii="Times New Roman" w:hAnsi="Times New Roman" w:cs="Times New Roman"/>
          <w:sz w:val="26"/>
          <w:szCs w:val="26"/>
        </w:rPr>
        <w:t xml:space="preserve"> sull’esistenza, o meno, </w:t>
      </w:r>
      <w:r w:rsidR="00554243">
        <w:rPr>
          <w:rFonts w:ascii="Times New Roman" w:hAnsi="Times New Roman" w:cs="Times New Roman"/>
          <w:sz w:val="26"/>
          <w:szCs w:val="26"/>
        </w:rPr>
        <w:t xml:space="preserve">di efficaci modelli in grado </w:t>
      </w:r>
      <w:r w:rsidR="00F5789B">
        <w:rPr>
          <w:rFonts w:ascii="Times New Roman" w:hAnsi="Times New Roman" w:cs="Times New Roman"/>
          <w:sz w:val="26"/>
          <w:szCs w:val="26"/>
        </w:rPr>
        <w:t xml:space="preserve">non solo </w:t>
      </w:r>
      <w:r w:rsidR="00554243">
        <w:rPr>
          <w:rFonts w:ascii="Times New Roman" w:hAnsi="Times New Roman" w:cs="Times New Roman"/>
          <w:sz w:val="26"/>
          <w:szCs w:val="26"/>
        </w:rPr>
        <w:t xml:space="preserve">di selezionare tali prodotti </w:t>
      </w:r>
      <w:r w:rsidR="00F5789B">
        <w:rPr>
          <w:rFonts w:ascii="Times New Roman" w:hAnsi="Times New Roman" w:cs="Times New Roman"/>
          <w:sz w:val="26"/>
          <w:szCs w:val="26"/>
        </w:rPr>
        <w:t xml:space="preserve">ma anche, e soprattutto, di </w:t>
      </w:r>
      <w:r w:rsidR="00554243">
        <w:rPr>
          <w:rFonts w:ascii="Times New Roman" w:hAnsi="Times New Roman" w:cs="Times New Roman"/>
          <w:sz w:val="26"/>
          <w:szCs w:val="26"/>
        </w:rPr>
        <w:t>preservare le regole auree alla base della costruzione del portafoglio</w:t>
      </w:r>
      <w:r w:rsidR="00F5789B">
        <w:rPr>
          <w:rFonts w:ascii="Times New Roman" w:hAnsi="Times New Roman" w:cs="Times New Roman"/>
          <w:sz w:val="26"/>
          <w:szCs w:val="26"/>
        </w:rPr>
        <w:t xml:space="preserve">. Ciò che è emerso in modo incontrovertibile dalle verifiche effettuate è che </w:t>
      </w:r>
      <w:r w:rsidR="00F60860">
        <w:rPr>
          <w:rFonts w:ascii="Times New Roman" w:hAnsi="Times New Roman" w:cs="Times New Roman"/>
          <w:sz w:val="26"/>
          <w:szCs w:val="26"/>
        </w:rPr>
        <w:t>è</w:t>
      </w:r>
      <w:r w:rsidR="00F5789B">
        <w:rPr>
          <w:rFonts w:ascii="Times New Roman" w:hAnsi="Times New Roman" w:cs="Times New Roman"/>
          <w:sz w:val="26"/>
          <w:szCs w:val="26"/>
        </w:rPr>
        <w:t xml:space="preserve"> </w:t>
      </w:r>
      <w:r w:rsidR="00F5789B">
        <w:rPr>
          <w:rFonts w:ascii="Times New Roman" w:hAnsi="Times New Roman" w:cs="Times New Roman"/>
          <w:sz w:val="26"/>
          <w:szCs w:val="26"/>
        </w:rPr>
        <w:t>decisamente preferibile</w:t>
      </w:r>
      <w:r w:rsidR="00F5789B">
        <w:rPr>
          <w:rFonts w:ascii="Times New Roman" w:hAnsi="Times New Roman" w:cs="Times New Roman"/>
          <w:sz w:val="26"/>
          <w:szCs w:val="26"/>
        </w:rPr>
        <w:t>, in sede di costruzione dei portafogli modello,</w:t>
      </w:r>
      <w:r w:rsidR="00F5789B">
        <w:rPr>
          <w:rFonts w:ascii="Times New Roman" w:hAnsi="Times New Roman" w:cs="Times New Roman"/>
          <w:sz w:val="26"/>
          <w:szCs w:val="26"/>
        </w:rPr>
        <w:t xml:space="preserve"> optare per l’inserimento di asset class </w:t>
      </w:r>
      <w:r w:rsidR="00F5789B" w:rsidRPr="00492581">
        <w:rPr>
          <w:rFonts w:ascii="Times New Roman" w:hAnsi="Times New Roman" w:cs="Times New Roman"/>
          <w:i/>
          <w:sz w:val="26"/>
          <w:szCs w:val="26"/>
        </w:rPr>
        <w:t>ad hoc</w:t>
      </w:r>
      <w:r w:rsidR="00F5789B">
        <w:rPr>
          <w:rFonts w:ascii="Times New Roman" w:hAnsi="Times New Roman" w:cs="Times New Roman"/>
          <w:sz w:val="26"/>
          <w:szCs w:val="26"/>
        </w:rPr>
        <w:t xml:space="preserve"> per i prodotti flessibili, </w:t>
      </w:r>
      <w:r w:rsidR="00F5789B">
        <w:rPr>
          <w:rFonts w:ascii="Times New Roman" w:hAnsi="Times New Roman" w:cs="Times New Roman"/>
          <w:sz w:val="26"/>
          <w:szCs w:val="26"/>
        </w:rPr>
        <w:t>alle quali assegna</w:t>
      </w:r>
      <w:r w:rsidR="001A6D70">
        <w:rPr>
          <w:rFonts w:ascii="Times New Roman" w:hAnsi="Times New Roman" w:cs="Times New Roman"/>
          <w:sz w:val="26"/>
          <w:szCs w:val="26"/>
        </w:rPr>
        <w:t>re</w:t>
      </w:r>
      <w:r w:rsidR="00F5789B">
        <w:rPr>
          <w:rFonts w:ascii="Times New Roman" w:hAnsi="Times New Roman" w:cs="Times New Roman"/>
          <w:sz w:val="26"/>
          <w:szCs w:val="26"/>
        </w:rPr>
        <w:t xml:space="preserve"> un ruolo di </w:t>
      </w:r>
      <w:r w:rsidR="001A6D70">
        <w:rPr>
          <w:rFonts w:ascii="Times New Roman" w:hAnsi="Times New Roman" w:cs="Times New Roman"/>
          <w:sz w:val="26"/>
          <w:szCs w:val="26"/>
        </w:rPr>
        <w:t xml:space="preserve">mera </w:t>
      </w:r>
      <w:r w:rsidR="00F5789B">
        <w:rPr>
          <w:rFonts w:ascii="Times New Roman" w:hAnsi="Times New Roman" w:cs="Times New Roman"/>
          <w:sz w:val="26"/>
          <w:szCs w:val="26"/>
        </w:rPr>
        <w:t xml:space="preserve">componente </w:t>
      </w:r>
      <w:r w:rsidR="00F5789B" w:rsidRPr="00FB0F98">
        <w:rPr>
          <w:rFonts w:ascii="Times New Roman" w:hAnsi="Times New Roman" w:cs="Times New Roman"/>
          <w:i/>
          <w:sz w:val="26"/>
          <w:szCs w:val="26"/>
        </w:rPr>
        <w:t>satellite</w:t>
      </w:r>
      <w:r w:rsidR="00F5789B">
        <w:rPr>
          <w:rFonts w:ascii="Times New Roman" w:hAnsi="Times New Roman" w:cs="Times New Roman"/>
          <w:sz w:val="26"/>
          <w:szCs w:val="26"/>
        </w:rPr>
        <w:t xml:space="preserve">. </w:t>
      </w:r>
      <w:r w:rsidR="00F5789B">
        <w:rPr>
          <w:rFonts w:ascii="Times New Roman" w:hAnsi="Times New Roman" w:cs="Times New Roman"/>
          <w:sz w:val="26"/>
          <w:szCs w:val="26"/>
        </w:rPr>
        <w:t xml:space="preserve">Per gestire, poi, </w:t>
      </w:r>
      <w:r w:rsidR="00F5789B">
        <w:rPr>
          <w:rFonts w:ascii="Times New Roman" w:hAnsi="Times New Roman" w:cs="Times New Roman"/>
          <w:sz w:val="26"/>
          <w:szCs w:val="26"/>
        </w:rPr>
        <w:t xml:space="preserve">al meglio la variabile rischio </w:t>
      </w:r>
      <w:r w:rsidR="00F5789B">
        <w:rPr>
          <w:rFonts w:ascii="Times New Roman" w:hAnsi="Times New Roman" w:cs="Times New Roman"/>
          <w:sz w:val="26"/>
          <w:szCs w:val="26"/>
        </w:rPr>
        <w:t xml:space="preserve">che caratterizza tali prodotti, </w:t>
      </w:r>
      <w:r w:rsidR="00F60860">
        <w:rPr>
          <w:rFonts w:ascii="Times New Roman" w:hAnsi="Times New Roman" w:cs="Times New Roman"/>
          <w:sz w:val="26"/>
          <w:szCs w:val="26"/>
        </w:rPr>
        <w:t xml:space="preserve">è parso </w:t>
      </w:r>
      <w:r w:rsidR="00F5789B">
        <w:rPr>
          <w:rFonts w:ascii="Times New Roman" w:hAnsi="Times New Roman" w:cs="Times New Roman"/>
          <w:sz w:val="26"/>
          <w:szCs w:val="26"/>
        </w:rPr>
        <w:t>preferibile</w:t>
      </w:r>
      <w:r w:rsidR="00F5789B">
        <w:rPr>
          <w:rFonts w:ascii="Times New Roman" w:hAnsi="Times New Roman" w:cs="Times New Roman"/>
          <w:sz w:val="26"/>
          <w:szCs w:val="26"/>
        </w:rPr>
        <w:t xml:space="preserve"> </w:t>
      </w:r>
      <w:r w:rsidR="00F60860">
        <w:rPr>
          <w:rFonts w:ascii="Times New Roman" w:hAnsi="Times New Roman" w:cs="Times New Roman"/>
          <w:sz w:val="26"/>
          <w:szCs w:val="26"/>
        </w:rPr>
        <w:t xml:space="preserve">suggerire di </w:t>
      </w:r>
      <w:r w:rsidR="00F5789B">
        <w:rPr>
          <w:rFonts w:ascii="Times New Roman" w:hAnsi="Times New Roman" w:cs="Times New Roman"/>
          <w:sz w:val="26"/>
          <w:szCs w:val="26"/>
        </w:rPr>
        <w:t xml:space="preserve">creare due asset class distinte: una riservata ai fondi flessibili prudenti ed una </w:t>
      </w:r>
      <w:r w:rsidR="00F5789B">
        <w:rPr>
          <w:rFonts w:ascii="Times New Roman" w:hAnsi="Times New Roman" w:cs="Times New Roman"/>
          <w:sz w:val="26"/>
          <w:szCs w:val="26"/>
        </w:rPr>
        <w:t xml:space="preserve">riservata </w:t>
      </w:r>
      <w:r w:rsidR="00F5789B">
        <w:rPr>
          <w:rFonts w:ascii="Times New Roman" w:hAnsi="Times New Roman" w:cs="Times New Roman"/>
          <w:sz w:val="26"/>
          <w:szCs w:val="26"/>
        </w:rPr>
        <w:t xml:space="preserve">a quelli più volatili. </w:t>
      </w:r>
      <w:r w:rsidR="00F5789B">
        <w:rPr>
          <w:rFonts w:ascii="Times New Roman" w:hAnsi="Times New Roman" w:cs="Times New Roman"/>
          <w:sz w:val="26"/>
          <w:szCs w:val="26"/>
        </w:rPr>
        <w:t>In merito, a</w:t>
      </w:r>
      <w:r w:rsidR="00F5789B">
        <w:rPr>
          <w:rFonts w:ascii="Times New Roman" w:hAnsi="Times New Roman" w:cs="Times New Roman"/>
          <w:sz w:val="26"/>
          <w:szCs w:val="26"/>
        </w:rPr>
        <w:t>lla scelta de</w:t>
      </w:r>
      <w:r w:rsidR="00F5789B">
        <w:rPr>
          <w:rFonts w:ascii="Times New Roman" w:hAnsi="Times New Roman" w:cs="Times New Roman"/>
          <w:sz w:val="26"/>
          <w:szCs w:val="26"/>
        </w:rPr>
        <w:t xml:space="preserve">i benchmark </w:t>
      </w:r>
      <w:r w:rsidR="00F5789B">
        <w:rPr>
          <w:rFonts w:ascii="Times New Roman" w:hAnsi="Times New Roman" w:cs="Times New Roman"/>
          <w:sz w:val="26"/>
          <w:szCs w:val="26"/>
        </w:rPr>
        <w:t>da utilizzare ai fini della</w:t>
      </w:r>
      <w:r w:rsidR="00F5789B">
        <w:rPr>
          <w:rFonts w:ascii="Times New Roman" w:hAnsi="Times New Roman" w:cs="Times New Roman"/>
          <w:sz w:val="26"/>
          <w:szCs w:val="26"/>
        </w:rPr>
        <w:t xml:space="preserve"> relativa</w:t>
      </w:r>
      <w:r w:rsidR="00F5789B">
        <w:rPr>
          <w:rFonts w:ascii="Times New Roman" w:hAnsi="Times New Roman" w:cs="Times New Roman"/>
          <w:sz w:val="26"/>
          <w:szCs w:val="26"/>
        </w:rPr>
        <w:t xml:space="preserve"> rappresentazione, è </w:t>
      </w:r>
      <w:r w:rsidR="00F5789B">
        <w:rPr>
          <w:rFonts w:ascii="Times New Roman" w:hAnsi="Times New Roman" w:cs="Times New Roman"/>
          <w:sz w:val="26"/>
          <w:szCs w:val="26"/>
        </w:rPr>
        <w:t xml:space="preserve">apparso decisamente </w:t>
      </w:r>
      <w:r w:rsidR="00F60860">
        <w:rPr>
          <w:rFonts w:ascii="Times New Roman" w:hAnsi="Times New Roman" w:cs="Times New Roman"/>
          <w:sz w:val="26"/>
          <w:szCs w:val="26"/>
        </w:rPr>
        <w:t xml:space="preserve">opportuno </w:t>
      </w:r>
      <w:r w:rsidR="00F5789B">
        <w:rPr>
          <w:rFonts w:ascii="Times New Roman" w:hAnsi="Times New Roman" w:cs="Times New Roman"/>
          <w:sz w:val="26"/>
          <w:szCs w:val="26"/>
        </w:rPr>
        <w:t>consiglia</w:t>
      </w:r>
      <w:r w:rsidR="00F5789B">
        <w:rPr>
          <w:rFonts w:ascii="Times New Roman" w:hAnsi="Times New Roman" w:cs="Times New Roman"/>
          <w:sz w:val="26"/>
          <w:szCs w:val="26"/>
        </w:rPr>
        <w:t xml:space="preserve">re </w:t>
      </w:r>
      <w:r w:rsidR="00F5789B">
        <w:rPr>
          <w:rFonts w:ascii="Times New Roman" w:hAnsi="Times New Roman" w:cs="Times New Roman"/>
          <w:sz w:val="26"/>
          <w:szCs w:val="26"/>
        </w:rPr>
        <w:t>indici costruiti come panieri di fondi flessibili, piuttosto che indici compositi costruiti come combinazione statica di benchmark azionari ed obbligazionari.</w:t>
      </w:r>
    </w:p>
    <w:p w14:paraId="3AD945EE" w14:textId="614A2D68" w:rsidR="000A0583" w:rsidRDefault="000A0583" w:rsidP="000A0583">
      <w:pPr>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Allo scopo</w:t>
      </w:r>
      <w:r w:rsidR="00F5789B">
        <w:rPr>
          <w:rFonts w:ascii="Times New Roman" w:hAnsi="Times New Roman" w:cs="Times New Roman"/>
          <w:sz w:val="26"/>
          <w:szCs w:val="26"/>
        </w:rPr>
        <w:t xml:space="preserve"> </w:t>
      </w:r>
      <w:r>
        <w:rPr>
          <w:rFonts w:ascii="Times New Roman" w:hAnsi="Times New Roman" w:cs="Times New Roman"/>
          <w:sz w:val="26"/>
          <w:szCs w:val="26"/>
        </w:rPr>
        <w:t xml:space="preserve">di verificare la capacità di </w:t>
      </w:r>
      <w:r w:rsidR="00F5789B">
        <w:rPr>
          <w:rFonts w:ascii="Times New Roman" w:hAnsi="Times New Roman" w:cs="Times New Roman"/>
          <w:sz w:val="26"/>
          <w:szCs w:val="26"/>
        </w:rPr>
        <w:t xml:space="preserve">questi fondi di </w:t>
      </w:r>
      <w:r>
        <w:rPr>
          <w:rFonts w:ascii="Times New Roman" w:hAnsi="Times New Roman" w:cs="Times New Roman"/>
          <w:sz w:val="26"/>
          <w:szCs w:val="26"/>
        </w:rPr>
        <w:t xml:space="preserve">battere il mercato, si è </w:t>
      </w:r>
      <w:r w:rsidR="00F5789B">
        <w:rPr>
          <w:rFonts w:ascii="Times New Roman" w:hAnsi="Times New Roman" w:cs="Times New Roman"/>
          <w:sz w:val="26"/>
          <w:szCs w:val="26"/>
        </w:rPr>
        <w:t xml:space="preserve">voluta mettere a confronto </w:t>
      </w:r>
      <w:r>
        <w:rPr>
          <w:rFonts w:ascii="Times New Roman" w:hAnsi="Times New Roman" w:cs="Times New Roman"/>
          <w:sz w:val="26"/>
          <w:szCs w:val="26"/>
        </w:rPr>
        <w:t xml:space="preserve">la performance triennale dei fondi </w:t>
      </w:r>
      <w:r w:rsidR="00F5789B">
        <w:rPr>
          <w:rFonts w:ascii="Times New Roman" w:hAnsi="Times New Roman" w:cs="Times New Roman"/>
          <w:sz w:val="26"/>
          <w:szCs w:val="26"/>
        </w:rPr>
        <w:t xml:space="preserve">flessibili </w:t>
      </w:r>
      <w:r>
        <w:rPr>
          <w:rFonts w:ascii="Times New Roman" w:hAnsi="Times New Roman" w:cs="Times New Roman"/>
          <w:sz w:val="26"/>
          <w:szCs w:val="26"/>
        </w:rPr>
        <w:t xml:space="preserve">con quella </w:t>
      </w:r>
      <w:r w:rsidR="00F5789B">
        <w:rPr>
          <w:rFonts w:ascii="Times New Roman" w:hAnsi="Times New Roman" w:cs="Times New Roman"/>
          <w:sz w:val="26"/>
          <w:szCs w:val="26"/>
        </w:rPr>
        <w:t xml:space="preserve">fatta registrare, nel medesimo orizzonte temporale, dai </w:t>
      </w:r>
      <w:r>
        <w:rPr>
          <w:rFonts w:ascii="Times New Roman" w:hAnsi="Times New Roman" w:cs="Times New Roman"/>
          <w:sz w:val="26"/>
          <w:szCs w:val="26"/>
        </w:rPr>
        <w:t xml:space="preserve">portafogli in asset class che fungono da </w:t>
      </w:r>
      <w:r w:rsidRPr="003531EB">
        <w:rPr>
          <w:rFonts w:ascii="Times New Roman" w:hAnsi="Times New Roman" w:cs="Times New Roman"/>
          <w:i/>
          <w:sz w:val="26"/>
          <w:szCs w:val="26"/>
        </w:rPr>
        <w:t>proxy</w:t>
      </w:r>
      <w:r>
        <w:rPr>
          <w:rFonts w:ascii="Times New Roman" w:hAnsi="Times New Roman" w:cs="Times New Roman"/>
          <w:sz w:val="26"/>
          <w:szCs w:val="26"/>
        </w:rPr>
        <w:t xml:space="preserve"> dell’investimento neutrale di un investitore italiano</w:t>
      </w:r>
      <w:r w:rsidR="001A6D70">
        <w:rPr>
          <w:rFonts w:ascii="Times New Roman" w:hAnsi="Times New Roman" w:cs="Times New Roman"/>
          <w:sz w:val="26"/>
          <w:szCs w:val="26"/>
        </w:rPr>
        <w:t>.  L</w:t>
      </w:r>
      <w:r>
        <w:rPr>
          <w:rFonts w:ascii="Times New Roman" w:hAnsi="Times New Roman" w:cs="Times New Roman"/>
          <w:sz w:val="26"/>
          <w:szCs w:val="26"/>
        </w:rPr>
        <w:t>’analisi</w:t>
      </w:r>
      <w:r w:rsidR="00F5789B">
        <w:rPr>
          <w:rFonts w:ascii="Times New Roman" w:hAnsi="Times New Roman" w:cs="Times New Roman"/>
          <w:sz w:val="26"/>
          <w:szCs w:val="26"/>
        </w:rPr>
        <w:t xml:space="preserve"> svolta ha dimostrato chiaramente </w:t>
      </w:r>
      <w:r>
        <w:rPr>
          <w:rFonts w:ascii="Times New Roman" w:hAnsi="Times New Roman" w:cs="Times New Roman"/>
          <w:sz w:val="26"/>
          <w:szCs w:val="26"/>
        </w:rPr>
        <w:t xml:space="preserve">come i portafogli neutrali </w:t>
      </w:r>
      <w:r w:rsidR="00F5789B">
        <w:rPr>
          <w:rFonts w:ascii="Times New Roman" w:hAnsi="Times New Roman" w:cs="Times New Roman"/>
          <w:sz w:val="26"/>
          <w:szCs w:val="26"/>
        </w:rPr>
        <w:t xml:space="preserve">abbiano </w:t>
      </w:r>
      <w:r>
        <w:rPr>
          <w:rFonts w:ascii="Times New Roman" w:hAnsi="Times New Roman" w:cs="Times New Roman"/>
          <w:sz w:val="26"/>
          <w:szCs w:val="26"/>
        </w:rPr>
        <w:t>domin</w:t>
      </w:r>
      <w:r w:rsidR="00F5789B">
        <w:rPr>
          <w:rFonts w:ascii="Times New Roman" w:hAnsi="Times New Roman" w:cs="Times New Roman"/>
          <w:sz w:val="26"/>
          <w:szCs w:val="26"/>
        </w:rPr>
        <w:t>ato</w:t>
      </w:r>
      <w:r>
        <w:rPr>
          <w:rFonts w:ascii="Times New Roman" w:hAnsi="Times New Roman" w:cs="Times New Roman"/>
          <w:sz w:val="26"/>
          <w:szCs w:val="26"/>
        </w:rPr>
        <w:t>, nello spazio rischio-rendimento</w:t>
      </w:r>
      <w:r w:rsidR="00F5789B">
        <w:rPr>
          <w:rFonts w:ascii="Times New Roman" w:hAnsi="Times New Roman" w:cs="Times New Roman"/>
          <w:sz w:val="26"/>
          <w:szCs w:val="26"/>
        </w:rPr>
        <w:t>,</w:t>
      </w:r>
      <w:r>
        <w:rPr>
          <w:rFonts w:ascii="Times New Roman" w:hAnsi="Times New Roman" w:cs="Times New Roman"/>
          <w:sz w:val="26"/>
          <w:szCs w:val="26"/>
        </w:rPr>
        <w:t xml:space="preserve"> i fondi flessibili; </w:t>
      </w:r>
      <w:r w:rsidR="00F5789B">
        <w:rPr>
          <w:rFonts w:ascii="Times New Roman" w:hAnsi="Times New Roman" w:cs="Times New Roman"/>
          <w:sz w:val="26"/>
          <w:szCs w:val="26"/>
        </w:rPr>
        <w:t xml:space="preserve">a tal punto che si è registrata persino </w:t>
      </w:r>
      <w:r>
        <w:rPr>
          <w:rFonts w:ascii="Times New Roman" w:hAnsi="Times New Roman" w:cs="Times New Roman"/>
          <w:sz w:val="26"/>
          <w:szCs w:val="26"/>
        </w:rPr>
        <w:t xml:space="preserve">l’assenza </w:t>
      </w:r>
      <w:r w:rsidR="00F5789B">
        <w:rPr>
          <w:rFonts w:ascii="Times New Roman" w:hAnsi="Times New Roman" w:cs="Times New Roman"/>
          <w:sz w:val="26"/>
          <w:szCs w:val="26"/>
        </w:rPr>
        <w:t xml:space="preserve">anche solo </w:t>
      </w:r>
      <w:r>
        <w:rPr>
          <w:rFonts w:ascii="Times New Roman" w:hAnsi="Times New Roman" w:cs="Times New Roman"/>
          <w:sz w:val="26"/>
          <w:szCs w:val="26"/>
        </w:rPr>
        <w:t xml:space="preserve">di casi sporadici di fondi in grado di performare meglio dei portafogli neutrali. </w:t>
      </w:r>
      <w:r w:rsidR="004A0DB8">
        <w:rPr>
          <w:rFonts w:ascii="Times New Roman" w:hAnsi="Times New Roman" w:cs="Times New Roman"/>
          <w:sz w:val="26"/>
          <w:szCs w:val="26"/>
        </w:rPr>
        <w:t xml:space="preserve">Tutto </w:t>
      </w:r>
      <w:proofErr w:type="gramStart"/>
      <w:r w:rsidR="004A0DB8">
        <w:rPr>
          <w:rFonts w:ascii="Times New Roman" w:hAnsi="Times New Roman" w:cs="Times New Roman"/>
          <w:sz w:val="26"/>
          <w:szCs w:val="26"/>
        </w:rPr>
        <w:t>questo  non</w:t>
      </w:r>
      <w:proofErr w:type="gramEnd"/>
      <w:r w:rsidR="004A0DB8">
        <w:rPr>
          <w:rFonts w:ascii="Times New Roman" w:hAnsi="Times New Roman" w:cs="Times New Roman"/>
          <w:sz w:val="26"/>
          <w:szCs w:val="26"/>
        </w:rPr>
        <w:t xml:space="preserve"> ha fatto altro che confermare sia </w:t>
      </w:r>
      <w:r>
        <w:rPr>
          <w:rFonts w:ascii="Times New Roman" w:hAnsi="Times New Roman" w:cs="Times New Roman"/>
          <w:sz w:val="26"/>
          <w:szCs w:val="26"/>
        </w:rPr>
        <w:t>le difficoltà connesse all</w:t>
      </w:r>
      <w:r w:rsidR="004A0DB8">
        <w:rPr>
          <w:rFonts w:ascii="Times New Roman" w:hAnsi="Times New Roman" w:cs="Times New Roman"/>
          <w:sz w:val="26"/>
          <w:szCs w:val="26"/>
        </w:rPr>
        <w:t>’</w:t>
      </w:r>
      <w:r>
        <w:rPr>
          <w:rFonts w:ascii="Times New Roman" w:hAnsi="Times New Roman" w:cs="Times New Roman"/>
          <w:sz w:val="26"/>
          <w:szCs w:val="26"/>
        </w:rPr>
        <w:t xml:space="preserve">implementazione del </w:t>
      </w:r>
      <w:r w:rsidRPr="00D10111">
        <w:rPr>
          <w:rFonts w:ascii="Times New Roman" w:hAnsi="Times New Roman" w:cs="Times New Roman"/>
          <w:i/>
          <w:sz w:val="26"/>
          <w:szCs w:val="26"/>
        </w:rPr>
        <w:t>market</w:t>
      </w:r>
      <w:r>
        <w:rPr>
          <w:rFonts w:ascii="Times New Roman" w:hAnsi="Times New Roman" w:cs="Times New Roman"/>
          <w:sz w:val="26"/>
          <w:szCs w:val="26"/>
        </w:rPr>
        <w:t xml:space="preserve"> </w:t>
      </w:r>
      <w:r w:rsidRPr="000A0615">
        <w:rPr>
          <w:rFonts w:ascii="Times New Roman" w:hAnsi="Times New Roman" w:cs="Times New Roman"/>
          <w:i/>
          <w:sz w:val="26"/>
          <w:szCs w:val="26"/>
        </w:rPr>
        <w:t>timing</w:t>
      </w:r>
      <w:r>
        <w:rPr>
          <w:rFonts w:ascii="Times New Roman" w:hAnsi="Times New Roman" w:cs="Times New Roman"/>
          <w:sz w:val="26"/>
          <w:szCs w:val="26"/>
        </w:rPr>
        <w:t xml:space="preserve"> in un contesto di efficienza informativa crescente</w:t>
      </w:r>
      <w:r w:rsidR="004A0DB8">
        <w:rPr>
          <w:rFonts w:ascii="Times New Roman" w:hAnsi="Times New Roman" w:cs="Times New Roman"/>
          <w:sz w:val="26"/>
          <w:szCs w:val="26"/>
        </w:rPr>
        <w:t xml:space="preserve">, sia </w:t>
      </w:r>
      <w:r>
        <w:rPr>
          <w:rFonts w:ascii="Times New Roman" w:hAnsi="Times New Roman" w:cs="Times New Roman"/>
          <w:sz w:val="26"/>
          <w:szCs w:val="26"/>
        </w:rPr>
        <w:t xml:space="preserve">il nostro </w:t>
      </w:r>
      <w:r w:rsidR="004A0DB8">
        <w:rPr>
          <w:rFonts w:ascii="Times New Roman" w:hAnsi="Times New Roman" w:cs="Times New Roman"/>
          <w:sz w:val="26"/>
          <w:szCs w:val="26"/>
        </w:rPr>
        <w:t xml:space="preserve">forte convincimento di </w:t>
      </w:r>
      <w:r>
        <w:rPr>
          <w:rFonts w:ascii="Times New Roman" w:hAnsi="Times New Roman" w:cs="Times New Roman"/>
          <w:sz w:val="26"/>
          <w:szCs w:val="26"/>
        </w:rPr>
        <w:t xml:space="preserve">non </w:t>
      </w:r>
      <w:r w:rsidR="004A0DB8">
        <w:rPr>
          <w:rFonts w:ascii="Times New Roman" w:hAnsi="Times New Roman" w:cs="Times New Roman"/>
          <w:sz w:val="26"/>
          <w:szCs w:val="26"/>
        </w:rPr>
        <w:t xml:space="preserve">dover </w:t>
      </w:r>
      <w:r>
        <w:rPr>
          <w:rFonts w:ascii="Times New Roman" w:hAnsi="Times New Roman" w:cs="Times New Roman"/>
          <w:sz w:val="26"/>
          <w:szCs w:val="26"/>
        </w:rPr>
        <w:t xml:space="preserve">abusare di questa categoria di prodotti. </w:t>
      </w:r>
    </w:p>
    <w:p w14:paraId="4A29EF48" w14:textId="07D4ED95" w:rsidR="004A0DB8" w:rsidRDefault="004A0DB8" w:rsidP="004A0DB8">
      <w:pPr>
        <w:spacing w:after="0" w:line="360" w:lineRule="auto"/>
        <w:jc w:val="both"/>
        <w:rPr>
          <w:rFonts w:ascii="Times New Roman" w:hAnsi="Times New Roman" w:cs="Times New Roman"/>
          <w:sz w:val="26"/>
          <w:szCs w:val="26"/>
        </w:rPr>
      </w:pPr>
      <w:r>
        <w:rPr>
          <w:rFonts w:ascii="Times New Roman" w:hAnsi="Times New Roman" w:cs="Times New Roman"/>
          <w:sz w:val="26"/>
          <w:szCs w:val="26"/>
        </w:rPr>
        <w:t>Da ultimo, dopo aver confinato il ruolo di tali prodotti</w:t>
      </w:r>
      <w:r w:rsidR="000A0583">
        <w:rPr>
          <w:rFonts w:ascii="Times New Roman" w:hAnsi="Times New Roman" w:cs="Times New Roman"/>
          <w:sz w:val="26"/>
          <w:szCs w:val="26"/>
        </w:rPr>
        <w:t xml:space="preserve"> </w:t>
      </w:r>
      <w:r>
        <w:rPr>
          <w:rFonts w:ascii="Times New Roman" w:hAnsi="Times New Roman" w:cs="Times New Roman"/>
          <w:sz w:val="26"/>
          <w:szCs w:val="26"/>
        </w:rPr>
        <w:t xml:space="preserve">ad una </w:t>
      </w:r>
      <w:r w:rsidR="000A0583">
        <w:rPr>
          <w:rFonts w:ascii="Times New Roman" w:hAnsi="Times New Roman" w:cs="Times New Roman"/>
          <w:sz w:val="26"/>
          <w:szCs w:val="26"/>
        </w:rPr>
        <w:t xml:space="preserve">componente </w:t>
      </w:r>
      <w:r w:rsidR="000A0583" w:rsidRPr="001B1F26">
        <w:rPr>
          <w:rFonts w:ascii="Times New Roman" w:hAnsi="Times New Roman" w:cs="Times New Roman"/>
          <w:i/>
          <w:sz w:val="26"/>
          <w:szCs w:val="26"/>
        </w:rPr>
        <w:t>satellite</w:t>
      </w:r>
      <w:r w:rsidR="000A0583">
        <w:rPr>
          <w:rFonts w:ascii="Times New Roman" w:hAnsi="Times New Roman" w:cs="Times New Roman"/>
          <w:sz w:val="26"/>
          <w:szCs w:val="26"/>
        </w:rPr>
        <w:t xml:space="preserve"> di un portafoglio investito prevalentemente in fondi </w:t>
      </w:r>
      <w:r>
        <w:rPr>
          <w:rFonts w:ascii="Times New Roman" w:hAnsi="Times New Roman" w:cs="Times New Roman"/>
          <w:sz w:val="26"/>
          <w:szCs w:val="26"/>
        </w:rPr>
        <w:t xml:space="preserve">direzionali </w:t>
      </w:r>
      <w:r w:rsidR="000A0583">
        <w:rPr>
          <w:rFonts w:ascii="Times New Roman" w:hAnsi="Times New Roman" w:cs="Times New Roman"/>
          <w:sz w:val="26"/>
          <w:szCs w:val="26"/>
        </w:rPr>
        <w:t>mono-asset</w:t>
      </w:r>
      <w:r>
        <w:rPr>
          <w:rFonts w:ascii="Times New Roman" w:hAnsi="Times New Roman" w:cs="Times New Roman"/>
          <w:sz w:val="26"/>
          <w:szCs w:val="26"/>
        </w:rPr>
        <w:t xml:space="preserve">, si è proposto un criterio di classificazione, prima, e di selezione, poi, </w:t>
      </w:r>
      <w:r w:rsidR="00F60860">
        <w:rPr>
          <w:rFonts w:ascii="Times New Roman" w:hAnsi="Times New Roman" w:cs="Times New Roman"/>
          <w:sz w:val="26"/>
          <w:szCs w:val="26"/>
        </w:rPr>
        <w:t xml:space="preserve">che risultasse metodologicamente robusto e solido. </w:t>
      </w:r>
      <w:r>
        <w:rPr>
          <w:rFonts w:ascii="Times New Roman" w:hAnsi="Times New Roman" w:cs="Times New Roman"/>
          <w:sz w:val="26"/>
          <w:szCs w:val="26"/>
        </w:rPr>
        <w:t xml:space="preserve">Si è pervenuti, cosi, in prima battuta alla individuazione di quattro peer group dati dalla combinazione congiunta sia del grado rischio (basso versus medio-alto), sia del grado di dinamismo (medio versus alto) dei fondi flessibili; si è poi conclusa l’analisi con l’individuazione, </w:t>
      </w:r>
      <w:r>
        <w:rPr>
          <w:rFonts w:ascii="Times New Roman" w:hAnsi="Times New Roman" w:cs="Times New Roman"/>
          <w:sz w:val="26"/>
          <w:szCs w:val="26"/>
        </w:rPr>
        <w:t>in ciascun</w:t>
      </w:r>
      <w:r>
        <w:rPr>
          <w:rFonts w:ascii="Times New Roman" w:hAnsi="Times New Roman" w:cs="Times New Roman"/>
          <w:sz w:val="26"/>
          <w:szCs w:val="26"/>
        </w:rPr>
        <w:t xml:space="preserve">o dei </w:t>
      </w:r>
      <w:r>
        <w:rPr>
          <w:rFonts w:ascii="Times New Roman" w:hAnsi="Times New Roman" w:cs="Times New Roman"/>
          <w:sz w:val="26"/>
          <w:szCs w:val="26"/>
        </w:rPr>
        <w:t xml:space="preserve">quattro </w:t>
      </w:r>
      <w:r>
        <w:rPr>
          <w:rFonts w:ascii="Times New Roman" w:hAnsi="Times New Roman" w:cs="Times New Roman"/>
          <w:sz w:val="26"/>
          <w:szCs w:val="26"/>
        </w:rPr>
        <w:t>cluster</w:t>
      </w:r>
      <w:r>
        <w:rPr>
          <w:rFonts w:ascii="Times New Roman" w:hAnsi="Times New Roman" w:cs="Times New Roman"/>
          <w:sz w:val="26"/>
          <w:szCs w:val="26"/>
        </w:rPr>
        <w:t xml:space="preserve">, </w:t>
      </w:r>
      <w:r>
        <w:rPr>
          <w:rFonts w:ascii="Times New Roman" w:hAnsi="Times New Roman" w:cs="Times New Roman"/>
          <w:sz w:val="26"/>
          <w:szCs w:val="26"/>
        </w:rPr>
        <w:t xml:space="preserve">dei (pochi) </w:t>
      </w:r>
      <w:r>
        <w:rPr>
          <w:rFonts w:ascii="Times New Roman" w:hAnsi="Times New Roman" w:cs="Times New Roman"/>
          <w:sz w:val="26"/>
          <w:szCs w:val="26"/>
        </w:rPr>
        <w:t xml:space="preserve">fondi </w:t>
      </w:r>
      <w:r w:rsidRPr="00F97460">
        <w:rPr>
          <w:rFonts w:ascii="Times New Roman" w:hAnsi="Times New Roman" w:cs="Times New Roman"/>
          <w:i/>
          <w:sz w:val="26"/>
          <w:szCs w:val="26"/>
        </w:rPr>
        <w:t>best in class</w:t>
      </w:r>
      <w:r>
        <w:rPr>
          <w:rFonts w:ascii="Times New Roman" w:hAnsi="Times New Roman" w:cs="Times New Roman"/>
          <w:i/>
          <w:sz w:val="26"/>
          <w:szCs w:val="26"/>
        </w:rPr>
        <w:t xml:space="preserve"> </w:t>
      </w:r>
      <w:r w:rsidRPr="004A0DB8">
        <w:rPr>
          <w:rFonts w:ascii="Times New Roman" w:hAnsi="Times New Roman" w:cs="Times New Roman"/>
          <w:iCs/>
          <w:sz w:val="26"/>
          <w:szCs w:val="26"/>
        </w:rPr>
        <w:t>che,</w:t>
      </w:r>
      <w:r>
        <w:rPr>
          <w:rFonts w:ascii="Times New Roman" w:hAnsi="Times New Roman" w:cs="Times New Roman"/>
          <w:iCs/>
          <w:sz w:val="26"/>
          <w:szCs w:val="26"/>
        </w:rPr>
        <w:t xml:space="preserve"> </w:t>
      </w:r>
      <w:r>
        <w:rPr>
          <w:rFonts w:ascii="Times New Roman" w:hAnsi="Times New Roman" w:cs="Times New Roman"/>
          <w:sz w:val="26"/>
          <w:szCs w:val="26"/>
        </w:rPr>
        <w:t xml:space="preserve">in ragione della loro collocazione nello spazio Maximum </w:t>
      </w:r>
      <w:proofErr w:type="spellStart"/>
      <w:r>
        <w:rPr>
          <w:rFonts w:ascii="Times New Roman" w:hAnsi="Times New Roman" w:cs="Times New Roman"/>
          <w:sz w:val="26"/>
          <w:szCs w:val="26"/>
        </w:rPr>
        <w:t>Drawdown</w:t>
      </w:r>
      <w:proofErr w:type="spellEnd"/>
      <w:r>
        <w:rPr>
          <w:rFonts w:ascii="Times New Roman" w:hAnsi="Times New Roman" w:cs="Times New Roman"/>
          <w:sz w:val="26"/>
          <w:szCs w:val="26"/>
        </w:rPr>
        <w:t xml:space="preserve"> di periodo – Rendimento Medio Annuo, </w:t>
      </w:r>
      <w:r>
        <w:rPr>
          <w:rFonts w:ascii="Times New Roman" w:hAnsi="Times New Roman" w:cs="Times New Roman"/>
          <w:sz w:val="26"/>
          <w:szCs w:val="26"/>
        </w:rPr>
        <w:t xml:space="preserve">hanno </w:t>
      </w:r>
      <w:r>
        <w:rPr>
          <w:rFonts w:ascii="Times New Roman" w:hAnsi="Times New Roman" w:cs="Times New Roman"/>
          <w:sz w:val="26"/>
          <w:szCs w:val="26"/>
        </w:rPr>
        <w:t>merita</w:t>
      </w:r>
      <w:r>
        <w:rPr>
          <w:rFonts w:ascii="Times New Roman" w:hAnsi="Times New Roman" w:cs="Times New Roman"/>
          <w:sz w:val="26"/>
          <w:szCs w:val="26"/>
        </w:rPr>
        <w:t xml:space="preserve">to </w:t>
      </w:r>
      <w:r>
        <w:rPr>
          <w:rFonts w:ascii="Times New Roman" w:hAnsi="Times New Roman" w:cs="Times New Roman"/>
          <w:sz w:val="26"/>
          <w:szCs w:val="26"/>
        </w:rPr>
        <w:t>di essere preferiti agli altri.</w:t>
      </w:r>
    </w:p>
    <w:p w14:paraId="2C0E0DF6" w14:textId="3ADC5E03" w:rsidR="000A0583" w:rsidRDefault="001A6D70" w:rsidP="00F6086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In definitiva, quindi, il successo dei fondi flessibili deve essere letto</w:t>
      </w:r>
      <w:r w:rsidR="00F60860">
        <w:rPr>
          <w:rFonts w:ascii="Times New Roman" w:hAnsi="Times New Roman" w:cs="Times New Roman"/>
          <w:sz w:val="26"/>
          <w:szCs w:val="26"/>
        </w:rPr>
        <w:t>, a nostro avviso,</w:t>
      </w:r>
      <w:r>
        <w:rPr>
          <w:rFonts w:ascii="Times New Roman" w:hAnsi="Times New Roman" w:cs="Times New Roman"/>
          <w:sz w:val="26"/>
          <w:szCs w:val="26"/>
        </w:rPr>
        <w:t xml:space="preserve"> prevalentemente come un fenomeno di natura commerciale, dettato sia dal desiderio di voler/poter offrire alla clientela dei prodotti in grado di performare in tutte le fasi di mercato, sia dalla necessità di dover vendere questo “sogno” in cambio del maggior costo implicito </w:t>
      </w:r>
      <w:r w:rsidR="00F60860">
        <w:rPr>
          <w:rFonts w:ascii="Times New Roman" w:hAnsi="Times New Roman" w:cs="Times New Roman"/>
          <w:sz w:val="26"/>
          <w:szCs w:val="26"/>
        </w:rPr>
        <w:t xml:space="preserve">che caratterizza </w:t>
      </w:r>
      <w:r>
        <w:rPr>
          <w:rFonts w:ascii="Times New Roman" w:hAnsi="Times New Roman" w:cs="Times New Roman"/>
          <w:sz w:val="26"/>
          <w:szCs w:val="26"/>
        </w:rPr>
        <w:t xml:space="preserve">questo tipo di prodotti, mediamente </w:t>
      </w:r>
      <w:r w:rsidR="00F60860">
        <w:rPr>
          <w:rFonts w:ascii="Times New Roman" w:hAnsi="Times New Roman" w:cs="Times New Roman"/>
          <w:sz w:val="26"/>
          <w:szCs w:val="26"/>
        </w:rPr>
        <w:t xml:space="preserve">sempre </w:t>
      </w:r>
      <w:r>
        <w:rPr>
          <w:rFonts w:ascii="Times New Roman" w:hAnsi="Times New Roman" w:cs="Times New Roman"/>
          <w:sz w:val="26"/>
          <w:szCs w:val="26"/>
        </w:rPr>
        <w:t xml:space="preserve">più cari dei fondi direzionali di pari rischio. Di fronte alle evidenze che anche in questa sede sono state fornite, il mercato </w:t>
      </w:r>
      <w:r w:rsidR="00F60860">
        <w:rPr>
          <w:rFonts w:ascii="Times New Roman" w:hAnsi="Times New Roman" w:cs="Times New Roman"/>
          <w:sz w:val="26"/>
          <w:szCs w:val="26"/>
        </w:rPr>
        <w:t xml:space="preserve">farà </w:t>
      </w:r>
      <w:r>
        <w:rPr>
          <w:rFonts w:ascii="Times New Roman" w:hAnsi="Times New Roman" w:cs="Times New Roman"/>
          <w:sz w:val="26"/>
          <w:szCs w:val="26"/>
        </w:rPr>
        <w:t>registrare un inevitabile ridimensionamento del comparto</w:t>
      </w:r>
      <w:r w:rsidR="00F60860">
        <w:rPr>
          <w:rFonts w:ascii="Times New Roman" w:hAnsi="Times New Roman" w:cs="Times New Roman"/>
          <w:sz w:val="26"/>
          <w:szCs w:val="26"/>
        </w:rPr>
        <w:t xml:space="preserve"> preso in esame in questo studio; varrebbe la pena chiedersi sin d’ora quale sarà il nuovo segmento </w:t>
      </w:r>
      <w:r w:rsidR="00F60860">
        <w:rPr>
          <w:rFonts w:ascii="Times New Roman" w:hAnsi="Times New Roman" w:cs="Times New Roman"/>
          <w:sz w:val="26"/>
          <w:szCs w:val="26"/>
        </w:rPr>
        <w:lastRenderedPageBreak/>
        <w:t xml:space="preserve">sul quale dirottare le nuove speranze o, meglio, i nuovi sogni di rendimenti migliori in grado di giustificare costi maggiori ma il timore che si tratti di un segmento – quello dei prodotti illiquidi – caratterizzato da problemi analoghi, se non maggiori, di quelli che abbiamo incontrato in questo studio consiglia immediatamente di dedicare ad esso un contributo ad hoc. </w:t>
      </w:r>
    </w:p>
    <w:p w14:paraId="52239A0A" w14:textId="77777777" w:rsidR="000A0583" w:rsidRDefault="000A0583" w:rsidP="00786B86">
      <w:pPr>
        <w:spacing w:after="0" w:line="360" w:lineRule="auto"/>
        <w:jc w:val="both"/>
        <w:rPr>
          <w:rFonts w:ascii="Times New Roman" w:hAnsi="Times New Roman" w:cs="Times New Roman"/>
          <w:sz w:val="26"/>
          <w:szCs w:val="26"/>
        </w:rPr>
      </w:pPr>
    </w:p>
    <w:p w14:paraId="5B2E0CF3" w14:textId="77777777" w:rsidR="00786B86" w:rsidRDefault="00786B86" w:rsidP="00786B86">
      <w:pPr>
        <w:spacing w:after="0" w:line="360" w:lineRule="auto"/>
        <w:jc w:val="both"/>
        <w:rPr>
          <w:rFonts w:ascii="Times New Roman" w:hAnsi="Times New Roman" w:cs="Times New Roman"/>
          <w:sz w:val="26"/>
          <w:szCs w:val="26"/>
        </w:rPr>
      </w:pPr>
    </w:p>
    <w:p w14:paraId="10B3B4BA" w14:textId="77777777" w:rsidR="00786B86" w:rsidRDefault="00786B86">
      <w:pPr>
        <w:rPr>
          <w:rFonts w:ascii="Times New Roman" w:hAnsi="Times New Roman" w:cs="Times New Roman"/>
          <w:sz w:val="26"/>
          <w:szCs w:val="26"/>
        </w:rPr>
      </w:pPr>
      <w:r>
        <w:rPr>
          <w:rFonts w:ascii="Times New Roman" w:hAnsi="Times New Roman" w:cs="Times New Roman"/>
          <w:sz w:val="26"/>
          <w:szCs w:val="26"/>
        </w:rPr>
        <w:br w:type="page"/>
      </w:r>
    </w:p>
    <w:p w14:paraId="5928ED01" w14:textId="77777777" w:rsidR="00786B86" w:rsidRPr="008F758F" w:rsidRDefault="00786B86" w:rsidP="00786B86">
      <w:pPr>
        <w:spacing w:after="0" w:line="360" w:lineRule="auto"/>
        <w:jc w:val="both"/>
        <w:rPr>
          <w:rFonts w:ascii="Times New Roman" w:hAnsi="Times New Roman" w:cs="Times New Roman"/>
          <w:b/>
          <w:sz w:val="26"/>
          <w:szCs w:val="26"/>
          <w:lang w:val="en-US"/>
        </w:rPr>
      </w:pPr>
      <w:proofErr w:type="spellStart"/>
      <w:r w:rsidRPr="008F758F">
        <w:rPr>
          <w:rFonts w:ascii="Times New Roman" w:hAnsi="Times New Roman" w:cs="Times New Roman"/>
          <w:b/>
          <w:sz w:val="26"/>
          <w:szCs w:val="26"/>
          <w:lang w:val="en-US"/>
        </w:rPr>
        <w:lastRenderedPageBreak/>
        <w:t>Bibliografia</w:t>
      </w:r>
      <w:proofErr w:type="spellEnd"/>
    </w:p>
    <w:p w14:paraId="12192A5D" w14:textId="77777777" w:rsidR="00945FA2" w:rsidRDefault="00945FA2" w:rsidP="00674341">
      <w:pPr>
        <w:spacing w:after="120" w:line="240" w:lineRule="auto"/>
        <w:jc w:val="both"/>
        <w:rPr>
          <w:rFonts w:ascii="Times New Roman" w:hAnsi="Times New Roman" w:cs="Times New Roman"/>
          <w:sz w:val="26"/>
          <w:szCs w:val="26"/>
          <w:lang w:val="en-US"/>
        </w:rPr>
      </w:pPr>
      <w:r w:rsidRPr="00945FA2">
        <w:rPr>
          <w:rFonts w:ascii="Times New Roman" w:hAnsi="Times New Roman" w:cs="Times New Roman"/>
          <w:sz w:val="26"/>
          <w:szCs w:val="26"/>
          <w:lang w:val="en-US"/>
        </w:rPr>
        <w:t>Ang</w:t>
      </w:r>
      <w:r w:rsidR="005E3407">
        <w:rPr>
          <w:rFonts w:ascii="Times New Roman" w:hAnsi="Times New Roman" w:cs="Times New Roman"/>
          <w:sz w:val="26"/>
          <w:szCs w:val="26"/>
          <w:lang w:val="en-US"/>
        </w:rPr>
        <w:t>, A.</w:t>
      </w:r>
      <w:r w:rsidRPr="00945FA2">
        <w:rPr>
          <w:rFonts w:ascii="Times New Roman" w:hAnsi="Times New Roman" w:cs="Times New Roman"/>
          <w:sz w:val="26"/>
          <w:szCs w:val="26"/>
          <w:lang w:val="en-US"/>
        </w:rPr>
        <w:t xml:space="preserve"> </w:t>
      </w:r>
      <w:r>
        <w:rPr>
          <w:rFonts w:ascii="Times New Roman" w:hAnsi="Times New Roman" w:cs="Times New Roman"/>
          <w:sz w:val="26"/>
          <w:szCs w:val="26"/>
          <w:lang w:val="en-US"/>
        </w:rPr>
        <w:t>e</w:t>
      </w:r>
      <w:r w:rsidRPr="00945FA2">
        <w:rPr>
          <w:rFonts w:ascii="Times New Roman" w:hAnsi="Times New Roman" w:cs="Times New Roman"/>
          <w:sz w:val="26"/>
          <w:szCs w:val="26"/>
          <w:lang w:val="en-US"/>
        </w:rPr>
        <w:t xml:space="preserve"> Bekaert</w:t>
      </w:r>
      <w:r w:rsidR="005E3407">
        <w:rPr>
          <w:rFonts w:ascii="Times New Roman" w:hAnsi="Times New Roman" w:cs="Times New Roman"/>
          <w:sz w:val="26"/>
          <w:szCs w:val="26"/>
          <w:lang w:val="en-US"/>
        </w:rPr>
        <w:t>, G.</w:t>
      </w:r>
      <w:r>
        <w:rPr>
          <w:rFonts w:ascii="Times New Roman" w:hAnsi="Times New Roman" w:cs="Times New Roman"/>
          <w:sz w:val="26"/>
          <w:szCs w:val="26"/>
          <w:lang w:val="en-US"/>
        </w:rPr>
        <w:t xml:space="preserve">, 2007, </w:t>
      </w:r>
      <w:r w:rsidRPr="005E3407">
        <w:rPr>
          <w:rFonts w:ascii="Times New Roman" w:hAnsi="Times New Roman" w:cs="Times New Roman"/>
          <w:sz w:val="26"/>
          <w:szCs w:val="26"/>
          <w:lang w:val="en-US"/>
        </w:rPr>
        <w:t xml:space="preserve">Stock Return Predictability: Is it </w:t>
      </w:r>
      <w:proofErr w:type="gramStart"/>
      <w:r w:rsidRPr="005E3407">
        <w:rPr>
          <w:rFonts w:ascii="Times New Roman" w:hAnsi="Times New Roman" w:cs="Times New Roman"/>
          <w:sz w:val="26"/>
          <w:szCs w:val="26"/>
          <w:lang w:val="en-US"/>
        </w:rPr>
        <w:t>There?</w:t>
      </w:r>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xml:space="preserve"> </w:t>
      </w:r>
      <w:r w:rsidRPr="00945FA2">
        <w:rPr>
          <w:rFonts w:ascii="Times New Roman" w:hAnsi="Times New Roman" w:cs="Times New Roman"/>
          <w:sz w:val="26"/>
          <w:szCs w:val="26"/>
          <w:lang w:val="en-US"/>
        </w:rPr>
        <w:t>The Review of Financial Studies</w:t>
      </w:r>
      <w:r>
        <w:rPr>
          <w:rFonts w:ascii="Times New Roman" w:hAnsi="Times New Roman" w:cs="Times New Roman"/>
          <w:sz w:val="26"/>
          <w:szCs w:val="26"/>
          <w:lang w:val="en-US"/>
        </w:rPr>
        <w:t xml:space="preserve">, </w:t>
      </w:r>
      <w:r w:rsidRPr="00945FA2">
        <w:rPr>
          <w:rFonts w:ascii="Times New Roman" w:hAnsi="Times New Roman" w:cs="Times New Roman"/>
          <w:sz w:val="26"/>
          <w:szCs w:val="26"/>
          <w:lang w:val="en-US"/>
        </w:rPr>
        <w:t>Vol. 20, N. 3</w:t>
      </w:r>
      <w:r>
        <w:rPr>
          <w:rFonts w:ascii="Times New Roman" w:hAnsi="Times New Roman" w:cs="Times New Roman"/>
          <w:sz w:val="26"/>
          <w:szCs w:val="26"/>
          <w:lang w:val="en-US"/>
        </w:rPr>
        <w:t xml:space="preserve"> </w:t>
      </w:r>
      <w:r w:rsidR="008F758F">
        <w:rPr>
          <w:rFonts w:ascii="Times New Roman" w:hAnsi="Times New Roman" w:cs="Times New Roman"/>
          <w:sz w:val="26"/>
          <w:szCs w:val="26"/>
          <w:lang w:val="en-US"/>
        </w:rPr>
        <w:t>(</w:t>
      </w:r>
      <w:r w:rsidRPr="00945FA2">
        <w:rPr>
          <w:rFonts w:ascii="Times New Roman" w:hAnsi="Times New Roman" w:cs="Times New Roman"/>
          <w:sz w:val="26"/>
          <w:szCs w:val="26"/>
          <w:lang w:val="en-US"/>
        </w:rPr>
        <w:t>May</w:t>
      </w:r>
      <w:r w:rsidR="008F758F">
        <w:rPr>
          <w:rFonts w:ascii="Times New Roman" w:hAnsi="Times New Roman" w:cs="Times New Roman"/>
          <w:sz w:val="26"/>
          <w:szCs w:val="26"/>
          <w:lang w:val="en-US"/>
        </w:rPr>
        <w:t>)</w:t>
      </w:r>
      <w:r>
        <w:rPr>
          <w:rFonts w:ascii="Times New Roman" w:hAnsi="Times New Roman" w:cs="Times New Roman"/>
          <w:sz w:val="26"/>
          <w:szCs w:val="26"/>
          <w:lang w:val="en-US"/>
        </w:rPr>
        <w:t>.</w:t>
      </w:r>
    </w:p>
    <w:p w14:paraId="6A7AF3F2" w14:textId="77777777" w:rsidR="00181439" w:rsidRDefault="00181439" w:rsidP="00181439">
      <w:pPr>
        <w:spacing w:after="120" w:line="240" w:lineRule="auto"/>
        <w:jc w:val="both"/>
        <w:rPr>
          <w:rFonts w:ascii="Times New Roman" w:hAnsi="Times New Roman" w:cs="Times New Roman"/>
          <w:sz w:val="26"/>
          <w:szCs w:val="26"/>
          <w:lang w:val="en-US"/>
        </w:rPr>
      </w:pPr>
      <w:proofErr w:type="spellStart"/>
      <w:r w:rsidRPr="00181439">
        <w:rPr>
          <w:rFonts w:ascii="Times New Roman" w:hAnsi="Times New Roman" w:cs="Times New Roman"/>
          <w:sz w:val="26"/>
          <w:szCs w:val="26"/>
          <w:lang w:val="en-US"/>
        </w:rPr>
        <w:t>A</w:t>
      </w:r>
      <w:r>
        <w:rPr>
          <w:rFonts w:ascii="Times New Roman" w:hAnsi="Times New Roman" w:cs="Times New Roman"/>
          <w:sz w:val="26"/>
          <w:szCs w:val="26"/>
          <w:lang w:val="en-US"/>
        </w:rPr>
        <w:t>sness</w:t>
      </w:r>
      <w:proofErr w:type="spellEnd"/>
      <w:r w:rsidRPr="00181439">
        <w:rPr>
          <w:rFonts w:ascii="Times New Roman" w:hAnsi="Times New Roman" w:cs="Times New Roman"/>
          <w:sz w:val="26"/>
          <w:szCs w:val="26"/>
          <w:lang w:val="en-US"/>
        </w:rPr>
        <w:t xml:space="preserve">, </w:t>
      </w:r>
      <w:r w:rsidR="005E3407" w:rsidRPr="00181439">
        <w:rPr>
          <w:rFonts w:ascii="Times New Roman" w:hAnsi="Times New Roman" w:cs="Times New Roman"/>
          <w:sz w:val="26"/>
          <w:szCs w:val="26"/>
          <w:lang w:val="en-US"/>
        </w:rPr>
        <w:t>C</w:t>
      </w:r>
      <w:r w:rsidR="005E3407">
        <w:rPr>
          <w:rFonts w:ascii="Times New Roman" w:hAnsi="Times New Roman" w:cs="Times New Roman"/>
          <w:sz w:val="26"/>
          <w:szCs w:val="26"/>
          <w:lang w:val="en-US"/>
        </w:rPr>
        <w:t>.</w:t>
      </w:r>
      <w:r w:rsidR="005E3407" w:rsidRPr="00181439">
        <w:rPr>
          <w:rFonts w:ascii="Times New Roman" w:hAnsi="Times New Roman" w:cs="Times New Roman"/>
          <w:sz w:val="26"/>
          <w:szCs w:val="26"/>
          <w:lang w:val="en-US"/>
        </w:rPr>
        <w:t>S.</w:t>
      </w:r>
      <w:r w:rsidR="005E3407">
        <w:rPr>
          <w:rFonts w:ascii="Times New Roman" w:hAnsi="Times New Roman" w:cs="Times New Roman"/>
          <w:sz w:val="26"/>
          <w:szCs w:val="26"/>
          <w:lang w:val="en-US"/>
        </w:rPr>
        <w:t xml:space="preserve">, </w:t>
      </w:r>
      <w:r w:rsidRPr="00181439">
        <w:rPr>
          <w:rFonts w:ascii="Times New Roman" w:hAnsi="Times New Roman" w:cs="Times New Roman"/>
          <w:sz w:val="26"/>
          <w:szCs w:val="26"/>
          <w:lang w:val="en-US"/>
        </w:rPr>
        <w:t>M</w:t>
      </w:r>
      <w:r>
        <w:rPr>
          <w:rFonts w:ascii="Times New Roman" w:hAnsi="Times New Roman" w:cs="Times New Roman"/>
          <w:sz w:val="26"/>
          <w:szCs w:val="26"/>
          <w:lang w:val="en-US"/>
        </w:rPr>
        <w:t>oskowitz</w:t>
      </w:r>
      <w:r w:rsidR="005E3407">
        <w:rPr>
          <w:rFonts w:ascii="Times New Roman" w:hAnsi="Times New Roman" w:cs="Times New Roman"/>
          <w:sz w:val="26"/>
          <w:szCs w:val="26"/>
          <w:lang w:val="en-US"/>
        </w:rPr>
        <w:t xml:space="preserve">, </w:t>
      </w:r>
      <w:r w:rsidR="005E3407" w:rsidRPr="00181439">
        <w:rPr>
          <w:rFonts w:ascii="Times New Roman" w:hAnsi="Times New Roman" w:cs="Times New Roman"/>
          <w:sz w:val="26"/>
          <w:szCs w:val="26"/>
          <w:lang w:val="en-US"/>
        </w:rPr>
        <w:t>T</w:t>
      </w:r>
      <w:r w:rsidR="005E3407">
        <w:rPr>
          <w:rFonts w:ascii="Times New Roman" w:hAnsi="Times New Roman" w:cs="Times New Roman"/>
          <w:sz w:val="26"/>
          <w:szCs w:val="26"/>
          <w:lang w:val="en-US"/>
        </w:rPr>
        <w:t>.</w:t>
      </w:r>
      <w:r w:rsidR="005E3407" w:rsidRPr="00181439">
        <w:rPr>
          <w:rFonts w:ascii="Times New Roman" w:hAnsi="Times New Roman" w:cs="Times New Roman"/>
          <w:sz w:val="26"/>
          <w:szCs w:val="26"/>
          <w:lang w:val="en-US"/>
        </w:rPr>
        <w:t xml:space="preserve">J. </w:t>
      </w:r>
      <w:r>
        <w:rPr>
          <w:rFonts w:ascii="Times New Roman" w:hAnsi="Times New Roman" w:cs="Times New Roman"/>
          <w:sz w:val="26"/>
          <w:szCs w:val="26"/>
          <w:lang w:val="en-US"/>
        </w:rPr>
        <w:t>e</w:t>
      </w:r>
      <w:r w:rsidRPr="00181439">
        <w:rPr>
          <w:rFonts w:ascii="Times New Roman" w:hAnsi="Times New Roman" w:cs="Times New Roman"/>
          <w:sz w:val="26"/>
          <w:szCs w:val="26"/>
          <w:lang w:val="en-US"/>
        </w:rPr>
        <w:t xml:space="preserve"> P</w:t>
      </w:r>
      <w:r>
        <w:rPr>
          <w:rFonts w:ascii="Times New Roman" w:hAnsi="Times New Roman" w:cs="Times New Roman"/>
          <w:sz w:val="26"/>
          <w:szCs w:val="26"/>
          <w:lang w:val="en-US"/>
        </w:rPr>
        <w:t xml:space="preserve">edersen, </w:t>
      </w:r>
      <w:r w:rsidR="005E3407" w:rsidRPr="00181439">
        <w:rPr>
          <w:rFonts w:ascii="Times New Roman" w:hAnsi="Times New Roman" w:cs="Times New Roman"/>
          <w:sz w:val="26"/>
          <w:szCs w:val="26"/>
          <w:lang w:val="en-US"/>
        </w:rPr>
        <w:t>L</w:t>
      </w:r>
      <w:r w:rsidR="005E3407">
        <w:rPr>
          <w:rFonts w:ascii="Times New Roman" w:hAnsi="Times New Roman" w:cs="Times New Roman"/>
          <w:sz w:val="26"/>
          <w:szCs w:val="26"/>
          <w:lang w:val="en-US"/>
        </w:rPr>
        <w:t>.</w:t>
      </w:r>
      <w:r w:rsidR="005E3407" w:rsidRPr="00181439">
        <w:rPr>
          <w:rFonts w:ascii="Times New Roman" w:hAnsi="Times New Roman" w:cs="Times New Roman"/>
          <w:sz w:val="26"/>
          <w:szCs w:val="26"/>
          <w:lang w:val="en-US"/>
        </w:rPr>
        <w:t>H</w:t>
      </w:r>
      <w:r w:rsidR="005E3407">
        <w:rPr>
          <w:rFonts w:ascii="Times New Roman" w:hAnsi="Times New Roman" w:cs="Times New Roman"/>
          <w:sz w:val="26"/>
          <w:szCs w:val="26"/>
          <w:lang w:val="en-US"/>
        </w:rPr>
        <w:t xml:space="preserve">., </w:t>
      </w:r>
      <w:r w:rsidRPr="005E3407">
        <w:rPr>
          <w:rFonts w:ascii="Times New Roman" w:hAnsi="Times New Roman" w:cs="Times New Roman"/>
          <w:i/>
          <w:sz w:val="26"/>
          <w:szCs w:val="26"/>
          <w:lang w:val="en-US"/>
        </w:rPr>
        <w:t>Value and Momentum Everywhere</w:t>
      </w:r>
      <w:r>
        <w:rPr>
          <w:rFonts w:ascii="Times New Roman" w:hAnsi="Times New Roman" w:cs="Times New Roman"/>
          <w:sz w:val="26"/>
          <w:szCs w:val="26"/>
          <w:lang w:val="en-US"/>
        </w:rPr>
        <w:t xml:space="preserve">, </w:t>
      </w:r>
      <w:r w:rsidRPr="00181439">
        <w:rPr>
          <w:rFonts w:ascii="Times New Roman" w:hAnsi="Times New Roman" w:cs="Times New Roman"/>
          <w:sz w:val="26"/>
          <w:szCs w:val="26"/>
          <w:lang w:val="en-US"/>
        </w:rPr>
        <w:t>The Journal of Finance</w:t>
      </w:r>
      <w:r>
        <w:rPr>
          <w:rFonts w:ascii="Times New Roman" w:hAnsi="Times New Roman" w:cs="Times New Roman"/>
          <w:sz w:val="26"/>
          <w:szCs w:val="26"/>
          <w:lang w:val="en-US"/>
        </w:rPr>
        <w:t xml:space="preserve">, </w:t>
      </w:r>
      <w:r w:rsidRPr="00181439">
        <w:rPr>
          <w:rFonts w:ascii="Times New Roman" w:hAnsi="Times New Roman" w:cs="Times New Roman"/>
          <w:sz w:val="26"/>
          <w:szCs w:val="26"/>
          <w:lang w:val="en-US"/>
        </w:rPr>
        <w:t>Vol. 68, N. 3 (J</w:t>
      </w:r>
      <w:r>
        <w:rPr>
          <w:rFonts w:ascii="Times New Roman" w:hAnsi="Times New Roman" w:cs="Times New Roman"/>
          <w:sz w:val="26"/>
          <w:szCs w:val="26"/>
          <w:lang w:val="en-US"/>
        </w:rPr>
        <w:t>une</w:t>
      </w:r>
      <w:r w:rsidRPr="00181439">
        <w:rPr>
          <w:rFonts w:ascii="Times New Roman" w:hAnsi="Times New Roman" w:cs="Times New Roman"/>
          <w:sz w:val="26"/>
          <w:szCs w:val="26"/>
          <w:lang w:val="en-US"/>
        </w:rPr>
        <w:t>)</w:t>
      </w:r>
      <w:r>
        <w:rPr>
          <w:rFonts w:ascii="Times New Roman" w:hAnsi="Times New Roman" w:cs="Times New Roman"/>
          <w:sz w:val="26"/>
          <w:szCs w:val="26"/>
          <w:lang w:val="en-US"/>
        </w:rPr>
        <w:t>.</w:t>
      </w:r>
    </w:p>
    <w:p w14:paraId="09ED73AB" w14:textId="77777777" w:rsidR="005E3407" w:rsidRPr="005E3407" w:rsidRDefault="005E3407" w:rsidP="005E3407">
      <w:pPr>
        <w:spacing w:after="120" w:line="240" w:lineRule="auto"/>
        <w:jc w:val="both"/>
        <w:rPr>
          <w:rFonts w:ascii="Times New Roman" w:hAnsi="Times New Roman" w:cs="Times New Roman"/>
          <w:sz w:val="26"/>
          <w:szCs w:val="26"/>
          <w:lang w:val="en-US"/>
        </w:rPr>
      </w:pPr>
      <w:proofErr w:type="spellStart"/>
      <w:r w:rsidRPr="005E3407">
        <w:rPr>
          <w:rFonts w:ascii="Times New Roman" w:hAnsi="Times New Roman" w:cs="Times New Roman"/>
          <w:sz w:val="26"/>
          <w:szCs w:val="26"/>
          <w:lang w:val="en-US"/>
        </w:rPr>
        <w:t>Fama</w:t>
      </w:r>
      <w:proofErr w:type="spellEnd"/>
      <w:r w:rsidRPr="005E3407">
        <w:rPr>
          <w:rFonts w:ascii="Times New Roman" w:hAnsi="Times New Roman" w:cs="Times New Roman"/>
          <w:sz w:val="26"/>
          <w:szCs w:val="26"/>
          <w:lang w:val="en-US"/>
        </w:rPr>
        <w:t xml:space="preserve">, E.F. e French, K.R., </w:t>
      </w:r>
      <w:r>
        <w:rPr>
          <w:rFonts w:ascii="Times New Roman" w:hAnsi="Times New Roman" w:cs="Times New Roman"/>
          <w:sz w:val="26"/>
          <w:szCs w:val="26"/>
          <w:lang w:val="en-US"/>
        </w:rPr>
        <w:t xml:space="preserve">1992, </w:t>
      </w:r>
      <w:r w:rsidRPr="005E3407">
        <w:rPr>
          <w:rFonts w:ascii="Times New Roman" w:hAnsi="Times New Roman" w:cs="Times New Roman"/>
          <w:i/>
          <w:sz w:val="26"/>
          <w:szCs w:val="26"/>
          <w:lang w:val="en-US"/>
        </w:rPr>
        <w:t>The Cross-Section of Expected Stock Returns</w:t>
      </w:r>
      <w:r>
        <w:rPr>
          <w:rFonts w:ascii="Times New Roman" w:hAnsi="Times New Roman" w:cs="Times New Roman"/>
          <w:sz w:val="26"/>
          <w:szCs w:val="26"/>
          <w:lang w:val="en-US"/>
        </w:rPr>
        <w:t xml:space="preserve">, </w:t>
      </w:r>
      <w:r w:rsidRPr="005E3407">
        <w:rPr>
          <w:rFonts w:ascii="Times New Roman" w:hAnsi="Times New Roman" w:cs="Times New Roman"/>
          <w:sz w:val="26"/>
          <w:szCs w:val="26"/>
          <w:lang w:val="en-US"/>
        </w:rPr>
        <w:t>Vol. 47, N. 2 (Jun</w:t>
      </w:r>
      <w:r>
        <w:rPr>
          <w:rFonts w:ascii="Times New Roman" w:hAnsi="Times New Roman" w:cs="Times New Roman"/>
          <w:sz w:val="26"/>
          <w:szCs w:val="26"/>
          <w:lang w:val="en-US"/>
        </w:rPr>
        <w:t>e).</w:t>
      </w:r>
    </w:p>
    <w:p w14:paraId="757B180C" w14:textId="77777777" w:rsidR="00783082" w:rsidRPr="00783082" w:rsidRDefault="00783082" w:rsidP="00783082">
      <w:pPr>
        <w:spacing w:after="120" w:line="240" w:lineRule="auto"/>
        <w:jc w:val="both"/>
        <w:rPr>
          <w:rFonts w:ascii="Times New Roman" w:hAnsi="Times New Roman" w:cs="Times New Roman"/>
          <w:sz w:val="26"/>
          <w:szCs w:val="26"/>
          <w:lang w:val="en-US"/>
        </w:rPr>
      </w:pPr>
      <w:r w:rsidRPr="00783082">
        <w:rPr>
          <w:rFonts w:ascii="Times New Roman" w:hAnsi="Times New Roman" w:cs="Times New Roman"/>
          <w:sz w:val="26"/>
          <w:szCs w:val="26"/>
          <w:lang w:val="en-US"/>
        </w:rPr>
        <w:t>Black</w:t>
      </w:r>
      <w:r w:rsidR="005E3407">
        <w:rPr>
          <w:rFonts w:ascii="Times New Roman" w:hAnsi="Times New Roman" w:cs="Times New Roman"/>
          <w:sz w:val="26"/>
          <w:szCs w:val="26"/>
          <w:lang w:val="en-US"/>
        </w:rPr>
        <w:t>, F.</w:t>
      </w:r>
      <w:r w:rsidRPr="00783082">
        <w:rPr>
          <w:rFonts w:ascii="Times New Roman" w:hAnsi="Times New Roman" w:cs="Times New Roman"/>
          <w:sz w:val="26"/>
          <w:szCs w:val="26"/>
          <w:lang w:val="en-US"/>
        </w:rPr>
        <w:t xml:space="preserve"> </w:t>
      </w:r>
      <w:r>
        <w:rPr>
          <w:rFonts w:ascii="Times New Roman" w:hAnsi="Times New Roman" w:cs="Times New Roman"/>
          <w:sz w:val="26"/>
          <w:szCs w:val="26"/>
          <w:lang w:val="en-US"/>
        </w:rPr>
        <w:t>e</w:t>
      </w:r>
      <w:r w:rsidR="00193366">
        <w:rPr>
          <w:rFonts w:ascii="Times New Roman" w:hAnsi="Times New Roman" w:cs="Times New Roman"/>
          <w:sz w:val="26"/>
          <w:szCs w:val="26"/>
          <w:lang w:val="en-US"/>
        </w:rPr>
        <w:t xml:space="preserve"> </w:t>
      </w:r>
      <w:proofErr w:type="spellStart"/>
      <w:r w:rsidRPr="00783082">
        <w:rPr>
          <w:rFonts w:ascii="Times New Roman" w:hAnsi="Times New Roman" w:cs="Times New Roman"/>
          <w:sz w:val="26"/>
          <w:szCs w:val="26"/>
          <w:lang w:val="en-US"/>
        </w:rPr>
        <w:t>Litterman</w:t>
      </w:r>
      <w:proofErr w:type="spellEnd"/>
      <w:r>
        <w:rPr>
          <w:rFonts w:ascii="Times New Roman" w:hAnsi="Times New Roman" w:cs="Times New Roman"/>
          <w:sz w:val="26"/>
          <w:szCs w:val="26"/>
          <w:lang w:val="en-US"/>
        </w:rPr>
        <w:t>,</w:t>
      </w:r>
      <w:r w:rsidR="005E3407">
        <w:rPr>
          <w:rFonts w:ascii="Times New Roman" w:hAnsi="Times New Roman" w:cs="Times New Roman"/>
          <w:sz w:val="26"/>
          <w:szCs w:val="26"/>
          <w:lang w:val="en-US"/>
        </w:rPr>
        <w:t xml:space="preserve"> R.,</w:t>
      </w:r>
      <w:r>
        <w:rPr>
          <w:rFonts w:ascii="Times New Roman" w:hAnsi="Times New Roman" w:cs="Times New Roman"/>
          <w:sz w:val="26"/>
          <w:szCs w:val="26"/>
          <w:lang w:val="en-US"/>
        </w:rPr>
        <w:t xml:space="preserve"> 1992, </w:t>
      </w:r>
      <w:r w:rsidRPr="00783082">
        <w:rPr>
          <w:rFonts w:ascii="Times New Roman" w:hAnsi="Times New Roman" w:cs="Times New Roman"/>
          <w:i/>
          <w:sz w:val="26"/>
          <w:szCs w:val="26"/>
          <w:lang w:val="en-US"/>
        </w:rPr>
        <w:t>Global Portfolio Optimization</w:t>
      </w:r>
      <w:r>
        <w:rPr>
          <w:rFonts w:ascii="Times New Roman" w:hAnsi="Times New Roman" w:cs="Times New Roman"/>
          <w:sz w:val="26"/>
          <w:szCs w:val="26"/>
          <w:lang w:val="en-US"/>
        </w:rPr>
        <w:t xml:space="preserve">, </w:t>
      </w:r>
      <w:r w:rsidRPr="00783082">
        <w:rPr>
          <w:rFonts w:ascii="Times New Roman" w:hAnsi="Times New Roman" w:cs="Times New Roman"/>
          <w:sz w:val="26"/>
          <w:szCs w:val="26"/>
          <w:lang w:val="en-US"/>
        </w:rPr>
        <w:t>Financial Analysts Journal</w:t>
      </w:r>
      <w:r>
        <w:rPr>
          <w:rFonts w:ascii="Times New Roman" w:hAnsi="Times New Roman" w:cs="Times New Roman"/>
          <w:sz w:val="26"/>
          <w:szCs w:val="26"/>
          <w:lang w:val="en-US"/>
        </w:rPr>
        <w:t xml:space="preserve">, </w:t>
      </w:r>
      <w:r w:rsidRPr="00783082">
        <w:rPr>
          <w:rFonts w:ascii="Times New Roman" w:hAnsi="Times New Roman" w:cs="Times New Roman"/>
          <w:sz w:val="26"/>
          <w:szCs w:val="26"/>
          <w:lang w:val="en-US"/>
        </w:rPr>
        <w:t>Vol</w:t>
      </w:r>
      <w:r>
        <w:rPr>
          <w:rFonts w:ascii="Times New Roman" w:hAnsi="Times New Roman" w:cs="Times New Roman"/>
          <w:sz w:val="26"/>
          <w:szCs w:val="26"/>
          <w:lang w:val="en-US"/>
        </w:rPr>
        <w:t>.</w:t>
      </w:r>
      <w:r w:rsidRPr="00783082">
        <w:rPr>
          <w:rFonts w:ascii="Times New Roman" w:hAnsi="Times New Roman" w:cs="Times New Roman"/>
          <w:sz w:val="26"/>
          <w:szCs w:val="26"/>
          <w:lang w:val="en-US"/>
        </w:rPr>
        <w:t xml:space="preserve"> 48, Issue 5</w:t>
      </w:r>
      <w:r>
        <w:rPr>
          <w:rFonts w:ascii="Times New Roman" w:hAnsi="Times New Roman" w:cs="Times New Roman"/>
          <w:sz w:val="26"/>
          <w:szCs w:val="26"/>
          <w:lang w:val="en-US"/>
        </w:rPr>
        <w:t>.</w:t>
      </w:r>
    </w:p>
    <w:p w14:paraId="0E5675A8" w14:textId="77777777" w:rsidR="008F758F" w:rsidRDefault="008F758F" w:rsidP="008F758F">
      <w:pPr>
        <w:spacing w:after="120" w:line="240" w:lineRule="auto"/>
        <w:jc w:val="both"/>
        <w:rPr>
          <w:rFonts w:ascii="Times New Roman" w:hAnsi="Times New Roman" w:cs="Times New Roman"/>
          <w:sz w:val="26"/>
          <w:szCs w:val="26"/>
          <w:lang w:val="en-US"/>
        </w:rPr>
      </w:pPr>
      <w:r w:rsidRPr="008F758F">
        <w:rPr>
          <w:rFonts w:ascii="Times New Roman" w:hAnsi="Times New Roman" w:cs="Times New Roman"/>
          <w:sz w:val="26"/>
          <w:szCs w:val="26"/>
          <w:lang w:val="en-US"/>
        </w:rPr>
        <w:t>Brinson,</w:t>
      </w:r>
      <w:r w:rsidR="005E3407">
        <w:rPr>
          <w:rFonts w:ascii="Times New Roman" w:hAnsi="Times New Roman" w:cs="Times New Roman"/>
          <w:sz w:val="26"/>
          <w:szCs w:val="26"/>
          <w:lang w:val="en-US"/>
        </w:rPr>
        <w:t xml:space="preserve"> G.P.,</w:t>
      </w:r>
      <w:r w:rsidRPr="008F758F">
        <w:rPr>
          <w:rFonts w:ascii="Times New Roman" w:hAnsi="Times New Roman" w:cs="Times New Roman"/>
          <w:sz w:val="26"/>
          <w:szCs w:val="26"/>
          <w:lang w:val="en-US"/>
        </w:rPr>
        <w:t xml:space="preserve"> Hood</w:t>
      </w:r>
      <w:r w:rsidR="005E3407">
        <w:rPr>
          <w:rFonts w:ascii="Times New Roman" w:hAnsi="Times New Roman" w:cs="Times New Roman"/>
          <w:sz w:val="26"/>
          <w:szCs w:val="26"/>
          <w:lang w:val="en-US"/>
        </w:rPr>
        <w:t>, L.R.</w:t>
      </w:r>
      <w:r w:rsidRPr="008F758F">
        <w:rPr>
          <w:rFonts w:ascii="Times New Roman" w:hAnsi="Times New Roman" w:cs="Times New Roman"/>
          <w:sz w:val="26"/>
          <w:szCs w:val="26"/>
          <w:lang w:val="en-US"/>
        </w:rPr>
        <w:t xml:space="preserve"> and </w:t>
      </w:r>
      <w:proofErr w:type="spellStart"/>
      <w:r w:rsidRPr="008F758F">
        <w:rPr>
          <w:rFonts w:ascii="Times New Roman" w:hAnsi="Times New Roman" w:cs="Times New Roman"/>
          <w:sz w:val="26"/>
          <w:szCs w:val="26"/>
          <w:lang w:val="en-US"/>
        </w:rPr>
        <w:t>Beebower</w:t>
      </w:r>
      <w:proofErr w:type="spellEnd"/>
      <w:r>
        <w:rPr>
          <w:rFonts w:ascii="Times New Roman" w:hAnsi="Times New Roman" w:cs="Times New Roman"/>
          <w:sz w:val="26"/>
          <w:szCs w:val="26"/>
          <w:lang w:val="en-US"/>
        </w:rPr>
        <w:t>,</w:t>
      </w:r>
      <w:r w:rsidR="005E3407">
        <w:rPr>
          <w:rFonts w:ascii="Times New Roman" w:hAnsi="Times New Roman" w:cs="Times New Roman"/>
          <w:sz w:val="26"/>
          <w:szCs w:val="26"/>
          <w:lang w:val="en-US"/>
        </w:rPr>
        <w:t xml:space="preserve"> G.L.</w:t>
      </w:r>
      <w:r>
        <w:rPr>
          <w:rFonts w:ascii="Times New Roman" w:hAnsi="Times New Roman" w:cs="Times New Roman"/>
          <w:sz w:val="26"/>
          <w:szCs w:val="26"/>
          <w:lang w:val="en-US"/>
        </w:rPr>
        <w:t xml:space="preserve"> </w:t>
      </w:r>
      <w:r w:rsidRPr="008F758F">
        <w:rPr>
          <w:rFonts w:ascii="Times New Roman" w:hAnsi="Times New Roman" w:cs="Times New Roman"/>
          <w:i/>
          <w:sz w:val="26"/>
          <w:szCs w:val="26"/>
          <w:lang w:val="en-US"/>
        </w:rPr>
        <w:t>Determinants of Portfolio Performance</w:t>
      </w:r>
      <w:r>
        <w:rPr>
          <w:rFonts w:ascii="Times New Roman" w:hAnsi="Times New Roman" w:cs="Times New Roman"/>
          <w:sz w:val="26"/>
          <w:szCs w:val="26"/>
          <w:lang w:val="en-US"/>
        </w:rPr>
        <w:t xml:space="preserve">, </w:t>
      </w:r>
      <w:r w:rsidRPr="008F758F">
        <w:rPr>
          <w:rFonts w:ascii="Times New Roman" w:hAnsi="Times New Roman" w:cs="Times New Roman"/>
          <w:sz w:val="26"/>
          <w:szCs w:val="26"/>
          <w:lang w:val="en-US"/>
        </w:rPr>
        <w:t>Financial Analysts Journal</w:t>
      </w:r>
      <w:r>
        <w:rPr>
          <w:rFonts w:ascii="Times New Roman" w:hAnsi="Times New Roman" w:cs="Times New Roman"/>
          <w:sz w:val="26"/>
          <w:szCs w:val="26"/>
          <w:lang w:val="en-US"/>
        </w:rPr>
        <w:t xml:space="preserve">, </w:t>
      </w:r>
      <w:r w:rsidRPr="008F758F">
        <w:rPr>
          <w:rFonts w:ascii="Times New Roman" w:hAnsi="Times New Roman" w:cs="Times New Roman"/>
          <w:sz w:val="26"/>
          <w:szCs w:val="26"/>
          <w:lang w:val="en-US"/>
        </w:rPr>
        <w:t>Vol. 42, N. 4 (Jul</w:t>
      </w:r>
      <w:r>
        <w:rPr>
          <w:rFonts w:ascii="Times New Roman" w:hAnsi="Times New Roman" w:cs="Times New Roman"/>
          <w:sz w:val="26"/>
          <w:szCs w:val="26"/>
          <w:lang w:val="en-US"/>
        </w:rPr>
        <w:t>y</w:t>
      </w:r>
      <w:r w:rsidRPr="008F758F">
        <w:rPr>
          <w:rFonts w:ascii="Times New Roman" w:hAnsi="Times New Roman" w:cs="Times New Roman"/>
          <w:sz w:val="26"/>
          <w:szCs w:val="26"/>
          <w:lang w:val="en-US"/>
        </w:rPr>
        <w:t xml:space="preserve"> </w:t>
      </w:r>
      <w:r>
        <w:rPr>
          <w:rFonts w:ascii="Times New Roman" w:hAnsi="Times New Roman" w:cs="Times New Roman"/>
          <w:sz w:val="26"/>
          <w:szCs w:val="26"/>
          <w:lang w:val="en-US"/>
        </w:rPr>
        <w:t>–</w:t>
      </w:r>
      <w:r w:rsidRPr="008F758F">
        <w:rPr>
          <w:rFonts w:ascii="Times New Roman" w:hAnsi="Times New Roman" w:cs="Times New Roman"/>
          <w:sz w:val="26"/>
          <w:szCs w:val="26"/>
          <w:lang w:val="en-US"/>
        </w:rPr>
        <w:t xml:space="preserve"> Aug</w:t>
      </w:r>
      <w:r>
        <w:rPr>
          <w:rFonts w:ascii="Times New Roman" w:hAnsi="Times New Roman" w:cs="Times New Roman"/>
          <w:sz w:val="26"/>
          <w:szCs w:val="26"/>
          <w:lang w:val="en-US"/>
        </w:rPr>
        <w:t>ust).</w:t>
      </w:r>
    </w:p>
    <w:p w14:paraId="25EC53B9" w14:textId="77777777" w:rsidR="00FE6E3B" w:rsidRDefault="00FE6E3B" w:rsidP="00FE6E3B">
      <w:pPr>
        <w:spacing w:after="120" w:line="240" w:lineRule="auto"/>
        <w:jc w:val="both"/>
        <w:rPr>
          <w:rFonts w:ascii="Times New Roman" w:hAnsi="Times New Roman" w:cs="Times New Roman"/>
          <w:sz w:val="26"/>
          <w:szCs w:val="26"/>
          <w:lang w:val="en-US"/>
        </w:rPr>
      </w:pPr>
      <w:proofErr w:type="spellStart"/>
      <w:r w:rsidRPr="00FE6E3B">
        <w:rPr>
          <w:rFonts w:ascii="Times New Roman" w:hAnsi="Times New Roman" w:cs="Times New Roman"/>
          <w:sz w:val="26"/>
          <w:szCs w:val="26"/>
          <w:lang w:val="en-US"/>
        </w:rPr>
        <w:t>Grinblatt</w:t>
      </w:r>
      <w:proofErr w:type="spellEnd"/>
      <w:r w:rsidRPr="00FE6E3B">
        <w:rPr>
          <w:rFonts w:ascii="Times New Roman" w:hAnsi="Times New Roman" w:cs="Times New Roman"/>
          <w:sz w:val="26"/>
          <w:szCs w:val="26"/>
          <w:lang w:val="en-US"/>
        </w:rPr>
        <w:t>, M</w:t>
      </w:r>
      <w:r w:rsidR="005E3407">
        <w:rPr>
          <w:rFonts w:ascii="Times New Roman" w:hAnsi="Times New Roman" w:cs="Times New Roman"/>
          <w:sz w:val="26"/>
          <w:szCs w:val="26"/>
          <w:lang w:val="en-US"/>
        </w:rPr>
        <w:t>.</w:t>
      </w:r>
      <w:r w:rsidRPr="00FE6E3B">
        <w:rPr>
          <w:rFonts w:ascii="Times New Roman" w:hAnsi="Times New Roman" w:cs="Times New Roman"/>
          <w:sz w:val="26"/>
          <w:szCs w:val="26"/>
          <w:lang w:val="en-US"/>
        </w:rPr>
        <w:t xml:space="preserve">, </w:t>
      </w:r>
      <w:r>
        <w:rPr>
          <w:rFonts w:ascii="Times New Roman" w:hAnsi="Times New Roman" w:cs="Times New Roman"/>
          <w:sz w:val="26"/>
          <w:szCs w:val="26"/>
          <w:lang w:val="en-US"/>
        </w:rPr>
        <w:t>e</w:t>
      </w:r>
      <w:r w:rsidRPr="00FE6E3B">
        <w:rPr>
          <w:rFonts w:ascii="Times New Roman" w:hAnsi="Times New Roman" w:cs="Times New Roman"/>
          <w:sz w:val="26"/>
          <w:szCs w:val="26"/>
          <w:lang w:val="en-US"/>
        </w:rPr>
        <w:t xml:space="preserve"> Titman,</w:t>
      </w:r>
      <w:r w:rsidR="005E3407">
        <w:rPr>
          <w:rFonts w:ascii="Times New Roman" w:hAnsi="Times New Roman" w:cs="Times New Roman"/>
          <w:sz w:val="26"/>
          <w:szCs w:val="26"/>
          <w:lang w:val="en-US"/>
        </w:rPr>
        <w:t xml:space="preserve"> S.,</w:t>
      </w:r>
      <w:r w:rsidRPr="00FE6E3B">
        <w:rPr>
          <w:rFonts w:ascii="Times New Roman" w:hAnsi="Times New Roman" w:cs="Times New Roman"/>
          <w:sz w:val="26"/>
          <w:szCs w:val="26"/>
          <w:lang w:val="en-US"/>
        </w:rPr>
        <w:t xml:space="preserve"> 1989, </w:t>
      </w:r>
      <w:bookmarkStart w:id="24" w:name="OLE_LINK165"/>
      <w:r w:rsidRPr="00FE6E3B">
        <w:rPr>
          <w:rFonts w:ascii="Times New Roman" w:hAnsi="Times New Roman" w:cs="Times New Roman"/>
          <w:i/>
          <w:sz w:val="26"/>
          <w:szCs w:val="26"/>
          <w:lang w:val="en-US"/>
        </w:rPr>
        <w:t>Portfolio Performance Evaluation: Old Issues and</w:t>
      </w:r>
      <w:r>
        <w:rPr>
          <w:rFonts w:ascii="Times New Roman" w:hAnsi="Times New Roman" w:cs="Times New Roman"/>
          <w:i/>
          <w:sz w:val="26"/>
          <w:szCs w:val="26"/>
          <w:lang w:val="en-US"/>
        </w:rPr>
        <w:t xml:space="preserve"> </w:t>
      </w:r>
      <w:r w:rsidRPr="00FE6E3B">
        <w:rPr>
          <w:rFonts w:ascii="Times New Roman" w:hAnsi="Times New Roman" w:cs="Times New Roman"/>
          <w:i/>
          <w:sz w:val="26"/>
          <w:szCs w:val="26"/>
          <w:lang w:val="en-US"/>
        </w:rPr>
        <w:t>New Insights</w:t>
      </w:r>
      <w:bookmarkEnd w:id="24"/>
      <w:r w:rsidRPr="00FE6E3B">
        <w:rPr>
          <w:rFonts w:ascii="Times New Roman" w:hAnsi="Times New Roman" w:cs="Times New Roman"/>
          <w:sz w:val="26"/>
          <w:szCs w:val="26"/>
          <w:lang w:val="en-US"/>
        </w:rPr>
        <w:t>, The Review of Financial Studies</w:t>
      </w:r>
      <w:r>
        <w:rPr>
          <w:rFonts w:ascii="Times New Roman" w:hAnsi="Times New Roman" w:cs="Times New Roman"/>
          <w:sz w:val="26"/>
          <w:szCs w:val="26"/>
          <w:lang w:val="en-US"/>
        </w:rPr>
        <w:t xml:space="preserve">, </w:t>
      </w:r>
      <w:r w:rsidRPr="00FE6E3B">
        <w:rPr>
          <w:rFonts w:ascii="Times New Roman" w:hAnsi="Times New Roman" w:cs="Times New Roman"/>
          <w:sz w:val="26"/>
          <w:szCs w:val="26"/>
          <w:lang w:val="en-US"/>
        </w:rPr>
        <w:t>Vol. 2, N. 3.</w:t>
      </w:r>
    </w:p>
    <w:p w14:paraId="7654A1B1" w14:textId="77777777" w:rsidR="008D06C4" w:rsidRDefault="008D06C4" w:rsidP="008D06C4">
      <w:pPr>
        <w:spacing w:after="120" w:line="240" w:lineRule="auto"/>
        <w:jc w:val="both"/>
        <w:rPr>
          <w:rFonts w:ascii="Times New Roman" w:hAnsi="Times New Roman" w:cs="Times New Roman"/>
          <w:sz w:val="26"/>
          <w:szCs w:val="26"/>
          <w:lang w:val="en-US"/>
        </w:rPr>
      </w:pPr>
      <w:bookmarkStart w:id="25" w:name="OLE_LINK162"/>
      <w:proofErr w:type="spellStart"/>
      <w:r w:rsidRPr="008D06C4">
        <w:rPr>
          <w:rFonts w:ascii="Times New Roman" w:hAnsi="Times New Roman" w:cs="Times New Roman"/>
          <w:sz w:val="26"/>
          <w:szCs w:val="26"/>
          <w:lang w:val="en-US"/>
        </w:rPr>
        <w:t>Henriksson</w:t>
      </w:r>
      <w:bookmarkEnd w:id="25"/>
      <w:proofErr w:type="spellEnd"/>
      <w:r w:rsidRPr="008D06C4">
        <w:rPr>
          <w:rFonts w:ascii="Times New Roman" w:hAnsi="Times New Roman" w:cs="Times New Roman"/>
          <w:sz w:val="26"/>
          <w:szCs w:val="26"/>
          <w:lang w:val="en-US"/>
        </w:rPr>
        <w:t>, R</w:t>
      </w:r>
      <w:r w:rsidR="005E3407">
        <w:rPr>
          <w:rFonts w:ascii="Times New Roman" w:hAnsi="Times New Roman" w:cs="Times New Roman"/>
          <w:sz w:val="26"/>
          <w:szCs w:val="26"/>
          <w:lang w:val="en-US"/>
        </w:rPr>
        <w:t>.</w:t>
      </w:r>
      <w:r w:rsidRPr="008D06C4">
        <w:rPr>
          <w:rFonts w:ascii="Times New Roman" w:hAnsi="Times New Roman" w:cs="Times New Roman"/>
          <w:sz w:val="26"/>
          <w:szCs w:val="26"/>
          <w:lang w:val="en-US"/>
        </w:rPr>
        <w:t xml:space="preserve">D., </w:t>
      </w:r>
      <w:r>
        <w:rPr>
          <w:rFonts w:ascii="Times New Roman" w:hAnsi="Times New Roman" w:cs="Times New Roman"/>
          <w:sz w:val="26"/>
          <w:szCs w:val="26"/>
          <w:lang w:val="en-US"/>
        </w:rPr>
        <w:t>e</w:t>
      </w:r>
      <w:r w:rsidRPr="008D06C4">
        <w:rPr>
          <w:rFonts w:ascii="Times New Roman" w:hAnsi="Times New Roman" w:cs="Times New Roman"/>
          <w:sz w:val="26"/>
          <w:szCs w:val="26"/>
          <w:lang w:val="en-US"/>
        </w:rPr>
        <w:t xml:space="preserve"> Merton,</w:t>
      </w:r>
      <w:r w:rsidR="005E3407">
        <w:rPr>
          <w:rFonts w:ascii="Times New Roman" w:hAnsi="Times New Roman" w:cs="Times New Roman"/>
          <w:sz w:val="26"/>
          <w:szCs w:val="26"/>
          <w:lang w:val="en-US"/>
        </w:rPr>
        <w:t xml:space="preserve"> R.C.,</w:t>
      </w:r>
      <w:r w:rsidRPr="008D06C4">
        <w:rPr>
          <w:rFonts w:ascii="Times New Roman" w:hAnsi="Times New Roman" w:cs="Times New Roman"/>
          <w:sz w:val="26"/>
          <w:szCs w:val="26"/>
          <w:lang w:val="en-US"/>
        </w:rPr>
        <w:t xml:space="preserve"> 1981, </w:t>
      </w:r>
      <w:r w:rsidRPr="008D06C4">
        <w:rPr>
          <w:rFonts w:ascii="Times New Roman" w:hAnsi="Times New Roman" w:cs="Times New Roman"/>
          <w:i/>
          <w:sz w:val="26"/>
          <w:szCs w:val="26"/>
          <w:lang w:val="en-US"/>
        </w:rPr>
        <w:t>On Market Timing and Investment Performance. II. Statistical Procedures for Evaluating Forecasting Skills</w:t>
      </w:r>
      <w:r w:rsidRPr="008D06C4">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The </w:t>
      </w:r>
      <w:r w:rsidRPr="008D06C4">
        <w:rPr>
          <w:rFonts w:ascii="Times New Roman" w:hAnsi="Times New Roman" w:cs="Times New Roman"/>
          <w:sz w:val="26"/>
          <w:szCs w:val="26"/>
          <w:lang w:val="en-US"/>
        </w:rPr>
        <w:t>Journal of Business</w:t>
      </w:r>
      <w:r>
        <w:rPr>
          <w:rFonts w:ascii="Times New Roman" w:hAnsi="Times New Roman" w:cs="Times New Roman"/>
          <w:sz w:val="26"/>
          <w:szCs w:val="26"/>
          <w:lang w:val="en-US"/>
        </w:rPr>
        <w:t>,</w:t>
      </w:r>
      <w:r w:rsidRPr="008D06C4">
        <w:rPr>
          <w:rFonts w:ascii="Times New Roman" w:hAnsi="Times New Roman" w:cs="Times New Roman"/>
          <w:sz w:val="26"/>
          <w:szCs w:val="26"/>
          <w:lang w:val="en-US"/>
        </w:rPr>
        <w:t xml:space="preserve"> Vol. 54, N. 4 (Oct</w:t>
      </w:r>
      <w:r>
        <w:rPr>
          <w:rFonts w:ascii="Times New Roman" w:hAnsi="Times New Roman" w:cs="Times New Roman"/>
          <w:sz w:val="26"/>
          <w:szCs w:val="26"/>
          <w:lang w:val="en-US"/>
        </w:rPr>
        <w:t>ober)</w:t>
      </w:r>
      <w:r w:rsidRPr="008D06C4">
        <w:rPr>
          <w:rFonts w:ascii="Times New Roman" w:hAnsi="Times New Roman" w:cs="Times New Roman"/>
          <w:sz w:val="26"/>
          <w:szCs w:val="26"/>
          <w:lang w:val="en-US"/>
        </w:rPr>
        <w:t>.</w:t>
      </w:r>
    </w:p>
    <w:p w14:paraId="27CBFA10" w14:textId="77777777" w:rsidR="007843B0" w:rsidRDefault="007843B0" w:rsidP="007843B0">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Lintner, J., 1965, </w:t>
      </w:r>
      <w:r w:rsidRPr="007843B0">
        <w:rPr>
          <w:rFonts w:ascii="Times New Roman" w:hAnsi="Times New Roman" w:cs="Times New Roman"/>
          <w:i/>
          <w:sz w:val="26"/>
          <w:szCs w:val="26"/>
          <w:lang w:val="en-US"/>
        </w:rPr>
        <w:t>The Valuation of Risk Assets and the Selection of Risky Investments in Stock Portfolios and Capital Budgets</w:t>
      </w:r>
      <w:r>
        <w:rPr>
          <w:rFonts w:ascii="Times New Roman" w:hAnsi="Times New Roman" w:cs="Times New Roman"/>
          <w:sz w:val="26"/>
          <w:szCs w:val="26"/>
          <w:lang w:val="en-US"/>
        </w:rPr>
        <w:t xml:space="preserve">, </w:t>
      </w:r>
      <w:r w:rsidRPr="007843B0">
        <w:rPr>
          <w:rFonts w:ascii="Times New Roman" w:hAnsi="Times New Roman" w:cs="Times New Roman"/>
          <w:sz w:val="26"/>
          <w:szCs w:val="26"/>
          <w:lang w:val="en-US"/>
        </w:rPr>
        <w:t>The Review of Economics and Statistics</w:t>
      </w:r>
      <w:r>
        <w:rPr>
          <w:rFonts w:ascii="Times New Roman" w:hAnsi="Times New Roman" w:cs="Times New Roman"/>
          <w:sz w:val="26"/>
          <w:szCs w:val="26"/>
          <w:lang w:val="en-US"/>
        </w:rPr>
        <w:t xml:space="preserve">, </w:t>
      </w:r>
      <w:r w:rsidRPr="007843B0">
        <w:rPr>
          <w:rFonts w:ascii="Times New Roman" w:hAnsi="Times New Roman" w:cs="Times New Roman"/>
          <w:sz w:val="26"/>
          <w:szCs w:val="26"/>
          <w:lang w:val="en-US"/>
        </w:rPr>
        <w:t>Vol. 47, N. 1 (Feb</w:t>
      </w:r>
      <w:r>
        <w:rPr>
          <w:rFonts w:ascii="Times New Roman" w:hAnsi="Times New Roman" w:cs="Times New Roman"/>
          <w:sz w:val="26"/>
          <w:szCs w:val="26"/>
          <w:lang w:val="en-US"/>
        </w:rPr>
        <w:t>ruary).</w:t>
      </w:r>
    </w:p>
    <w:p w14:paraId="57450DE7" w14:textId="77777777" w:rsidR="003C0C34" w:rsidRDefault="00181439" w:rsidP="003C0C34">
      <w:pPr>
        <w:spacing w:after="120" w:line="240" w:lineRule="auto"/>
        <w:jc w:val="both"/>
        <w:rPr>
          <w:rFonts w:ascii="Times New Roman" w:hAnsi="Times New Roman" w:cs="Times New Roman"/>
          <w:sz w:val="26"/>
          <w:szCs w:val="26"/>
          <w:lang w:val="en-US"/>
        </w:rPr>
      </w:pPr>
      <w:bookmarkStart w:id="26" w:name="OLE_LINK172"/>
      <w:bookmarkStart w:id="27" w:name="OLE_LINK175"/>
      <w:r w:rsidRPr="00181439">
        <w:rPr>
          <w:rFonts w:ascii="Times New Roman" w:hAnsi="Times New Roman" w:cs="Times New Roman"/>
          <w:sz w:val="26"/>
          <w:szCs w:val="26"/>
          <w:lang w:val="en-US"/>
        </w:rPr>
        <w:t>Markowitz, H.M.</w:t>
      </w:r>
      <w:r>
        <w:rPr>
          <w:rFonts w:ascii="Times New Roman" w:hAnsi="Times New Roman" w:cs="Times New Roman"/>
          <w:sz w:val="26"/>
          <w:szCs w:val="26"/>
          <w:lang w:val="en-US"/>
        </w:rPr>
        <w:t>,</w:t>
      </w:r>
      <w:r w:rsidRPr="00181439">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1952, </w:t>
      </w:r>
      <w:bookmarkEnd w:id="26"/>
      <w:r w:rsidRPr="00181439">
        <w:rPr>
          <w:rFonts w:ascii="Times New Roman" w:hAnsi="Times New Roman" w:cs="Times New Roman"/>
          <w:i/>
          <w:sz w:val="26"/>
          <w:szCs w:val="26"/>
          <w:lang w:val="en-US"/>
        </w:rPr>
        <w:t>Portfolio Selection</w:t>
      </w:r>
      <w:r>
        <w:rPr>
          <w:rFonts w:ascii="Times New Roman" w:hAnsi="Times New Roman" w:cs="Times New Roman"/>
          <w:sz w:val="26"/>
          <w:szCs w:val="26"/>
          <w:lang w:val="en-US"/>
        </w:rPr>
        <w:t>,</w:t>
      </w:r>
      <w:r w:rsidRPr="00181439">
        <w:rPr>
          <w:rFonts w:ascii="Times New Roman" w:hAnsi="Times New Roman" w:cs="Times New Roman"/>
          <w:sz w:val="26"/>
          <w:szCs w:val="26"/>
          <w:lang w:val="en-US"/>
        </w:rPr>
        <w:t xml:space="preserve"> The Journal of Finance</w:t>
      </w:r>
      <w:r>
        <w:rPr>
          <w:rFonts w:ascii="Times New Roman" w:hAnsi="Times New Roman" w:cs="Times New Roman"/>
          <w:sz w:val="26"/>
          <w:szCs w:val="26"/>
          <w:lang w:val="en-US"/>
        </w:rPr>
        <w:t>,</w:t>
      </w:r>
      <w:r w:rsidRPr="00181439">
        <w:rPr>
          <w:rFonts w:ascii="Times New Roman" w:hAnsi="Times New Roman" w:cs="Times New Roman"/>
          <w:sz w:val="26"/>
          <w:szCs w:val="26"/>
          <w:lang w:val="en-US"/>
        </w:rPr>
        <w:t xml:space="preserve"> Vol. 7, N. 1 (Mar</w:t>
      </w:r>
      <w:r>
        <w:rPr>
          <w:rFonts w:ascii="Times New Roman" w:hAnsi="Times New Roman" w:cs="Times New Roman"/>
          <w:sz w:val="26"/>
          <w:szCs w:val="26"/>
          <w:lang w:val="en-US"/>
        </w:rPr>
        <w:t>ch).</w:t>
      </w:r>
      <w:bookmarkStart w:id="28" w:name="OLE_LINK169"/>
      <w:bookmarkEnd w:id="27"/>
      <w:r w:rsidR="003C0C34" w:rsidRPr="003C0C34">
        <w:rPr>
          <w:rFonts w:ascii="Times New Roman" w:hAnsi="Times New Roman" w:cs="Times New Roman"/>
          <w:sz w:val="26"/>
          <w:szCs w:val="26"/>
          <w:lang w:val="en-US"/>
        </w:rPr>
        <w:t xml:space="preserve"> </w:t>
      </w:r>
    </w:p>
    <w:p w14:paraId="0F334BCF" w14:textId="77777777" w:rsidR="003C0C34" w:rsidRDefault="003C0C34" w:rsidP="003C0C34">
      <w:pPr>
        <w:spacing w:after="120" w:line="240" w:lineRule="auto"/>
        <w:jc w:val="both"/>
        <w:rPr>
          <w:rFonts w:ascii="Times New Roman" w:hAnsi="Times New Roman" w:cs="Times New Roman"/>
          <w:sz w:val="26"/>
          <w:szCs w:val="26"/>
          <w:lang w:val="en-US"/>
        </w:rPr>
      </w:pPr>
      <w:r w:rsidRPr="00181439">
        <w:rPr>
          <w:rFonts w:ascii="Times New Roman" w:hAnsi="Times New Roman" w:cs="Times New Roman"/>
          <w:sz w:val="26"/>
          <w:szCs w:val="26"/>
          <w:lang w:val="en-US"/>
        </w:rPr>
        <w:t>Markowitz, H.M.</w:t>
      </w:r>
      <w:r>
        <w:rPr>
          <w:rFonts w:ascii="Times New Roman" w:hAnsi="Times New Roman" w:cs="Times New Roman"/>
          <w:sz w:val="26"/>
          <w:szCs w:val="26"/>
          <w:lang w:val="en-US"/>
        </w:rPr>
        <w:t>,</w:t>
      </w:r>
      <w:r w:rsidRPr="00181439">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1959, </w:t>
      </w:r>
      <w:r w:rsidRPr="00181439">
        <w:rPr>
          <w:rFonts w:ascii="Times New Roman" w:hAnsi="Times New Roman" w:cs="Times New Roman"/>
          <w:i/>
          <w:sz w:val="26"/>
          <w:szCs w:val="26"/>
          <w:lang w:val="en-US"/>
        </w:rPr>
        <w:t>Portfolio Selection</w:t>
      </w:r>
      <w:r w:rsidR="000F01C2">
        <w:rPr>
          <w:rFonts w:ascii="Times New Roman" w:hAnsi="Times New Roman" w:cs="Times New Roman"/>
          <w:i/>
          <w:sz w:val="26"/>
          <w:szCs w:val="26"/>
          <w:lang w:val="en-US"/>
        </w:rPr>
        <w:t>: Efficient Diversification ok Investments</w:t>
      </w:r>
      <w:r>
        <w:rPr>
          <w:rFonts w:ascii="Times New Roman" w:hAnsi="Times New Roman" w:cs="Times New Roman"/>
          <w:sz w:val="26"/>
          <w:szCs w:val="26"/>
          <w:lang w:val="en-US"/>
        </w:rPr>
        <w:t>,</w:t>
      </w:r>
      <w:r w:rsidRPr="00181439">
        <w:rPr>
          <w:rFonts w:ascii="Times New Roman" w:hAnsi="Times New Roman" w:cs="Times New Roman"/>
          <w:sz w:val="26"/>
          <w:szCs w:val="26"/>
          <w:lang w:val="en-US"/>
        </w:rPr>
        <w:t xml:space="preserve"> </w:t>
      </w:r>
      <w:r w:rsidR="000F01C2">
        <w:rPr>
          <w:rFonts w:ascii="Times New Roman" w:hAnsi="Times New Roman" w:cs="Times New Roman"/>
          <w:sz w:val="26"/>
          <w:szCs w:val="26"/>
          <w:lang w:val="en-US"/>
        </w:rPr>
        <w:t>New York</w:t>
      </w:r>
      <w:r>
        <w:rPr>
          <w:rFonts w:ascii="Times New Roman" w:hAnsi="Times New Roman" w:cs="Times New Roman"/>
          <w:sz w:val="26"/>
          <w:szCs w:val="26"/>
          <w:lang w:val="en-US"/>
        </w:rPr>
        <w:t>,</w:t>
      </w:r>
      <w:r w:rsidRPr="00181439">
        <w:rPr>
          <w:rFonts w:ascii="Times New Roman" w:hAnsi="Times New Roman" w:cs="Times New Roman"/>
          <w:sz w:val="26"/>
          <w:szCs w:val="26"/>
          <w:lang w:val="en-US"/>
        </w:rPr>
        <w:t xml:space="preserve"> </w:t>
      </w:r>
      <w:r w:rsidR="000F01C2">
        <w:rPr>
          <w:rFonts w:ascii="Times New Roman" w:hAnsi="Times New Roman" w:cs="Times New Roman"/>
          <w:sz w:val="26"/>
          <w:szCs w:val="26"/>
          <w:lang w:val="en-US"/>
        </w:rPr>
        <w:t>Wiley.</w:t>
      </w:r>
    </w:p>
    <w:p w14:paraId="3DF00576" w14:textId="77777777" w:rsidR="007843B0" w:rsidRDefault="007843B0" w:rsidP="007843B0">
      <w:pPr>
        <w:spacing w:after="120" w:line="240" w:lineRule="auto"/>
        <w:jc w:val="both"/>
        <w:rPr>
          <w:rFonts w:ascii="Times New Roman" w:hAnsi="Times New Roman" w:cs="Times New Roman"/>
          <w:sz w:val="26"/>
          <w:szCs w:val="26"/>
          <w:lang w:val="en-US"/>
        </w:rPr>
      </w:pPr>
      <w:proofErr w:type="spellStart"/>
      <w:r>
        <w:rPr>
          <w:rFonts w:ascii="Times New Roman" w:hAnsi="Times New Roman" w:cs="Times New Roman"/>
          <w:sz w:val="26"/>
          <w:szCs w:val="26"/>
          <w:lang w:val="en-US"/>
        </w:rPr>
        <w:t>Mossin</w:t>
      </w:r>
      <w:proofErr w:type="spellEnd"/>
      <w:r>
        <w:rPr>
          <w:rFonts w:ascii="Times New Roman" w:hAnsi="Times New Roman" w:cs="Times New Roman"/>
          <w:sz w:val="26"/>
          <w:szCs w:val="26"/>
          <w:lang w:val="en-US"/>
        </w:rPr>
        <w:t xml:space="preserve">, J.,1966, </w:t>
      </w:r>
      <w:r w:rsidRPr="007843B0">
        <w:rPr>
          <w:rFonts w:ascii="Times New Roman" w:hAnsi="Times New Roman" w:cs="Times New Roman"/>
          <w:i/>
          <w:sz w:val="26"/>
          <w:szCs w:val="26"/>
          <w:lang w:val="en-US"/>
        </w:rPr>
        <w:t>Equilibrium in a Capital Asset Market</w:t>
      </w:r>
      <w:r>
        <w:rPr>
          <w:rFonts w:ascii="Times New Roman" w:hAnsi="Times New Roman" w:cs="Times New Roman"/>
          <w:sz w:val="26"/>
          <w:szCs w:val="26"/>
          <w:lang w:val="en-US"/>
        </w:rPr>
        <w:t xml:space="preserve">, </w:t>
      </w:r>
      <w:proofErr w:type="spellStart"/>
      <w:r w:rsidRPr="007843B0">
        <w:rPr>
          <w:rFonts w:ascii="Times New Roman" w:hAnsi="Times New Roman" w:cs="Times New Roman"/>
          <w:sz w:val="26"/>
          <w:szCs w:val="26"/>
          <w:lang w:val="en-US"/>
        </w:rPr>
        <w:t>Econometrica</w:t>
      </w:r>
      <w:proofErr w:type="spellEnd"/>
      <w:r>
        <w:rPr>
          <w:rFonts w:ascii="Times New Roman" w:hAnsi="Times New Roman" w:cs="Times New Roman"/>
          <w:sz w:val="26"/>
          <w:szCs w:val="26"/>
          <w:lang w:val="en-US"/>
        </w:rPr>
        <w:t xml:space="preserve">, </w:t>
      </w:r>
      <w:r w:rsidRPr="007843B0">
        <w:rPr>
          <w:rFonts w:ascii="Times New Roman" w:hAnsi="Times New Roman" w:cs="Times New Roman"/>
          <w:sz w:val="26"/>
          <w:szCs w:val="26"/>
          <w:lang w:val="en-US"/>
        </w:rPr>
        <w:t>Vol. 34, N. 4 (Oct</w:t>
      </w:r>
      <w:r>
        <w:rPr>
          <w:rFonts w:ascii="Times New Roman" w:hAnsi="Times New Roman" w:cs="Times New Roman"/>
          <w:sz w:val="26"/>
          <w:szCs w:val="26"/>
          <w:lang w:val="en-US"/>
        </w:rPr>
        <w:t>ober).</w:t>
      </w:r>
      <w:bookmarkStart w:id="29" w:name="OLE_LINK176"/>
      <w:bookmarkStart w:id="30" w:name="OLE_LINK177"/>
    </w:p>
    <w:bookmarkEnd w:id="29"/>
    <w:bookmarkEnd w:id="30"/>
    <w:p w14:paraId="3C0E61B9" w14:textId="77777777" w:rsidR="00945FA2" w:rsidRPr="00945FA2" w:rsidRDefault="00193366" w:rsidP="00674341">
      <w:pPr>
        <w:spacing w:after="120" w:line="240" w:lineRule="auto"/>
        <w:jc w:val="both"/>
        <w:rPr>
          <w:rFonts w:ascii="Times New Roman" w:hAnsi="Times New Roman" w:cs="Times New Roman"/>
          <w:sz w:val="26"/>
          <w:szCs w:val="26"/>
          <w:lang w:val="en-US"/>
        </w:rPr>
      </w:pPr>
      <w:r w:rsidRPr="00193366">
        <w:rPr>
          <w:rFonts w:ascii="Times New Roman" w:hAnsi="Times New Roman" w:cs="Times New Roman"/>
          <w:sz w:val="26"/>
          <w:szCs w:val="26"/>
          <w:lang w:val="en-US"/>
        </w:rPr>
        <w:t>Patel</w:t>
      </w:r>
      <w:bookmarkEnd w:id="28"/>
      <w:r w:rsidRPr="00193366">
        <w:rPr>
          <w:rFonts w:ascii="Times New Roman" w:hAnsi="Times New Roman" w:cs="Times New Roman"/>
          <w:sz w:val="26"/>
          <w:szCs w:val="26"/>
          <w:lang w:val="en-US"/>
        </w:rPr>
        <w:t xml:space="preserve">, J., </w:t>
      </w:r>
      <w:proofErr w:type="spellStart"/>
      <w:r w:rsidRPr="00193366">
        <w:rPr>
          <w:rFonts w:ascii="Times New Roman" w:hAnsi="Times New Roman" w:cs="Times New Roman"/>
          <w:sz w:val="26"/>
          <w:szCs w:val="26"/>
          <w:lang w:val="en-US"/>
        </w:rPr>
        <w:t>Zeckhauser</w:t>
      </w:r>
      <w:proofErr w:type="spellEnd"/>
      <w:r w:rsidRPr="00193366">
        <w:rPr>
          <w:rFonts w:ascii="Times New Roman" w:hAnsi="Times New Roman" w:cs="Times New Roman"/>
          <w:sz w:val="26"/>
          <w:szCs w:val="26"/>
          <w:lang w:val="en-US"/>
        </w:rPr>
        <w:t>,</w:t>
      </w:r>
      <w:r w:rsidR="005E3407">
        <w:rPr>
          <w:rFonts w:ascii="Times New Roman" w:hAnsi="Times New Roman" w:cs="Times New Roman"/>
          <w:sz w:val="26"/>
          <w:szCs w:val="26"/>
          <w:lang w:val="en-US"/>
        </w:rPr>
        <w:t xml:space="preserve"> R.</w:t>
      </w:r>
      <w:r w:rsidRPr="00193366">
        <w:rPr>
          <w:rFonts w:ascii="Times New Roman" w:hAnsi="Times New Roman" w:cs="Times New Roman"/>
          <w:sz w:val="26"/>
          <w:szCs w:val="26"/>
          <w:lang w:val="en-US"/>
        </w:rPr>
        <w:t xml:space="preserve"> </w:t>
      </w:r>
      <w:r>
        <w:rPr>
          <w:rFonts w:ascii="Times New Roman" w:hAnsi="Times New Roman" w:cs="Times New Roman"/>
          <w:sz w:val="26"/>
          <w:szCs w:val="26"/>
          <w:lang w:val="en-US"/>
        </w:rPr>
        <w:t>e</w:t>
      </w:r>
      <w:r w:rsidRPr="00193366">
        <w:rPr>
          <w:rFonts w:ascii="Times New Roman" w:hAnsi="Times New Roman" w:cs="Times New Roman"/>
          <w:sz w:val="26"/>
          <w:szCs w:val="26"/>
          <w:lang w:val="en-US"/>
        </w:rPr>
        <w:t xml:space="preserve"> Hendricks,</w:t>
      </w:r>
      <w:r w:rsidR="005E3407">
        <w:rPr>
          <w:rFonts w:ascii="Times New Roman" w:hAnsi="Times New Roman" w:cs="Times New Roman"/>
          <w:sz w:val="26"/>
          <w:szCs w:val="26"/>
          <w:lang w:val="en-US"/>
        </w:rPr>
        <w:t xml:space="preserve"> D.,</w:t>
      </w:r>
      <w:r w:rsidRPr="00193366">
        <w:rPr>
          <w:rFonts w:ascii="Times New Roman" w:hAnsi="Times New Roman" w:cs="Times New Roman"/>
          <w:sz w:val="26"/>
          <w:szCs w:val="26"/>
          <w:lang w:val="en-US"/>
        </w:rPr>
        <w:t xml:space="preserve"> 199</w:t>
      </w:r>
      <w:r>
        <w:rPr>
          <w:rFonts w:ascii="Times New Roman" w:hAnsi="Times New Roman" w:cs="Times New Roman"/>
          <w:sz w:val="26"/>
          <w:szCs w:val="26"/>
          <w:lang w:val="en-US"/>
        </w:rPr>
        <w:t>6</w:t>
      </w:r>
      <w:r w:rsidRPr="00193366">
        <w:rPr>
          <w:rFonts w:ascii="Times New Roman" w:hAnsi="Times New Roman" w:cs="Times New Roman"/>
          <w:sz w:val="26"/>
          <w:szCs w:val="26"/>
          <w:lang w:val="en-US"/>
        </w:rPr>
        <w:t xml:space="preserve">, </w:t>
      </w:r>
      <w:r w:rsidRPr="00193366">
        <w:rPr>
          <w:rFonts w:ascii="Times New Roman" w:hAnsi="Times New Roman" w:cs="Times New Roman"/>
          <w:i/>
          <w:sz w:val="26"/>
          <w:szCs w:val="26"/>
          <w:lang w:val="en-US"/>
        </w:rPr>
        <w:t>Investment flows and performance: Evidence from mutual funds, cross-border investments and new issues</w:t>
      </w:r>
      <w:r w:rsidRPr="00193366">
        <w:rPr>
          <w:rFonts w:ascii="Times New Roman" w:hAnsi="Times New Roman" w:cs="Times New Roman"/>
          <w:sz w:val="26"/>
          <w:szCs w:val="26"/>
          <w:lang w:val="en-US"/>
        </w:rPr>
        <w:t>, in R. Sat</w:t>
      </w:r>
      <w:r>
        <w:rPr>
          <w:rFonts w:ascii="Times New Roman" w:hAnsi="Times New Roman" w:cs="Times New Roman"/>
          <w:sz w:val="26"/>
          <w:szCs w:val="26"/>
          <w:lang w:val="en-US"/>
        </w:rPr>
        <w:t>o</w:t>
      </w:r>
      <w:r w:rsidRPr="00193366">
        <w:rPr>
          <w:rFonts w:ascii="Times New Roman" w:hAnsi="Times New Roman" w:cs="Times New Roman"/>
          <w:sz w:val="26"/>
          <w:szCs w:val="26"/>
          <w:lang w:val="en-US"/>
        </w:rPr>
        <w:t xml:space="preserve">, R. </w:t>
      </w:r>
      <w:proofErr w:type="spellStart"/>
      <w:r w:rsidRPr="00193366">
        <w:rPr>
          <w:rFonts w:ascii="Times New Roman" w:hAnsi="Times New Roman" w:cs="Times New Roman"/>
          <w:sz w:val="26"/>
          <w:szCs w:val="26"/>
          <w:lang w:val="en-US"/>
        </w:rPr>
        <w:t>Levitch</w:t>
      </w:r>
      <w:proofErr w:type="spellEnd"/>
      <w:r w:rsidRPr="00193366">
        <w:rPr>
          <w:rFonts w:ascii="Times New Roman" w:hAnsi="Times New Roman" w:cs="Times New Roman"/>
          <w:sz w:val="26"/>
          <w:szCs w:val="26"/>
          <w:lang w:val="en-US"/>
        </w:rPr>
        <w:t xml:space="preserve">, and R. Ramachandran, Japan, Europe and the </w:t>
      </w:r>
      <w:bookmarkStart w:id="31" w:name="OLE_LINK168"/>
      <w:r w:rsidRPr="00193366">
        <w:rPr>
          <w:rFonts w:ascii="Times New Roman" w:hAnsi="Times New Roman" w:cs="Times New Roman"/>
          <w:sz w:val="26"/>
          <w:szCs w:val="26"/>
          <w:lang w:val="en-US"/>
        </w:rPr>
        <w:t>International Financial Markets: Analytical and Empirical Perspectives</w:t>
      </w:r>
      <w:bookmarkEnd w:id="31"/>
      <w:r>
        <w:rPr>
          <w:rFonts w:ascii="Times New Roman" w:hAnsi="Times New Roman" w:cs="Times New Roman"/>
          <w:sz w:val="26"/>
          <w:szCs w:val="26"/>
          <w:lang w:val="en-US"/>
        </w:rPr>
        <w:t xml:space="preserve"> </w:t>
      </w:r>
      <w:r w:rsidRPr="00193366">
        <w:rPr>
          <w:rFonts w:ascii="Times New Roman" w:hAnsi="Times New Roman" w:cs="Times New Roman"/>
          <w:sz w:val="26"/>
          <w:szCs w:val="26"/>
          <w:lang w:val="en-US"/>
        </w:rPr>
        <w:t>Cambridge University Press, New York.</w:t>
      </w:r>
      <w:r w:rsidRPr="00193366">
        <w:rPr>
          <w:rFonts w:ascii="Times New Roman" w:hAnsi="Times New Roman" w:cs="Times New Roman"/>
          <w:sz w:val="26"/>
          <w:szCs w:val="26"/>
          <w:lang w:val="en-US"/>
        </w:rPr>
        <w:cr/>
      </w:r>
      <w:proofErr w:type="spellStart"/>
      <w:r w:rsidR="00945FA2" w:rsidRPr="00945FA2">
        <w:rPr>
          <w:rFonts w:ascii="Times New Roman" w:hAnsi="Times New Roman" w:cs="Times New Roman"/>
          <w:sz w:val="26"/>
          <w:szCs w:val="26"/>
          <w:lang w:val="en-US"/>
        </w:rPr>
        <w:t>Pesaran</w:t>
      </w:r>
      <w:proofErr w:type="spellEnd"/>
      <w:r w:rsidR="00945FA2" w:rsidRPr="00945FA2">
        <w:rPr>
          <w:rFonts w:ascii="Times New Roman" w:hAnsi="Times New Roman" w:cs="Times New Roman"/>
          <w:sz w:val="26"/>
          <w:szCs w:val="26"/>
          <w:lang w:val="en-US"/>
        </w:rPr>
        <w:t>, H</w:t>
      </w:r>
      <w:r w:rsidR="005E3407">
        <w:rPr>
          <w:rFonts w:ascii="Times New Roman" w:hAnsi="Times New Roman" w:cs="Times New Roman"/>
          <w:sz w:val="26"/>
          <w:szCs w:val="26"/>
          <w:lang w:val="en-US"/>
        </w:rPr>
        <w:t>.</w:t>
      </w:r>
      <w:r w:rsidR="00945FA2" w:rsidRPr="00945FA2">
        <w:rPr>
          <w:rFonts w:ascii="Times New Roman" w:hAnsi="Times New Roman" w:cs="Times New Roman"/>
          <w:sz w:val="26"/>
          <w:szCs w:val="26"/>
          <w:lang w:val="en-US"/>
        </w:rPr>
        <w:t xml:space="preserve">M., </w:t>
      </w:r>
      <w:r w:rsidR="00945FA2">
        <w:rPr>
          <w:rFonts w:ascii="Times New Roman" w:hAnsi="Times New Roman" w:cs="Times New Roman"/>
          <w:sz w:val="26"/>
          <w:szCs w:val="26"/>
          <w:lang w:val="en-US"/>
        </w:rPr>
        <w:t>e</w:t>
      </w:r>
      <w:r w:rsidR="00945FA2" w:rsidRPr="00945FA2">
        <w:rPr>
          <w:rFonts w:ascii="Times New Roman" w:hAnsi="Times New Roman" w:cs="Times New Roman"/>
          <w:sz w:val="26"/>
          <w:szCs w:val="26"/>
          <w:lang w:val="en-US"/>
        </w:rPr>
        <w:t xml:space="preserve"> </w:t>
      </w:r>
      <w:proofErr w:type="spellStart"/>
      <w:r w:rsidR="00945FA2" w:rsidRPr="00945FA2">
        <w:rPr>
          <w:rFonts w:ascii="Times New Roman" w:hAnsi="Times New Roman" w:cs="Times New Roman"/>
          <w:sz w:val="26"/>
          <w:szCs w:val="26"/>
          <w:lang w:val="en-US"/>
        </w:rPr>
        <w:t>Timmermann</w:t>
      </w:r>
      <w:proofErr w:type="spellEnd"/>
      <w:r w:rsidR="005E3407">
        <w:rPr>
          <w:rFonts w:ascii="Times New Roman" w:hAnsi="Times New Roman" w:cs="Times New Roman"/>
          <w:sz w:val="26"/>
          <w:szCs w:val="26"/>
          <w:lang w:val="en-US"/>
        </w:rPr>
        <w:t>, A.</w:t>
      </w:r>
      <w:r w:rsidR="00945FA2" w:rsidRPr="00945FA2">
        <w:rPr>
          <w:rFonts w:ascii="Times New Roman" w:hAnsi="Times New Roman" w:cs="Times New Roman"/>
          <w:sz w:val="26"/>
          <w:szCs w:val="26"/>
          <w:lang w:val="en-US"/>
        </w:rPr>
        <w:t>, 1994, Forecasting stock returns an examination of stock market trading</w:t>
      </w:r>
      <w:r w:rsidR="00945FA2" w:rsidRPr="00945FA2">
        <w:rPr>
          <w:rFonts w:ascii="Times New Roman" w:hAnsi="Times New Roman" w:cs="Times New Roman"/>
          <w:i/>
          <w:sz w:val="26"/>
          <w:szCs w:val="26"/>
          <w:lang w:val="en-US"/>
        </w:rPr>
        <w:t xml:space="preserve"> in the presence of transaction costs</w:t>
      </w:r>
      <w:r w:rsidR="00945FA2" w:rsidRPr="00945FA2">
        <w:rPr>
          <w:rFonts w:ascii="Times New Roman" w:hAnsi="Times New Roman" w:cs="Times New Roman"/>
          <w:sz w:val="26"/>
          <w:szCs w:val="26"/>
          <w:lang w:val="en-US"/>
        </w:rPr>
        <w:t>, Journal of Forecasting, 13</w:t>
      </w:r>
      <w:r w:rsidR="00945FA2">
        <w:rPr>
          <w:rFonts w:ascii="Times New Roman" w:hAnsi="Times New Roman" w:cs="Times New Roman"/>
          <w:sz w:val="26"/>
          <w:szCs w:val="26"/>
          <w:lang w:val="en-US"/>
        </w:rPr>
        <w:t xml:space="preserve"> </w:t>
      </w:r>
      <w:r w:rsidR="008F758F">
        <w:rPr>
          <w:rFonts w:ascii="Times New Roman" w:hAnsi="Times New Roman" w:cs="Times New Roman"/>
          <w:sz w:val="26"/>
          <w:szCs w:val="26"/>
          <w:lang w:val="en-US"/>
        </w:rPr>
        <w:t>(</w:t>
      </w:r>
      <w:r w:rsidR="00945FA2">
        <w:rPr>
          <w:rFonts w:ascii="Times New Roman" w:hAnsi="Times New Roman" w:cs="Times New Roman"/>
          <w:sz w:val="26"/>
          <w:szCs w:val="26"/>
          <w:lang w:val="en-US"/>
        </w:rPr>
        <w:t>August</w:t>
      </w:r>
      <w:r w:rsidR="008F758F">
        <w:rPr>
          <w:rFonts w:ascii="Times New Roman" w:hAnsi="Times New Roman" w:cs="Times New Roman"/>
          <w:sz w:val="26"/>
          <w:szCs w:val="26"/>
          <w:lang w:val="en-US"/>
        </w:rPr>
        <w:t>)</w:t>
      </w:r>
      <w:r w:rsidR="00945FA2">
        <w:rPr>
          <w:rFonts w:ascii="Times New Roman" w:hAnsi="Times New Roman" w:cs="Times New Roman"/>
          <w:sz w:val="26"/>
          <w:szCs w:val="26"/>
          <w:lang w:val="en-US"/>
        </w:rPr>
        <w:t>.</w:t>
      </w:r>
      <w:bookmarkStart w:id="32" w:name="OLE_LINK159"/>
    </w:p>
    <w:bookmarkEnd w:id="32"/>
    <w:p w14:paraId="0EC7D897" w14:textId="77777777" w:rsidR="00786B86" w:rsidRDefault="00945FA2" w:rsidP="00674341">
      <w:pPr>
        <w:spacing w:after="120" w:line="240" w:lineRule="auto"/>
        <w:jc w:val="both"/>
        <w:rPr>
          <w:rFonts w:ascii="Times New Roman" w:hAnsi="Times New Roman" w:cs="Times New Roman"/>
          <w:sz w:val="26"/>
          <w:szCs w:val="26"/>
          <w:lang w:val="en-US"/>
        </w:rPr>
      </w:pPr>
      <w:proofErr w:type="spellStart"/>
      <w:r w:rsidRPr="00945FA2">
        <w:rPr>
          <w:rFonts w:ascii="Times New Roman" w:hAnsi="Times New Roman" w:cs="Times New Roman"/>
          <w:sz w:val="26"/>
          <w:szCs w:val="26"/>
          <w:lang w:val="en-US"/>
        </w:rPr>
        <w:t>Pesaran</w:t>
      </w:r>
      <w:proofErr w:type="spellEnd"/>
      <w:r w:rsidRPr="00945FA2">
        <w:rPr>
          <w:rFonts w:ascii="Times New Roman" w:hAnsi="Times New Roman" w:cs="Times New Roman"/>
          <w:sz w:val="26"/>
          <w:szCs w:val="26"/>
          <w:lang w:val="en-US"/>
        </w:rPr>
        <w:t>, H</w:t>
      </w:r>
      <w:r w:rsidR="005E3407">
        <w:rPr>
          <w:rFonts w:ascii="Times New Roman" w:hAnsi="Times New Roman" w:cs="Times New Roman"/>
          <w:sz w:val="26"/>
          <w:szCs w:val="26"/>
          <w:lang w:val="en-US"/>
        </w:rPr>
        <w:t>.</w:t>
      </w:r>
      <w:r w:rsidRPr="00945FA2">
        <w:rPr>
          <w:rFonts w:ascii="Times New Roman" w:hAnsi="Times New Roman" w:cs="Times New Roman"/>
          <w:sz w:val="26"/>
          <w:szCs w:val="26"/>
          <w:lang w:val="en-US"/>
        </w:rPr>
        <w:t xml:space="preserve">M., </w:t>
      </w:r>
      <w:r>
        <w:rPr>
          <w:rFonts w:ascii="Times New Roman" w:hAnsi="Times New Roman" w:cs="Times New Roman"/>
          <w:sz w:val="26"/>
          <w:szCs w:val="26"/>
          <w:lang w:val="en-US"/>
        </w:rPr>
        <w:t>e</w:t>
      </w:r>
      <w:r w:rsidRPr="00945FA2">
        <w:rPr>
          <w:rFonts w:ascii="Times New Roman" w:hAnsi="Times New Roman" w:cs="Times New Roman"/>
          <w:sz w:val="26"/>
          <w:szCs w:val="26"/>
          <w:lang w:val="en-US"/>
        </w:rPr>
        <w:t xml:space="preserve"> </w:t>
      </w:r>
      <w:proofErr w:type="spellStart"/>
      <w:r w:rsidRPr="00945FA2">
        <w:rPr>
          <w:rFonts w:ascii="Times New Roman" w:hAnsi="Times New Roman" w:cs="Times New Roman"/>
          <w:sz w:val="26"/>
          <w:szCs w:val="26"/>
          <w:lang w:val="en-US"/>
        </w:rPr>
        <w:t>Timmermann</w:t>
      </w:r>
      <w:proofErr w:type="spellEnd"/>
      <w:r w:rsidRPr="00945FA2">
        <w:rPr>
          <w:rFonts w:ascii="Times New Roman" w:hAnsi="Times New Roman" w:cs="Times New Roman"/>
          <w:sz w:val="26"/>
          <w:szCs w:val="26"/>
          <w:lang w:val="en-US"/>
        </w:rPr>
        <w:t xml:space="preserve">, </w:t>
      </w:r>
      <w:r w:rsidR="005E3407">
        <w:rPr>
          <w:rFonts w:ascii="Times New Roman" w:hAnsi="Times New Roman" w:cs="Times New Roman"/>
          <w:sz w:val="26"/>
          <w:szCs w:val="26"/>
          <w:lang w:val="en-US"/>
        </w:rPr>
        <w:t xml:space="preserve">A., </w:t>
      </w:r>
      <w:r w:rsidRPr="00945FA2">
        <w:rPr>
          <w:rFonts w:ascii="Times New Roman" w:hAnsi="Times New Roman" w:cs="Times New Roman"/>
          <w:sz w:val="26"/>
          <w:szCs w:val="26"/>
          <w:lang w:val="en-US"/>
        </w:rPr>
        <w:t xml:space="preserve">2000, </w:t>
      </w:r>
      <w:r w:rsidRPr="00945FA2">
        <w:rPr>
          <w:rFonts w:ascii="Times New Roman" w:hAnsi="Times New Roman" w:cs="Times New Roman"/>
          <w:i/>
          <w:sz w:val="26"/>
          <w:szCs w:val="26"/>
          <w:lang w:val="en-US"/>
        </w:rPr>
        <w:t>A Recursive Modelling Approach to Predicting UK Stock Returns</w:t>
      </w:r>
      <w:r w:rsidRPr="00945FA2">
        <w:rPr>
          <w:rFonts w:ascii="Times New Roman" w:hAnsi="Times New Roman" w:cs="Times New Roman"/>
          <w:sz w:val="26"/>
          <w:szCs w:val="26"/>
          <w:lang w:val="en-US"/>
        </w:rPr>
        <w:t>, Economic Journal, 110</w:t>
      </w:r>
      <w:r>
        <w:rPr>
          <w:rFonts w:ascii="Times New Roman" w:hAnsi="Times New Roman" w:cs="Times New Roman"/>
          <w:sz w:val="26"/>
          <w:szCs w:val="26"/>
          <w:lang w:val="en-US"/>
        </w:rPr>
        <w:t xml:space="preserve"> </w:t>
      </w:r>
      <w:r w:rsidR="008F758F">
        <w:rPr>
          <w:rFonts w:ascii="Times New Roman" w:hAnsi="Times New Roman" w:cs="Times New Roman"/>
          <w:sz w:val="26"/>
          <w:szCs w:val="26"/>
          <w:lang w:val="en-US"/>
        </w:rPr>
        <w:t>(</w:t>
      </w:r>
      <w:r>
        <w:rPr>
          <w:rFonts w:ascii="Times New Roman" w:hAnsi="Times New Roman" w:cs="Times New Roman"/>
          <w:sz w:val="26"/>
          <w:szCs w:val="26"/>
          <w:lang w:val="en-US"/>
        </w:rPr>
        <w:t>January</w:t>
      </w:r>
      <w:r w:rsidR="008F758F">
        <w:rPr>
          <w:rFonts w:ascii="Times New Roman" w:hAnsi="Times New Roman" w:cs="Times New Roman"/>
          <w:sz w:val="26"/>
          <w:szCs w:val="26"/>
          <w:lang w:val="en-US"/>
        </w:rPr>
        <w:t>)</w:t>
      </w:r>
      <w:r w:rsidRPr="00945FA2">
        <w:rPr>
          <w:rFonts w:ascii="Times New Roman" w:hAnsi="Times New Roman" w:cs="Times New Roman"/>
          <w:sz w:val="26"/>
          <w:szCs w:val="26"/>
          <w:lang w:val="en-US"/>
        </w:rPr>
        <w:t>.</w:t>
      </w:r>
    </w:p>
    <w:p w14:paraId="23CCDF4A" w14:textId="77777777" w:rsidR="005E3407" w:rsidRDefault="005E3407" w:rsidP="00674341">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Ross, S.A., 1976, </w:t>
      </w:r>
      <w:r w:rsidRPr="005E3407">
        <w:rPr>
          <w:rFonts w:ascii="Times New Roman" w:hAnsi="Times New Roman" w:cs="Times New Roman"/>
          <w:i/>
          <w:sz w:val="26"/>
          <w:szCs w:val="26"/>
          <w:lang w:val="en-US"/>
        </w:rPr>
        <w:t>The Arbitrage Theory of Capital Asset Pricing</w:t>
      </w:r>
      <w:r>
        <w:rPr>
          <w:rFonts w:ascii="Times New Roman" w:hAnsi="Times New Roman" w:cs="Times New Roman"/>
          <w:sz w:val="26"/>
          <w:szCs w:val="26"/>
          <w:lang w:val="en-US"/>
        </w:rPr>
        <w:t>, Journal of Economic Theory, 13 (December).</w:t>
      </w:r>
    </w:p>
    <w:p w14:paraId="059EE9D6" w14:textId="77777777" w:rsidR="007843B0" w:rsidRPr="007843B0" w:rsidRDefault="007843B0" w:rsidP="007843B0">
      <w:pPr>
        <w:spacing w:after="120" w:line="240" w:lineRule="auto"/>
        <w:jc w:val="both"/>
        <w:rPr>
          <w:rFonts w:ascii="Times New Roman" w:hAnsi="Times New Roman" w:cs="Times New Roman"/>
          <w:sz w:val="26"/>
          <w:szCs w:val="26"/>
          <w:lang w:val="en-US"/>
        </w:rPr>
      </w:pPr>
      <w:r w:rsidRPr="007843B0">
        <w:rPr>
          <w:rFonts w:ascii="Times New Roman" w:hAnsi="Times New Roman" w:cs="Times New Roman"/>
          <w:sz w:val="26"/>
          <w:szCs w:val="26"/>
          <w:lang w:val="en-US"/>
        </w:rPr>
        <w:lastRenderedPageBreak/>
        <w:t>Sharpe</w:t>
      </w:r>
      <w:r w:rsidRPr="00783082">
        <w:rPr>
          <w:rFonts w:ascii="Times New Roman" w:hAnsi="Times New Roman" w:cs="Times New Roman"/>
          <w:sz w:val="26"/>
          <w:szCs w:val="26"/>
          <w:lang w:val="en-US"/>
        </w:rPr>
        <w:t>, W</w:t>
      </w:r>
      <w:r>
        <w:rPr>
          <w:rFonts w:ascii="Times New Roman" w:hAnsi="Times New Roman" w:cs="Times New Roman"/>
          <w:sz w:val="26"/>
          <w:szCs w:val="26"/>
          <w:lang w:val="en-US"/>
        </w:rPr>
        <w:t>.</w:t>
      </w:r>
      <w:r w:rsidRPr="00783082">
        <w:rPr>
          <w:rFonts w:ascii="Times New Roman" w:hAnsi="Times New Roman" w:cs="Times New Roman"/>
          <w:sz w:val="26"/>
          <w:szCs w:val="26"/>
          <w:lang w:val="en-US"/>
        </w:rPr>
        <w:t>F.</w:t>
      </w:r>
      <w:r>
        <w:rPr>
          <w:rFonts w:ascii="Times New Roman" w:hAnsi="Times New Roman" w:cs="Times New Roman"/>
          <w:sz w:val="26"/>
          <w:szCs w:val="26"/>
          <w:lang w:val="en-US"/>
        </w:rPr>
        <w:t xml:space="preserve">, 1964, </w:t>
      </w:r>
      <w:r w:rsidRPr="007843B0">
        <w:rPr>
          <w:rFonts w:ascii="Times New Roman" w:hAnsi="Times New Roman" w:cs="Times New Roman"/>
          <w:i/>
          <w:sz w:val="26"/>
          <w:szCs w:val="26"/>
          <w:lang w:val="en-US"/>
        </w:rPr>
        <w:t>Capital Asset Prices: A Theory of Market Equilibrium under Conditions of Risk</w:t>
      </w:r>
      <w:r>
        <w:rPr>
          <w:rFonts w:ascii="Times New Roman" w:hAnsi="Times New Roman" w:cs="Times New Roman"/>
          <w:i/>
          <w:sz w:val="26"/>
          <w:szCs w:val="26"/>
          <w:lang w:val="en-US"/>
        </w:rPr>
        <w:t xml:space="preserve">, </w:t>
      </w:r>
      <w:r w:rsidRPr="007843B0">
        <w:rPr>
          <w:rFonts w:ascii="Times New Roman" w:hAnsi="Times New Roman" w:cs="Times New Roman"/>
          <w:sz w:val="26"/>
          <w:szCs w:val="26"/>
          <w:lang w:val="en-US"/>
        </w:rPr>
        <w:t>The Journal of Finance</w:t>
      </w:r>
      <w:r>
        <w:rPr>
          <w:rFonts w:ascii="Times New Roman" w:hAnsi="Times New Roman" w:cs="Times New Roman"/>
          <w:sz w:val="26"/>
          <w:szCs w:val="26"/>
          <w:lang w:val="en-US"/>
        </w:rPr>
        <w:t xml:space="preserve">, </w:t>
      </w:r>
      <w:r w:rsidRPr="007843B0">
        <w:rPr>
          <w:rFonts w:ascii="Times New Roman" w:hAnsi="Times New Roman" w:cs="Times New Roman"/>
          <w:sz w:val="26"/>
          <w:szCs w:val="26"/>
          <w:lang w:val="en-US"/>
        </w:rPr>
        <w:t>Vol. 19, N. 3 (Sep</w:t>
      </w:r>
      <w:r>
        <w:rPr>
          <w:rFonts w:ascii="Times New Roman" w:hAnsi="Times New Roman" w:cs="Times New Roman"/>
          <w:sz w:val="26"/>
          <w:szCs w:val="26"/>
          <w:lang w:val="en-US"/>
        </w:rPr>
        <w:t>tember).</w:t>
      </w:r>
    </w:p>
    <w:p w14:paraId="3C7D62F3" w14:textId="77777777" w:rsidR="00783082" w:rsidRDefault="00783082" w:rsidP="00674341">
      <w:pPr>
        <w:spacing w:after="120" w:line="240" w:lineRule="auto"/>
        <w:jc w:val="both"/>
        <w:rPr>
          <w:rFonts w:ascii="Times New Roman" w:hAnsi="Times New Roman" w:cs="Times New Roman"/>
          <w:sz w:val="26"/>
          <w:szCs w:val="26"/>
          <w:lang w:val="en-US"/>
        </w:rPr>
      </w:pPr>
      <w:r w:rsidRPr="00783082">
        <w:rPr>
          <w:rFonts w:ascii="Times New Roman" w:hAnsi="Times New Roman" w:cs="Times New Roman"/>
          <w:sz w:val="26"/>
          <w:szCs w:val="26"/>
          <w:lang w:val="en-US"/>
        </w:rPr>
        <w:t>Sharpe</w:t>
      </w:r>
      <w:bookmarkStart w:id="33" w:name="OLE_LINK173"/>
      <w:r w:rsidRPr="00783082">
        <w:rPr>
          <w:rFonts w:ascii="Times New Roman" w:hAnsi="Times New Roman" w:cs="Times New Roman"/>
          <w:sz w:val="26"/>
          <w:szCs w:val="26"/>
          <w:lang w:val="en-US"/>
        </w:rPr>
        <w:t>, W</w:t>
      </w:r>
      <w:r w:rsidR="007843B0">
        <w:rPr>
          <w:rFonts w:ascii="Times New Roman" w:hAnsi="Times New Roman" w:cs="Times New Roman"/>
          <w:sz w:val="26"/>
          <w:szCs w:val="26"/>
          <w:lang w:val="en-US"/>
        </w:rPr>
        <w:t>.</w:t>
      </w:r>
      <w:r w:rsidRPr="00783082">
        <w:rPr>
          <w:rFonts w:ascii="Times New Roman" w:hAnsi="Times New Roman" w:cs="Times New Roman"/>
          <w:sz w:val="26"/>
          <w:szCs w:val="26"/>
          <w:lang w:val="en-US"/>
        </w:rPr>
        <w:t>F.</w:t>
      </w:r>
      <w:r w:rsidR="002D693F">
        <w:rPr>
          <w:rFonts w:ascii="Times New Roman" w:hAnsi="Times New Roman" w:cs="Times New Roman"/>
          <w:sz w:val="26"/>
          <w:szCs w:val="26"/>
          <w:lang w:val="en-US"/>
        </w:rPr>
        <w:t>,</w:t>
      </w:r>
      <w:bookmarkEnd w:id="33"/>
      <w:r w:rsidR="002D693F">
        <w:rPr>
          <w:rFonts w:ascii="Times New Roman" w:hAnsi="Times New Roman" w:cs="Times New Roman"/>
          <w:sz w:val="26"/>
          <w:szCs w:val="26"/>
          <w:lang w:val="en-US"/>
        </w:rPr>
        <w:t xml:space="preserve"> 1988, </w:t>
      </w:r>
      <w:bookmarkStart w:id="34" w:name="OLE_LINK160"/>
      <w:r w:rsidR="002D693F" w:rsidRPr="002D693F">
        <w:rPr>
          <w:rFonts w:ascii="Times New Roman" w:hAnsi="Times New Roman" w:cs="Times New Roman"/>
          <w:i/>
          <w:sz w:val="26"/>
          <w:szCs w:val="26"/>
          <w:lang w:val="en-US"/>
        </w:rPr>
        <w:t>Determining a Fund</w:t>
      </w:r>
      <w:r w:rsidR="002D693F">
        <w:rPr>
          <w:rFonts w:ascii="Times New Roman" w:hAnsi="Times New Roman" w:cs="Times New Roman"/>
          <w:i/>
          <w:sz w:val="26"/>
          <w:szCs w:val="26"/>
          <w:lang w:val="en-US"/>
        </w:rPr>
        <w:t>’</w:t>
      </w:r>
      <w:r w:rsidR="002D693F" w:rsidRPr="002D693F">
        <w:rPr>
          <w:rFonts w:ascii="Times New Roman" w:hAnsi="Times New Roman" w:cs="Times New Roman"/>
          <w:i/>
          <w:sz w:val="26"/>
          <w:szCs w:val="26"/>
          <w:lang w:val="en-US"/>
        </w:rPr>
        <w:t>s Effective Asset Mix</w:t>
      </w:r>
      <w:bookmarkEnd w:id="34"/>
      <w:r w:rsidR="002D693F">
        <w:rPr>
          <w:rFonts w:ascii="Times New Roman" w:hAnsi="Times New Roman" w:cs="Times New Roman"/>
          <w:sz w:val="26"/>
          <w:szCs w:val="26"/>
          <w:lang w:val="en-US"/>
        </w:rPr>
        <w:t xml:space="preserve">, </w:t>
      </w:r>
      <w:r w:rsidR="002D693F" w:rsidRPr="002D693F">
        <w:rPr>
          <w:rFonts w:ascii="Times New Roman" w:hAnsi="Times New Roman" w:cs="Times New Roman"/>
          <w:sz w:val="26"/>
          <w:szCs w:val="26"/>
          <w:lang w:val="en-US"/>
        </w:rPr>
        <w:t>Investment Management Review</w:t>
      </w:r>
      <w:r w:rsidR="002D693F">
        <w:rPr>
          <w:rFonts w:ascii="Times New Roman" w:hAnsi="Times New Roman" w:cs="Times New Roman"/>
          <w:sz w:val="26"/>
          <w:szCs w:val="26"/>
          <w:lang w:val="en-US"/>
        </w:rPr>
        <w:t xml:space="preserve"> (December).</w:t>
      </w:r>
      <w:bookmarkStart w:id="35" w:name="OLE_LINK167"/>
    </w:p>
    <w:bookmarkEnd w:id="35"/>
    <w:p w14:paraId="3149E490" w14:textId="77777777" w:rsidR="00193366" w:rsidRDefault="00193366" w:rsidP="00193366">
      <w:pPr>
        <w:spacing w:after="120" w:line="240" w:lineRule="auto"/>
        <w:jc w:val="both"/>
        <w:rPr>
          <w:rFonts w:ascii="Times New Roman" w:hAnsi="Times New Roman" w:cs="Times New Roman"/>
          <w:sz w:val="26"/>
          <w:szCs w:val="26"/>
          <w:lang w:val="en-US"/>
        </w:rPr>
      </w:pPr>
      <w:proofErr w:type="spellStart"/>
      <w:r w:rsidRPr="00193366">
        <w:rPr>
          <w:rFonts w:ascii="Times New Roman" w:hAnsi="Times New Roman" w:cs="Times New Roman"/>
          <w:sz w:val="26"/>
          <w:szCs w:val="26"/>
          <w:lang w:val="en-US"/>
        </w:rPr>
        <w:t>Sirri</w:t>
      </w:r>
      <w:proofErr w:type="spellEnd"/>
      <w:r w:rsidRPr="00193366">
        <w:rPr>
          <w:rFonts w:ascii="Times New Roman" w:hAnsi="Times New Roman" w:cs="Times New Roman"/>
          <w:sz w:val="26"/>
          <w:szCs w:val="26"/>
          <w:lang w:val="en-US"/>
        </w:rPr>
        <w:t>, E</w:t>
      </w:r>
      <w:r w:rsidR="005E3407">
        <w:rPr>
          <w:rFonts w:ascii="Times New Roman" w:hAnsi="Times New Roman" w:cs="Times New Roman"/>
          <w:sz w:val="26"/>
          <w:szCs w:val="26"/>
          <w:lang w:val="en-US"/>
        </w:rPr>
        <w:t>.</w:t>
      </w:r>
      <w:r w:rsidRPr="00193366">
        <w:rPr>
          <w:rFonts w:ascii="Times New Roman" w:hAnsi="Times New Roman" w:cs="Times New Roman"/>
          <w:sz w:val="26"/>
          <w:szCs w:val="26"/>
          <w:lang w:val="en-US"/>
        </w:rPr>
        <w:t xml:space="preserve">R. </w:t>
      </w:r>
      <w:r>
        <w:rPr>
          <w:rFonts w:ascii="Times New Roman" w:hAnsi="Times New Roman" w:cs="Times New Roman"/>
          <w:sz w:val="26"/>
          <w:szCs w:val="26"/>
          <w:lang w:val="en-US"/>
        </w:rPr>
        <w:t>e</w:t>
      </w:r>
      <w:r w:rsidRPr="00193366">
        <w:rPr>
          <w:rFonts w:ascii="Times New Roman" w:hAnsi="Times New Roman" w:cs="Times New Roman"/>
          <w:sz w:val="26"/>
          <w:szCs w:val="26"/>
          <w:lang w:val="en-US"/>
        </w:rPr>
        <w:t xml:space="preserve"> </w:t>
      </w:r>
      <w:proofErr w:type="spellStart"/>
      <w:r w:rsidRPr="00193366">
        <w:rPr>
          <w:rFonts w:ascii="Times New Roman" w:hAnsi="Times New Roman" w:cs="Times New Roman"/>
          <w:sz w:val="26"/>
          <w:szCs w:val="26"/>
          <w:lang w:val="en-US"/>
        </w:rPr>
        <w:t>Tufano</w:t>
      </w:r>
      <w:proofErr w:type="spellEnd"/>
      <w:r w:rsidRPr="00193366">
        <w:rPr>
          <w:rFonts w:ascii="Times New Roman" w:hAnsi="Times New Roman" w:cs="Times New Roman"/>
          <w:sz w:val="26"/>
          <w:szCs w:val="26"/>
          <w:lang w:val="en-US"/>
        </w:rPr>
        <w:t xml:space="preserve">, </w:t>
      </w:r>
      <w:r w:rsidR="005E3407">
        <w:rPr>
          <w:rFonts w:ascii="Times New Roman" w:hAnsi="Times New Roman" w:cs="Times New Roman"/>
          <w:sz w:val="26"/>
          <w:szCs w:val="26"/>
          <w:lang w:val="en-US"/>
        </w:rPr>
        <w:t xml:space="preserve">P., </w:t>
      </w:r>
      <w:r w:rsidRPr="00193366">
        <w:rPr>
          <w:rFonts w:ascii="Times New Roman" w:hAnsi="Times New Roman" w:cs="Times New Roman"/>
          <w:sz w:val="26"/>
          <w:szCs w:val="26"/>
          <w:lang w:val="en-US"/>
        </w:rPr>
        <w:t xml:space="preserve">1998, </w:t>
      </w:r>
      <w:bookmarkStart w:id="36" w:name="OLE_LINK166"/>
      <w:r w:rsidRPr="00193366">
        <w:rPr>
          <w:rFonts w:ascii="Times New Roman" w:hAnsi="Times New Roman" w:cs="Times New Roman"/>
          <w:i/>
          <w:sz w:val="26"/>
          <w:szCs w:val="26"/>
          <w:lang w:val="en-US"/>
        </w:rPr>
        <w:t>Costly search and mutual fund flows</w:t>
      </w:r>
      <w:bookmarkEnd w:id="36"/>
      <w:r w:rsidRPr="00193366">
        <w:rPr>
          <w:rFonts w:ascii="Times New Roman" w:hAnsi="Times New Roman" w:cs="Times New Roman"/>
          <w:sz w:val="26"/>
          <w:szCs w:val="26"/>
          <w:lang w:val="en-US"/>
        </w:rPr>
        <w:t>, Journal of Finance Vol. 53, N. 5 (Oct</w:t>
      </w:r>
      <w:r>
        <w:rPr>
          <w:rFonts w:ascii="Times New Roman" w:hAnsi="Times New Roman" w:cs="Times New Roman"/>
          <w:sz w:val="26"/>
          <w:szCs w:val="26"/>
          <w:lang w:val="en-US"/>
        </w:rPr>
        <w:t>ober</w:t>
      </w:r>
      <w:r w:rsidRPr="00193366">
        <w:rPr>
          <w:rFonts w:ascii="Times New Roman" w:hAnsi="Times New Roman" w:cs="Times New Roman"/>
          <w:sz w:val="26"/>
          <w:szCs w:val="26"/>
          <w:lang w:val="en-US"/>
        </w:rPr>
        <w:t>)</w:t>
      </w:r>
      <w:r>
        <w:rPr>
          <w:rFonts w:ascii="Times New Roman" w:hAnsi="Times New Roman" w:cs="Times New Roman"/>
          <w:sz w:val="26"/>
          <w:szCs w:val="26"/>
          <w:lang w:val="en-US"/>
        </w:rPr>
        <w:t>.</w:t>
      </w:r>
      <w:r w:rsidRPr="00193366">
        <w:rPr>
          <w:rFonts w:ascii="Times New Roman" w:hAnsi="Times New Roman" w:cs="Times New Roman"/>
          <w:sz w:val="26"/>
          <w:szCs w:val="26"/>
          <w:lang w:val="en-US"/>
        </w:rPr>
        <w:t xml:space="preserve"> </w:t>
      </w:r>
    </w:p>
    <w:p w14:paraId="7AD22B72" w14:textId="77777777" w:rsidR="00193366" w:rsidRDefault="008D06C4" w:rsidP="00193366">
      <w:pPr>
        <w:spacing w:after="120" w:line="240" w:lineRule="auto"/>
        <w:jc w:val="both"/>
        <w:rPr>
          <w:rFonts w:ascii="Times New Roman" w:hAnsi="Times New Roman" w:cs="Times New Roman"/>
          <w:sz w:val="26"/>
          <w:szCs w:val="26"/>
          <w:lang w:val="en-US"/>
        </w:rPr>
      </w:pPr>
      <w:r w:rsidRPr="008D06C4">
        <w:rPr>
          <w:rFonts w:ascii="Times New Roman" w:hAnsi="Times New Roman" w:cs="Times New Roman"/>
          <w:sz w:val="26"/>
          <w:szCs w:val="26"/>
          <w:lang w:val="en-US"/>
        </w:rPr>
        <w:t xml:space="preserve">Treynor, J., </w:t>
      </w:r>
      <w:r>
        <w:rPr>
          <w:rFonts w:ascii="Times New Roman" w:hAnsi="Times New Roman" w:cs="Times New Roman"/>
          <w:sz w:val="26"/>
          <w:szCs w:val="26"/>
          <w:lang w:val="en-US"/>
        </w:rPr>
        <w:t>e</w:t>
      </w:r>
      <w:r w:rsidRPr="008D06C4">
        <w:rPr>
          <w:rFonts w:ascii="Times New Roman" w:hAnsi="Times New Roman" w:cs="Times New Roman"/>
          <w:sz w:val="26"/>
          <w:szCs w:val="26"/>
          <w:lang w:val="en-US"/>
        </w:rPr>
        <w:t xml:space="preserve"> </w:t>
      </w:r>
      <w:proofErr w:type="spellStart"/>
      <w:r w:rsidRPr="008D06C4">
        <w:rPr>
          <w:rFonts w:ascii="Times New Roman" w:hAnsi="Times New Roman" w:cs="Times New Roman"/>
          <w:sz w:val="26"/>
          <w:szCs w:val="26"/>
          <w:lang w:val="en-US"/>
        </w:rPr>
        <w:t>Mazuy</w:t>
      </w:r>
      <w:proofErr w:type="spellEnd"/>
      <w:r w:rsidRPr="008D06C4">
        <w:rPr>
          <w:rFonts w:ascii="Times New Roman" w:hAnsi="Times New Roman" w:cs="Times New Roman"/>
          <w:sz w:val="26"/>
          <w:szCs w:val="26"/>
          <w:lang w:val="en-US"/>
        </w:rPr>
        <w:t xml:space="preserve">, </w:t>
      </w:r>
      <w:r w:rsidR="005E3407">
        <w:rPr>
          <w:rFonts w:ascii="Times New Roman" w:hAnsi="Times New Roman" w:cs="Times New Roman"/>
          <w:sz w:val="26"/>
          <w:szCs w:val="26"/>
          <w:lang w:val="en-US"/>
        </w:rPr>
        <w:t xml:space="preserve">K., </w:t>
      </w:r>
      <w:r w:rsidRPr="008D06C4">
        <w:rPr>
          <w:rFonts w:ascii="Times New Roman" w:hAnsi="Times New Roman" w:cs="Times New Roman"/>
          <w:sz w:val="26"/>
          <w:szCs w:val="26"/>
          <w:lang w:val="en-US"/>
        </w:rPr>
        <w:t xml:space="preserve">1966, </w:t>
      </w:r>
      <w:r w:rsidRPr="008D06C4">
        <w:rPr>
          <w:rFonts w:ascii="Times New Roman" w:hAnsi="Times New Roman" w:cs="Times New Roman"/>
          <w:i/>
          <w:sz w:val="26"/>
          <w:szCs w:val="26"/>
          <w:lang w:val="en-US"/>
        </w:rPr>
        <w:t xml:space="preserve">Can mutual funds outguess the </w:t>
      </w:r>
      <w:proofErr w:type="gramStart"/>
      <w:r w:rsidRPr="008D06C4">
        <w:rPr>
          <w:rFonts w:ascii="Times New Roman" w:hAnsi="Times New Roman" w:cs="Times New Roman"/>
          <w:i/>
          <w:sz w:val="26"/>
          <w:szCs w:val="26"/>
          <w:lang w:val="en-US"/>
        </w:rPr>
        <w:t>market?</w:t>
      </w:r>
      <w:r w:rsidRPr="008D06C4">
        <w:rPr>
          <w:rFonts w:ascii="Times New Roman" w:hAnsi="Times New Roman" w:cs="Times New Roman"/>
          <w:sz w:val="26"/>
          <w:szCs w:val="26"/>
          <w:lang w:val="en-US"/>
        </w:rPr>
        <w:t>,</w:t>
      </w:r>
      <w:proofErr w:type="gramEnd"/>
      <w:r w:rsidRPr="008D06C4">
        <w:rPr>
          <w:rFonts w:ascii="Times New Roman" w:hAnsi="Times New Roman" w:cs="Times New Roman"/>
          <w:sz w:val="26"/>
          <w:szCs w:val="26"/>
          <w:lang w:val="en-US"/>
        </w:rPr>
        <w:t xml:space="preserve"> Harvard Business</w:t>
      </w:r>
      <w:r>
        <w:rPr>
          <w:rFonts w:ascii="Times New Roman" w:hAnsi="Times New Roman" w:cs="Times New Roman"/>
          <w:sz w:val="26"/>
          <w:szCs w:val="26"/>
          <w:lang w:val="en-US"/>
        </w:rPr>
        <w:t xml:space="preserve"> </w:t>
      </w:r>
      <w:r w:rsidRPr="008D06C4">
        <w:rPr>
          <w:rFonts w:ascii="Times New Roman" w:hAnsi="Times New Roman" w:cs="Times New Roman"/>
          <w:sz w:val="26"/>
          <w:szCs w:val="26"/>
          <w:lang w:val="en-US"/>
        </w:rPr>
        <w:t>Review 44.</w:t>
      </w:r>
      <w:r w:rsidR="00193366" w:rsidRPr="00193366">
        <w:rPr>
          <w:rFonts w:ascii="Times New Roman" w:hAnsi="Times New Roman" w:cs="Times New Roman"/>
          <w:sz w:val="26"/>
          <w:szCs w:val="26"/>
          <w:lang w:val="en-US"/>
        </w:rPr>
        <w:t xml:space="preserve"> </w:t>
      </w:r>
    </w:p>
    <w:sectPr w:rsidR="00193366" w:rsidSect="002E6B08">
      <w:footerReference w:type="default" r:id="rId18"/>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7C75A" w14:textId="77777777" w:rsidR="00966D3D" w:rsidRDefault="00966D3D" w:rsidP="000442C7">
      <w:pPr>
        <w:spacing w:after="0" w:line="240" w:lineRule="auto"/>
      </w:pPr>
      <w:r>
        <w:separator/>
      </w:r>
    </w:p>
  </w:endnote>
  <w:endnote w:type="continuationSeparator" w:id="0">
    <w:p w14:paraId="6B71D356" w14:textId="77777777" w:rsidR="00966D3D" w:rsidRDefault="00966D3D" w:rsidP="00044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5045686"/>
      <w:docPartObj>
        <w:docPartGallery w:val="Page Numbers (Bottom of Page)"/>
        <w:docPartUnique/>
      </w:docPartObj>
    </w:sdtPr>
    <w:sdtEndPr/>
    <w:sdtContent>
      <w:p w14:paraId="6B5AC638" w14:textId="77777777" w:rsidR="00181439" w:rsidRDefault="00181439">
        <w:pPr>
          <w:pStyle w:val="Pidipagina"/>
          <w:jc w:val="center"/>
        </w:pPr>
        <w:r>
          <w:fldChar w:fldCharType="begin"/>
        </w:r>
        <w:r>
          <w:instrText>PAGE   \* MERGEFORMAT</w:instrText>
        </w:r>
        <w:r>
          <w:fldChar w:fldCharType="separate"/>
        </w:r>
        <w:r w:rsidR="00021081">
          <w:rPr>
            <w:noProof/>
          </w:rPr>
          <w:t>1</w:t>
        </w:r>
        <w:r>
          <w:fldChar w:fldCharType="end"/>
        </w:r>
      </w:p>
    </w:sdtContent>
  </w:sdt>
  <w:p w14:paraId="14734E21" w14:textId="77777777" w:rsidR="00181439" w:rsidRDefault="0018143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5C99C" w14:textId="77777777" w:rsidR="00966D3D" w:rsidRDefault="00966D3D" w:rsidP="000442C7">
      <w:pPr>
        <w:spacing w:after="0" w:line="240" w:lineRule="auto"/>
      </w:pPr>
      <w:r>
        <w:separator/>
      </w:r>
    </w:p>
  </w:footnote>
  <w:footnote w:type="continuationSeparator" w:id="0">
    <w:p w14:paraId="52CF0556" w14:textId="77777777" w:rsidR="00966D3D" w:rsidRDefault="00966D3D" w:rsidP="000442C7">
      <w:pPr>
        <w:spacing w:after="0" w:line="240" w:lineRule="auto"/>
      </w:pPr>
      <w:r>
        <w:continuationSeparator/>
      </w:r>
    </w:p>
  </w:footnote>
  <w:footnote w:id="1">
    <w:p w14:paraId="2BB8BC5F" w14:textId="77777777" w:rsidR="00181439" w:rsidRPr="00661FCE" w:rsidRDefault="00181439">
      <w:pPr>
        <w:pStyle w:val="Testonotaapidipagina"/>
        <w:rPr>
          <w:lang w:val="en-US"/>
        </w:rPr>
      </w:pPr>
      <w:r>
        <w:rPr>
          <w:rStyle w:val="Rimandonotaapidipagina"/>
        </w:rPr>
        <w:footnoteRef/>
      </w:r>
      <w:r w:rsidRPr="00661FCE">
        <w:rPr>
          <w:lang w:val="en-US"/>
        </w:rPr>
        <w:t xml:space="preserve"> </w:t>
      </w:r>
      <w:proofErr w:type="spellStart"/>
      <w:r w:rsidRPr="00661FCE">
        <w:rPr>
          <w:lang w:val="en-US"/>
        </w:rPr>
        <w:t>Asness</w:t>
      </w:r>
      <w:proofErr w:type="spellEnd"/>
      <w:r>
        <w:rPr>
          <w:lang w:val="en-US"/>
        </w:rPr>
        <w:t xml:space="preserve">, </w:t>
      </w:r>
      <w:r w:rsidRPr="00181439">
        <w:rPr>
          <w:lang w:val="en-US"/>
        </w:rPr>
        <w:t>M</w:t>
      </w:r>
      <w:r>
        <w:rPr>
          <w:lang w:val="en-US"/>
        </w:rPr>
        <w:t>oskowitz e Pedersen</w:t>
      </w:r>
      <w:r w:rsidRPr="00661FCE">
        <w:rPr>
          <w:lang w:val="en-US"/>
        </w:rPr>
        <w:t xml:space="preserve"> (201</w:t>
      </w:r>
      <w:r>
        <w:rPr>
          <w:lang w:val="en-US"/>
        </w:rPr>
        <w:t>3</w:t>
      </w:r>
      <w:r w:rsidRPr="00661FCE">
        <w:rPr>
          <w:lang w:val="en-US"/>
        </w:rPr>
        <w:t>)</w:t>
      </w:r>
      <w:r>
        <w:rPr>
          <w:lang w:val="en-US"/>
        </w:rPr>
        <w:t>.</w:t>
      </w:r>
    </w:p>
  </w:footnote>
  <w:footnote w:id="2">
    <w:p w14:paraId="691F644C" w14:textId="77777777" w:rsidR="00181439" w:rsidRPr="00661FCE" w:rsidRDefault="00181439">
      <w:pPr>
        <w:pStyle w:val="Testonotaapidipagina"/>
        <w:rPr>
          <w:lang w:val="en-US"/>
        </w:rPr>
      </w:pPr>
      <w:r>
        <w:rPr>
          <w:rStyle w:val="Rimandonotaapidipagina"/>
        </w:rPr>
        <w:footnoteRef/>
      </w:r>
      <w:r w:rsidRPr="00661FCE">
        <w:rPr>
          <w:lang w:val="en-US"/>
        </w:rPr>
        <w:t xml:space="preserve"> Markowitz (1952, 1959), Sharpe (1964), Lintner (</w:t>
      </w:r>
      <w:hyperlink r:id="rId1" w:tooltip="1965" w:history="1">
        <w:r w:rsidRPr="00661FCE">
          <w:rPr>
            <w:lang w:val="en-US"/>
          </w:rPr>
          <w:t>1965</w:t>
        </w:r>
      </w:hyperlink>
      <w:r w:rsidRPr="00661FCE">
        <w:rPr>
          <w:lang w:val="en-US"/>
        </w:rPr>
        <w:t xml:space="preserve">) e </w:t>
      </w:r>
      <w:proofErr w:type="spellStart"/>
      <w:r w:rsidRPr="00661FCE">
        <w:rPr>
          <w:lang w:val="en-US"/>
        </w:rPr>
        <w:t>Mossin</w:t>
      </w:r>
      <w:proofErr w:type="spellEnd"/>
      <w:r w:rsidRPr="00661FCE">
        <w:rPr>
          <w:lang w:val="en-US"/>
        </w:rPr>
        <w:t xml:space="preserve"> (</w:t>
      </w:r>
      <w:hyperlink r:id="rId2" w:tooltip="1966" w:history="1">
        <w:r w:rsidRPr="00661FCE">
          <w:rPr>
            <w:lang w:val="en-US"/>
          </w:rPr>
          <w:t>1966</w:t>
        </w:r>
      </w:hyperlink>
      <w:r w:rsidRPr="00661FCE">
        <w:rPr>
          <w:lang w:val="en-US"/>
        </w:rPr>
        <w:t xml:space="preserve">), Ross (1976), </w:t>
      </w:r>
      <w:proofErr w:type="spellStart"/>
      <w:r w:rsidRPr="00661FCE">
        <w:rPr>
          <w:lang w:val="en-US"/>
        </w:rPr>
        <w:t>Fama</w:t>
      </w:r>
      <w:proofErr w:type="spellEnd"/>
      <w:r w:rsidRPr="00661FCE">
        <w:rPr>
          <w:lang w:val="en-US"/>
        </w:rPr>
        <w:t xml:space="preserve"> e French (1992).</w:t>
      </w:r>
    </w:p>
  </w:footnote>
  <w:footnote w:id="3">
    <w:p w14:paraId="7457A500" w14:textId="77777777" w:rsidR="00181439" w:rsidRPr="00661FCE" w:rsidRDefault="00181439" w:rsidP="00193366">
      <w:pPr>
        <w:pStyle w:val="Testonotaapidipagina"/>
      </w:pPr>
      <w:r>
        <w:rPr>
          <w:rStyle w:val="Rimandonotaapidipagina"/>
        </w:rPr>
        <w:footnoteRef/>
      </w:r>
      <w:r w:rsidRPr="00661FCE">
        <w:t xml:space="preserve"> Cfr. Sirri e Tufano (1998</w:t>
      </w:r>
      <w:proofErr w:type="gramStart"/>
      <w:r w:rsidRPr="00661FCE">
        <w:t>) ,</w:t>
      </w:r>
      <w:proofErr w:type="gramEnd"/>
      <w:r w:rsidRPr="00661FCE">
        <w:t xml:space="preserve"> </w:t>
      </w:r>
      <w:proofErr w:type="spellStart"/>
      <w:r w:rsidRPr="00661FCE">
        <w:t>Patel</w:t>
      </w:r>
      <w:proofErr w:type="spellEnd"/>
      <w:r w:rsidRPr="00661FCE">
        <w:t xml:space="preserve">, </w:t>
      </w:r>
      <w:proofErr w:type="spellStart"/>
      <w:r w:rsidRPr="00661FCE">
        <w:t>Zeckhauser</w:t>
      </w:r>
      <w:proofErr w:type="spellEnd"/>
      <w:r w:rsidRPr="00661FCE">
        <w:t xml:space="preserve"> e </w:t>
      </w:r>
      <w:proofErr w:type="spellStart"/>
      <w:r w:rsidRPr="00661FCE">
        <w:t>Hendricks</w:t>
      </w:r>
      <w:proofErr w:type="spellEnd"/>
      <w:r w:rsidRPr="00661FCE">
        <w:t xml:space="preserve"> (1996).</w:t>
      </w:r>
    </w:p>
  </w:footnote>
  <w:footnote w:id="4">
    <w:p w14:paraId="6161F8B2" w14:textId="77777777" w:rsidR="00181439" w:rsidRPr="00C55C14" w:rsidRDefault="00181439" w:rsidP="008F758F">
      <w:pPr>
        <w:pStyle w:val="Testonotaapidipagina"/>
      </w:pPr>
      <w:r>
        <w:rPr>
          <w:rStyle w:val="Rimandonotaapidipagina"/>
        </w:rPr>
        <w:footnoteRef/>
      </w:r>
      <w:r w:rsidRPr="00C55C14">
        <w:t xml:space="preserve"> </w:t>
      </w:r>
      <w:proofErr w:type="spellStart"/>
      <w:r w:rsidRPr="00C55C14">
        <w:t>Brinson</w:t>
      </w:r>
      <w:proofErr w:type="spellEnd"/>
      <w:r w:rsidRPr="00C55C14">
        <w:t xml:space="preserve">, Hood e </w:t>
      </w:r>
      <w:proofErr w:type="spellStart"/>
      <w:r w:rsidRPr="00C55C14">
        <w:t>Beebower</w:t>
      </w:r>
      <w:proofErr w:type="spellEnd"/>
      <w:r w:rsidRPr="00C55C14">
        <w:t>, 1986.</w:t>
      </w:r>
    </w:p>
  </w:footnote>
  <w:footnote w:id="5">
    <w:p w14:paraId="068E9CB5" w14:textId="77777777" w:rsidR="00181439" w:rsidRDefault="00181439">
      <w:pPr>
        <w:pStyle w:val="Testonotaapidipagina"/>
      </w:pPr>
      <w:r>
        <w:rPr>
          <w:rStyle w:val="Rimandonotaapidipagina"/>
        </w:rPr>
        <w:footnoteRef/>
      </w:r>
      <w:r>
        <w:t xml:space="preserve"> I fondi classificati da Assogestioni come obbligazionari flessibili erano</w:t>
      </w:r>
      <w:r w:rsidR="004A2543">
        <w:t>,</w:t>
      </w:r>
      <w:r>
        <w:t xml:space="preserve"> a fine 2009</w:t>
      </w:r>
      <w:r w:rsidR="004A2543">
        <w:t>,</w:t>
      </w:r>
      <w:r>
        <w:t xml:space="preserve"> meno di 100; a</w:t>
      </w:r>
      <w:r w:rsidR="004A2543">
        <w:t xml:space="preserve">lla </w:t>
      </w:r>
      <w:r>
        <w:t xml:space="preserve">fine </w:t>
      </w:r>
      <w:r w:rsidR="004A2543">
        <w:t xml:space="preserve">del </w:t>
      </w:r>
      <w:r>
        <w:t xml:space="preserve">III Trimestre 2019 </w:t>
      </w:r>
      <w:r w:rsidR="004A2543">
        <w:t xml:space="preserve">(ultimo dato disponibile) </w:t>
      </w:r>
      <w:r>
        <w:t>sono oltre 300.</w:t>
      </w:r>
    </w:p>
  </w:footnote>
  <w:footnote w:id="6">
    <w:p w14:paraId="281E8FA4" w14:textId="716FC103" w:rsidR="00181439" w:rsidRDefault="00181439" w:rsidP="0098276A">
      <w:pPr>
        <w:pStyle w:val="Testonotaapidipagina"/>
        <w:jc w:val="both"/>
      </w:pPr>
      <w:r>
        <w:rPr>
          <w:rStyle w:val="Rimandonotaapidipagina"/>
        </w:rPr>
        <w:footnoteRef/>
      </w:r>
      <w:r>
        <w:t xml:space="preserve"> Le nostre elaborazioni su dati </w:t>
      </w:r>
      <w:proofErr w:type="spellStart"/>
      <w:r>
        <w:t>Quantalys</w:t>
      </w:r>
      <w:proofErr w:type="spellEnd"/>
      <w:r>
        <w:t xml:space="preserve"> suggeriscono che i fondi </w:t>
      </w:r>
      <w:r w:rsidRPr="00C27EE0">
        <w:rPr>
          <w:i/>
        </w:rPr>
        <w:t>retail</w:t>
      </w:r>
      <w:r>
        <w:t xml:space="preserve"> delle categorie “Flessibili Globale” e “Flessibili Prudenti Globale” presentano commissioni di gestione</w:t>
      </w:r>
      <w:r w:rsidR="00E710EE">
        <w:t xml:space="preserve"> medie</w:t>
      </w:r>
      <w:r>
        <w:t xml:space="preserve"> rispettivamente pari a 1,39% e 1,24%. I fondi azionari (sempre </w:t>
      </w:r>
      <w:r w:rsidRPr="00C27EE0">
        <w:rPr>
          <w:i/>
        </w:rPr>
        <w:t>retail</w:t>
      </w:r>
      <w:r>
        <w:t xml:space="preserve">) si caratterizzano per una commissione di gestione media </w:t>
      </w:r>
      <w:r w:rsidR="004A2543">
        <w:t>pari a</w:t>
      </w:r>
      <w:r>
        <w:t xml:space="preserve">ll’1,50%, mentre i fondi obbligazionari </w:t>
      </w:r>
      <w:r w:rsidR="004A2543">
        <w:t>dell’</w:t>
      </w:r>
      <w:r>
        <w:t xml:space="preserve">area Euro </w:t>
      </w:r>
      <w:r w:rsidR="004A2543">
        <w:t>presentano una commissione di gestione media pari all</w:t>
      </w:r>
      <w:r>
        <w:t xml:space="preserve">o 0,86%. </w:t>
      </w:r>
    </w:p>
  </w:footnote>
  <w:footnote w:id="7">
    <w:p w14:paraId="37794FC9" w14:textId="77777777" w:rsidR="00181439" w:rsidRDefault="00181439">
      <w:pPr>
        <w:pStyle w:val="Testonotaapidipagina"/>
      </w:pPr>
      <w:r>
        <w:rPr>
          <w:rStyle w:val="Rimandonotaapidipagina"/>
        </w:rPr>
        <w:footnoteRef/>
      </w:r>
      <w:r>
        <w:t xml:space="preserve"> In termini di </w:t>
      </w:r>
      <w:proofErr w:type="spellStart"/>
      <w:r>
        <w:t>AuM</w:t>
      </w:r>
      <w:proofErr w:type="spellEnd"/>
      <w:r>
        <w:t xml:space="preserve"> della loro</w:t>
      </w:r>
      <w:r w:rsidRPr="00CE5F85">
        <w:t xml:space="preserve"> classe principale</w:t>
      </w:r>
      <w:r>
        <w:t>.</w:t>
      </w:r>
    </w:p>
  </w:footnote>
  <w:footnote w:id="8">
    <w:p w14:paraId="43F69741" w14:textId="77777777" w:rsidR="00181439" w:rsidRPr="008D06C4" w:rsidRDefault="00181439" w:rsidP="008D06C4">
      <w:pPr>
        <w:pStyle w:val="Testonotaapidipagina"/>
        <w:jc w:val="both"/>
      </w:pPr>
      <w:r>
        <w:rPr>
          <w:rStyle w:val="Rimandonotaapidipagina"/>
        </w:rPr>
        <w:footnoteRef/>
      </w:r>
      <w:r>
        <w:t xml:space="preserve"> Sulla incapacità dei fondi di implementare strategie tattiche, </w:t>
      </w:r>
      <w:r w:rsidR="00CD396F">
        <w:t xml:space="preserve">cfr. </w:t>
      </w:r>
      <w:proofErr w:type="spellStart"/>
      <w:r>
        <w:t>Treynor</w:t>
      </w:r>
      <w:proofErr w:type="spellEnd"/>
      <w:r>
        <w:t xml:space="preserve"> e </w:t>
      </w:r>
      <w:proofErr w:type="spellStart"/>
      <w:r>
        <w:t>Mazuy</w:t>
      </w:r>
      <w:proofErr w:type="spellEnd"/>
      <w:r>
        <w:t xml:space="preserve"> (1966), </w:t>
      </w:r>
      <w:proofErr w:type="spellStart"/>
      <w:r>
        <w:t>Henriksson</w:t>
      </w:r>
      <w:proofErr w:type="spellEnd"/>
      <w:r>
        <w:t xml:space="preserve"> and Merton (1981), </w:t>
      </w:r>
      <w:bookmarkStart w:id="4" w:name="OLE_LINK163"/>
      <w:bookmarkStart w:id="5" w:name="OLE_LINK164"/>
      <w:proofErr w:type="spellStart"/>
      <w:r w:rsidRPr="008D06C4">
        <w:t>Grinblatt</w:t>
      </w:r>
      <w:bookmarkEnd w:id="4"/>
      <w:bookmarkEnd w:id="5"/>
      <w:proofErr w:type="spellEnd"/>
      <w:r w:rsidRPr="008D06C4">
        <w:t xml:space="preserve"> and </w:t>
      </w:r>
      <w:proofErr w:type="spellStart"/>
      <w:r w:rsidRPr="008D06C4">
        <w:t>Titman</w:t>
      </w:r>
      <w:proofErr w:type="spellEnd"/>
      <w:r w:rsidRPr="008D06C4">
        <w:t xml:space="preserve"> (1989)</w:t>
      </w:r>
      <w:r>
        <w:t>.</w:t>
      </w:r>
    </w:p>
  </w:footnote>
  <w:footnote w:id="9">
    <w:p w14:paraId="66156C28" w14:textId="77777777" w:rsidR="00181439" w:rsidRDefault="00181439" w:rsidP="00E160A1">
      <w:pPr>
        <w:pStyle w:val="Testonotaapidipagina"/>
        <w:jc w:val="both"/>
      </w:pPr>
      <w:r>
        <w:rPr>
          <w:rStyle w:val="Rimandonotaapidipagina"/>
        </w:rPr>
        <w:footnoteRef/>
      </w:r>
      <w:r>
        <w:t xml:space="preserve"> Tuttavia, nell’ambito della letteratura non mancano le evidenze empiriche (</w:t>
      </w:r>
      <w:proofErr w:type="spellStart"/>
      <w:r>
        <w:t>Pesaran</w:t>
      </w:r>
      <w:proofErr w:type="spellEnd"/>
      <w:r>
        <w:t xml:space="preserve"> e </w:t>
      </w:r>
      <w:proofErr w:type="spellStart"/>
      <w:r>
        <w:t>Timmermann</w:t>
      </w:r>
      <w:proofErr w:type="spellEnd"/>
      <w:r>
        <w:t xml:space="preserve"> 1994, 2000 e Ang e </w:t>
      </w:r>
      <w:proofErr w:type="spellStart"/>
      <w:r>
        <w:t>Bekaert</w:t>
      </w:r>
      <w:proofErr w:type="spellEnd"/>
      <w:r>
        <w:t xml:space="preserve"> 2007) che mostrano la capacità di produrre rendimenti “</w:t>
      </w:r>
      <w:proofErr w:type="spellStart"/>
      <w:r>
        <w:t>abnormal</w:t>
      </w:r>
      <w:proofErr w:type="spellEnd"/>
      <w:r>
        <w:t xml:space="preserve">” mediante strategie di </w:t>
      </w:r>
      <w:r w:rsidRPr="00CD396F">
        <w:rPr>
          <w:i/>
        </w:rPr>
        <w:t>market timing</w:t>
      </w:r>
      <w:r>
        <w:t>.</w:t>
      </w:r>
    </w:p>
  </w:footnote>
  <w:footnote w:id="10">
    <w:p w14:paraId="5EE328AD" w14:textId="32807A1A" w:rsidR="004311CB" w:rsidRDefault="004311CB">
      <w:pPr>
        <w:pStyle w:val="Testonotaapidipagina"/>
      </w:pPr>
      <w:r>
        <w:rPr>
          <w:rStyle w:val="Rimandonotaapidipagina"/>
        </w:rPr>
        <w:footnoteRef/>
      </w:r>
      <w:r>
        <w:t xml:space="preserve"> </w:t>
      </w:r>
      <w:proofErr w:type="spellStart"/>
      <w:r>
        <w:t>Sharpe</w:t>
      </w:r>
      <w:proofErr w:type="spellEnd"/>
      <w:r>
        <w:t xml:space="preserve"> (1988)</w:t>
      </w:r>
      <w:r w:rsidR="00E03B9F">
        <w:t>.</w:t>
      </w:r>
    </w:p>
  </w:footnote>
  <w:footnote w:id="11">
    <w:p w14:paraId="4B9C4F23" w14:textId="77777777" w:rsidR="00181439" w:rsidRDefault="00181439" w:rsidP="004A6A7A">
      <w:pPr>
        <w:pStyle w:val="Testonotaapidipagina"/>
        <w:jc w:val="both"/>
      </w:pPr>
      <w:r>
        <w:rPr>
          <w:rStyle w:val="Rimandonotaapidipagina"/>
        </w:rPr>
        <w:footnoteRef/>
      </w:r>
      <w:r>
        <w:t xml:space="preserve"> Il vantaggio di questa scelta risiede soprattutto nel fatto di poter, in fase di valutazione ex-post, comparare la performance dei fondi flessibili selezionati con il comportamento medio del comparto flessibile nel suo complesso.</w:t>
      </w:r>
    </w:p>
  </w:footnote>
  <w:footnote w:id="12">
    <w:p w14:paraId="4694C6D5" w14:textId="77777777" w:rsidR="00181439" w:rsidRDefault="00181439">
      <w:pPr>
        <w:pStyle w:val="Testonotaapidipagina"/>
      </w:pPr>
      <w:r>
        <w:rPr>
          <w:rStyle w:val="Rimandonotaapidipagina"/>
        </w:rPr>
        <w:footnoteRef/>
      </w:r>
      <w:r>
        <w:t xml:space="preserve"> Per ragioni di privacy non ci è possibile dare </w:t>
      </w:r>
      <w:proofErr w:type="spellStart"/>
      <w:r w:rsidRPr="002C4F4C">
        <w:rPr>
          <w:i/>
        </w:rPr>
        <w:t>discosure</w:t>
      </w:r>
      <w:proofErr w:type="spellEnd"/>
      <w:r>
        <w:t xml:space="preserve"> della identità dell’istituzione finanziaria.</w:t>
      </w:r>
    </w:p>
  </w:footnote>
  <w:footnote w:id="13">
    <w:p w14:paraId="577CA5E7" w14:textId="45491BEA" w:rsidR="007D7216" w:rsidRDefault="007D7216">
      <w:pPr>
        <w:pStyle w:val="Testonotaapidipagina"/>
      </w:pPr>
      <w:r>
        <w:rPr>
          <w:rStyle w:val="Rimandonotaapidipagina"/>
        </w:rPr>
        <w:footnoteRef/>
      </w:r>
      <w:r>
        <w:t xml:space="preserve"> La composizione </w:t>
      </w:r>
      <w:proofErr w:type="gramStart"/>
      <w:r>
        <w:t>infra-gruppo</w:t>
      </w:r>
      <w:proofErr w:type="gramEnd"/>
      <w:r>
        <w:t xml:space="preserve"> della componente obbligazionaria è la seguente: </w:t>
      </w:r>
    </w:p>
    <w:p w14:paraId="24B808FF" w14:textId="647A2C43" w:rsidR="00D10111" w:rsidRDefault="00D10111" w:rsidP="00D10111">
      <w:pPr>
        <w:pStyle w:val="Testonotaapidipagina"/>
        <w:jc w:val="center"/>
      </w:pPr>
      <w:r w:rsidRPr="00D10111">
        <w:rPr>
          <w:noProof/>
        </w:rPr>
        <w:drawing>
          <wp:inline distT="0" distB="0" distL="0" distR="0" wp14:anchorId="7117F91A" wp14:editId="5808BE12">
            <wp:extent cx="1964366" cy="7683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69364" cy="770305"/>
                    </a:xfrm>
                    <a:prstGeom prst="rect">
                      <a:avLst/>
                    </a:prstGeom>
                    <a:noFill/>
                    <a:ln>
                      <a:noFill/>
                    </a:ln>
                  </pic:spPr>
                </pic:pic>
              </a:graphicData>
            </a:graphic>
          </wp:inline>
        </w:drawing>
      </w:r>
    </w:p>
  </w:footnote>
  <w:footnote w:id="14">
    <w:p w14:paraId="549CC068" w14:textId="77777777" w:rsidR="00181439" w:rsidRDefault="00181439" w:rsidP="0008644E">
      <w:pPr>
        <w:pStyle w:val="Testonotaapidipagina"/>
        <w:jc w:val="both"/>
      </w:pPr>
      <w:r>
        <w:rPr>
          <w:rStyle w:val="Rimandonotaapidipagina"/>
        </w:rPr>
        <w:footnoteRef/>
      </w:r>
      <w:r>
        <w:t xml:space="preserve"> Gli indici di mercato utilizzati sono: JPM Euro Cash</w:t>
      </w:r>
      <w:r w:rsidR="00492581">
        <w:t xml:space="preserve"> 3 </w:t>
      </w:r>
      <w:proofErr w:type="spellStart"/>
      <w:r w:rsidR="00492581">
        <w:t>Months</w:t>
      </w:r>
      <w:proofErr w:type="spellEnd"/>
      <w:r>
        <w:t xml:space="preserve">, </w:t>
      </w:r>
      <w:r w:rsidRPr="0008644E">
        <w:t xml:space="preserve">JPM </w:t>
      </w:r>
      <w:proofErr w:type="spellStart"/>
      <w:r w:rsidRPr="0008644E">
        <w:t>EMu</w:t>
      </w:r>
      <w:proofErr w:type="spellEnd"/>
      <w:r w:rsidRPr="0008644E">
        <w:t xml:space="preserve"> </w:t>
      </w:r>
      <w:proofErr w:type="spellStart"/>
      <w:r w:rsidRPr="0008644E">
        <w:t>Gov</w:t>
      </w:r>
      <w:proofErr w:type="spellEnd"/>
      <w:r w:rsidRPr="0008644E">
        <w:t xml:space="preserve">. </w:t>
      </w:r>
      <w:proofErr w:type="spellStart"/>
      <w:r w:rsidRPr="0008644E">
        <w:t>All</w:t>
      </w:r>
      <w:proofErr w:type="spellEnd"/>
      <w:r w:rsidRPr="0008644E">
        <w:t xml:space="preserve"> </w:t>
      </w:r>
      <w:proofErr w:type="spellStart"/>
      <w:r w:rsidRPr="0008644E">
        <w:t>Maturities</w:t>
      </w:r>
      <w:proofErr w:type="spellEnd"/>
      <w:r>
        <w:t xml:space="preserve">, </w:t>
      </w:r>
      <w:r w:rsidRPr="0008644E">
        <w:t xml:space="preserve">JPM Global </w:t>
      </w:r>
      <w:proofErr w:type="spellStart"/>
      <w:r w:rsidRPr="0008644E">
        <w:t>Gov</w:t>
      </w:r>
      <w:proofErr w:type="spellEnd"/>
      <w:r w:rsidRPr="0008644E">
        <w:t>. Bond</w:t>
      </w:r>
      <w:r>
        <w:t xml:space="preserve">, </w:t>
      </w:r>
      <w:r w:rsidRPr="0008644E">
        <w:t xml:space="preserve">ICE </w:t>
      </w:r>
      <w:proofErr w:type="spellStart"/>
      <w:r w:rsidRPr="0008644E">
        <w:t>BofAML</w:t>
      </w:r>
      <w:proofErr w:type="spellEnd"/>
      <w:r w:rsidRPr="0008644E">
        <w:t xml:space="preserve"> Global High Yield</w:t>
      </w:r>
      <w:r>
        <w:t xml:space="preserve">, </w:t>
      </w:r>
      <w:r w:rsidRPr="0008644E">
        <w:t>JPM EMBI Global</w:t>
      </w:r>
      <w:r>
        <w:t xml:space="preserve">, </w:t>
      </w:r>
      <w:r w:rsidRPr="0008644E">
        <w:t xml:space="preserve">ICE </w:t>
      </w:r>
      <w:proofErr w:type="spellStart"/>
      <w:r w:rsidRPr="0008644E">
        <w:t>BofAML</w:t>
      </w:r>
      <w:proofErr w:type="spellEnd"/>
      <w:r w:rsidRPr="0008644E">
        <w:t xml:space="preserve"> Global Large Cap Corporate</w:t>
      </w:r>
      <w:r>
        <w:t xml:space="preserve">, MSCI Europe, MSCI Nord America, MSCI Pacifico e MSCI </w:t>
      </w:r>
      <w:proofErr w:type="spellStart"/>
      <w:r>
        <w:t>Emerging</w:t>
      </w:r>
      <w:proofErr w:type="spellEnd"/>
      <w:r>
        <w:t xml:space="preserve"> Markets. Le serie storiche sono di fonte </w:t>
      </w:r>
      <w:r w:rsidRPr="0008644E">
        <w:rPr>
          <w:i/>
        </w:rPr>
        <w:t xml:space="preserve">Thomson Reuters </w:t>
      </w:r>
      <w:proofErr w:type="spellStart"/>
      <w:r w:rsidRPr="0008644E">
        <w:rPr>
          <w:i/>
        </w:rPr>
        <w:t>Datastream</w:t>
      </w:r>
      <w:proofErr w:type="spellEnd"/>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E2C6B"/>
    <w:multiLevelType w:val="hybridMultilevel"/>
    <w:tmpl w:val="EFECEEE4"/>
    <w:lvl w:ilvl="0" w:tplc="2EF27F0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A1F129E"/>
    <w:multiLevelType w:val="hybridMultilevel"/>
    <w:tmpl w:val="E7262646"/>
    <w:lvl w:ilvl="0" w:tplc="3FCE563E">
      <w:start w:val="1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F44E02"/>
    <w:multiLevelType w:val="hybridMultilevel"/>
    <w:tmpl w:val="B5FE7E26"/>
    <w:lvl w:ilvl="0" w:tplc="CA7A506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C9B473A"/>
    <w:multiLevelType w:val="hybridMultilevel"/>
    <w:tmpl w:val="1C3CAE72"/>
    <w:lvl w:ilvl="0" w:tplc="A7B2FDB8">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61DA"/>
    <w:rsid w:val="00001030"/>
    <w:rsid w:val="00001C9F"/>
    <w:rsid w:val="00002AC4"/>
    <w:rsid w:val="00002BCB"/>
    <w:rsid w:val="00003283"/>
    <w:rsid w:val="0000355E"/>
    <w:rsid w:val="000035C9"/>
    <w:rsid w:val="00003D21"/>
    <w:rsid w:val="00004097"/>
    <w:rsid w:val="0000465A"/>
    <w:rsid w:val="00004B58"/>
    <w:rsid w:val="000055C2"/>
    <w:rsid w:val="0000599F"/>
    <w:rsid w:val="00005A35"/>
    <w:rsid w:val="00005CAA"/>
    <w:rsid w:val="0000650F"/>
    <w:rsid w:val="00006702"/>
    <w:rsid w:val="00006D23"/>
    <w:rsid w:val="0000714A"/>
    <w:rsid w:val="00007B44"/>
    <w:rsid w:val="00007C3E"/>
    <w:rsid w:val="00007C61"/>
    <w:rsid w:val="00007DE3"/>
    <w:rsid w:val="00007E96"/>
    <w:rsid w:val="00007F55"/>
    <w:rsid w:val="0001062B"/>
    <w:rsid w:val="000106CA"/>
    <w:rsid w:val="00010745"/>
    <w:rsid w:val="0001188D"/>
    <w:rsid w:val="000118B4"/>
    <w:rsid w:val="00012334"/>
    <w:rsid w:val="000128C4"/>
    <w:rsid w:val="00012A2A"/>
    <w:rsid w:val="00012DCF"/>
    <w:rsid w:val="00014077"/>
    <w:rsid w:val="00014243"/>
    <w:rsid w:val="000142FD"/>
    <w:rsid w:val="00014820"/>
    <w:rsid w:val="00014924"/>
    <w:rsid w:val="000149DA"/>
    <w:rsid w:val="00014CDF"/>
    <w:rsid w:val="00014FE4"/>
    <w:rsid w:val="00015C38"/>
    <w:rsid w:val="00015E00"/>
    <w:rsid w:val="0001629B"/>
    <w:rsid w:val="00016B7C"/>
    <w:rsid w:val="0001731F"/>
    <w:rsid w:val="000176BF"/>
    <w:rsid w:val="00021081"/>
    <w:rsid w:val="000211CA"/>
    <w:rsid w:val="00021221"/>
    <w:rsid w:val="00021524"/>
    <w:rsid w:val="00021594"/>
    <w:rsid w:val="00021617"/>
    <w:rsid w:val="00021AF0"/>
    <w:rsid w:val="000224C6"/>
    <w:rsid w:val="00022904"/>
    <w:rsid w:val="00023E74"/>
    <w:rsid w:val="000240F8"/>
    <w:rsid w:val="00024532"/>
    <w:rsid w:val="00024758"/>
    <w:rsid w:val="00024C10"/>
    <w:rsid w:val="0002501C"/>
    <w:rsid w:val="000252E8"/>
    <w:rsid w:val="00025D76"/>
    <w:rsid w:val="000262E6"/>
    <w:rsid w:val="000264E5"/>
    <w:rsid w:val="00026770"/>
    <w:rsid w:val="00027209"/>
    <w:rsid w:val="00027B97"/>
    <w:rsid w:val="00030043"/>
    <w:rsid w:val="00030812"/>
    <w:rsid w:val="00030C06"/>
    <w:rsid w:val="00030FC1"/>
    <w:rsid w:val="00031048"/>
    <w:rsid w:val="000314CD"/>
    <w:rsid w:val="00031914"/>
    <w:rsid w:val="00031A23"/>
    <w:rsid w:val="00031BB4"/>
    <w:rsid w:val="00031D69"/>
    <w:rsid w:val="0003203F"/>
    <w:rsid w:val="000324EB"/>
    <w:rsid w:val="00033639"/>
    <w:rsid w:val="00033A3A"/>
    <w:rsid w:val="00033A53"/>
    <w:rsid w:val="00033CFE"/>
    <w:rsid w:val="00033FE1"/>
    <w:rsid w:val="0003436D"/>
    <w:rsid w:val="0003485D"/>
    <w:rsid w:val="00035428"/>
    <w:rsid w:val="0003553A"/>
    <w:rsid w:val="00035DF3"/>
    <w:rsid w:val="00035F88"/>
    <w:rsid w:val="00035F9D"/>
    <w:rsid w:val="0003655F"/>
    <w:rsid w:val="000366B3"/>
    <w:rsid w:val="0003693D"/>
    <w:rsid w:val="00037D54"/>
    <w:rsid w:val="000405EA"/>
    <w:rsid w:val="00040B8B"/>
    <w:rsid w:val="00041078"/>
    <w:rsid w:val="00041A28"/>
    <w:rsid w:val="000425F0"/>
    <w:rsid w:val="00042E18"/>
    <w:rsid w:val="0004352F"/>
    <w:rsid w:val="0004386B"/>
    <w:rsid w:val="0004404F"/>
    <w:rsid w:val="000442C7"/>
    <w:rsid w:val="000443D4"/>
    <w:rsid w:val="00044D28"/>
    <w:rsid w:val="000452FD"/>
    <w:rsid w:val="000453D3"/>
    <w:rsid w:val="00045631"/>
    <w:rsid w:val="000456A5"/>
    <w:rsid w:val="00045A9B"/>
    <w:rsid w:val="0004647D"/>
    <w:rsid w:val="000470FE"/>
    <w:rsid w:val="00047AD0"/>
    <w:rsid w:val="00047E3D"/>
    <w:rsid w:val="0005012A"/>
    <w:rsid w:val="00050853"/>
    <w:rsid w:val="00050939"/>
    <w:rsid w:val="0005093C"/>
    <w:rsid w:val="000513ED"/>
    <w:rsid w:val="00051749"/>
    <w:rsid w:val="00051B48"/>
    <w:rsid w:val="000528A5"/>
    <w:rsid w:val="000529BA"/>
    <w:rsid w:val="00053127"/>
    <w:rsid w:val="0005316A"/>
    <w:rsid w:val="00053735"/>
    <w:rsid w:val="0005508E"/>
    <w:rsid w:val="000551BB"/>
    <w:rsid w:val="0005533F"/>
    <w:rsid w:val="0005573C"/>
    <w:rsid w:val="00055AE6"/>
    <w:rsid w:val="00055D57"/>
    <w:rsid w:val="00055FBB"/>
    <w:rsid w:val="0005672A"/>
    <w:rsid w:val="00057F6B"/>
    <w:rsid w:val="00060371"/>
    <w:rsid w:val="000604AC"/>
    <w:rsid w:val="00060E0F"/>
    <w:rsid w:val="000612D1"/>
    <w:rsid w:val="000616D1"/>
    <w:rsid w:val="00061EB8"/>
    <w:rsid w:val="00062643"/>
    <w:rsid w:val="0006268B"/>
    <w:rsid w:val="00063141"/>
    <w:rsid w:val="000631DC"/>
    <w:rsid w:val="000635B6"/>
    <w:rsid w:val="000639D2"/>
    <w:rsid w:val="000645D5"/>
    <w:rsid w:val="0006473C"/>
    <w:rsid w:val="000647AB"/>
    <w:rsid w:val="000649F5"/>
    <w:rsid w:val="00065360"/>
    <w:rsid w:val="00065AB7"/>
    <w:rsid w:val="00066608"/>
    <w:rsid w:val="00066F4E"/>
    <w:rsid w:val="00066FBE"/>
    <w:rsid w:val="0006749B"/>
    <w:rsid w:val="00067AE4"/>
    <w:rsid w:val="00067D55"/>
    <w:rsid w:val="0007019A"/>
    <w:rsid w:val="000703B2"/>
    <w:rsid w:val="00070DC9"/>
    <w:rsid w:val="00070FBD"/>
    <w:rsid w:val="000710C6"/>
    <w:rsid w:val="00071410"/>
    <w:rsid w:val="000721DF"/>
    <w:rsid w:val="00072558"/>
    <w:rsid w:val="00073CC6"/>
    <w:rsid w:val="000743F5"/>
    <w:rsid w:val="000750D5"/>
    <w:rsid w:val="00075540"/>
    <w:rsid w:val="00075AC2"/>
    <w:rsid w:val="00075B4C"/>
    <w:rsid w:val="000760B3"/>
    <w:rsid w:val="0007664E"/>
    <w:rsid w:val="00076D7E"/>
    <w:rsid w:val="00077139"/>
    <w:rsid w:val="000774ED"/>
    <w:rsid w:val="000775A3"/>
    <w:rsid w:val="00080213"/>
    <w:rsid w:val="00080AA4"/>
    <w:rsid w:val="00080B91"/>
    <w:rsid w:val="000819F4"/>
    <w:rsid w:val="00081A97"/>
    <w:rsid w:val="00081F85"/>
    <w:rsid w:val="00082549"/>
    <w:rsid w:val="00082EA7"/>
    <w:rsid w:val="0008338D"/>
    <w:rsid w:val="00083A95"/>
    <w:rsid w:val="00083E79"/>
    <w:rsid w:val="0008469F"/>
    <w:rsid w:val="00084D95"/>
    <w:rsid w:val="0008504C"/>
    <w:rsid w:val="00085143"/>
    <w:rsid w:val="00085182"/>
    <w:rsid w:val="00085593"/>
    <w:rsid w:val="000857E5"/>
    <w:rsid w:val="00085A4C"/>
    <w:rsid w:val="00085A8B"/>
    <w:rsid w:val="00085F4A"/>
    <w:rsid w:val="0008644E"/>
    <w:rsid w:val="00086BB7"/>
    <w:rsid w:val="00087400"/>
    <w:rsid w:val="00087620"/>
    <w:rsid w:val="00087DC1"/>
    <w:rsid w:val="00090021"/>
    <w:rsid w:val="00090717"/>
    <w:rsid w:val="0009099A"/>
    <w:rsid w:val="00090A0D"/>
    <w:rsid w:val="00090DD2"/>
    <w:rsid w:val="00090E96"/>
    <w:rsid w:val="00091762"/>
    <w:rsid w:val="000917AC"/>
    <w:rsid w:val="000925A1"/>
    <w:rsid w:val="00092CDD"/>
    <w:rsid w:val="000945A7"/>
    <w:rsid w:val="00095829"/>
    <w:rsid w:val="00095F4D"/>
    <w:rsid w:val="000961AC"/>
    <w:rsid w:val="00096B60"/>
    <w:rsid w:val="00096C59"/>
    <w:rsid w:val="00096E9C"/>
    <w:rsid w:val="000971A5"/>
    <w:rsid w:val="0009738B"/>
    <w:rsid w:val="000A01C9"/>
    <w:rsid w:val="000A04A1"/>
    <w:rsid w:val="000A0583"/>
    <w:rsid w:val="000A05BB"/>
    <w:rsid w:val="000A0615"/>
    <w:rsid w:val="000A09C4"/>
    <w:rsid w:val="000A0DE4"/>
    <w:rsid w:val="000A17BC"/>
    <w:rsid w:val="000A1B53"/>
    <w:rsid w:val="000A1D3B"/>
    <w:rsid w:val="000A1EDC"/>
    <w:rsid w:val="000A2AA6"/>
    <w:rsid w:val="000A2BB3"/>
    <w:rsid w:val="000A3938"/>
    <w:rsid w:val="000A417F"/>
    <w:rsid w:val="000A4662"/>
    <w:rsid w:val="000A4A4B"/>
    <w:rsid w:val="000A4C68"/>
    <w:rsid w:val="000A515D"/>
    <w:rsid w:val="000A53FC"/>
    <w:rsid w:val="000A5786"/>
    <w:rsid w:val="000A57DB"/>
    <w:rsid w:val="000A598A"/>
    <w:rsid w:val="000A6161"/>
    <w:rsid w:val="000A6368"/>
    <w:rsid w:val="000A6385"/>
    <w:rsid w:val="000A679F"/>
    <w:rsid w:val="000A6F74"/>
    <w:rsid w:val="000A71B8"/>
    <w:rsid w:val="000A741C"/>
    <w:rsid w:val="000A7747"/>
    <w:rsid w:val="000A7826"/>
    <w:rsid w:val="000B066D"/>
    <w:rsid w:val="000B11B3"/>
    <w:rsid w:val="000B16D9"/>
    <w:rsid w:val="000B37B1"/>
    <w:rsid w:val="000B3CA1"/>
    <w:rsid w:val="000B44DA"/>
    <w:rsid w:val="000B493F"/>
    <w:rsid w:val="000B4BA7"/>
    <w:rsid w:val="000B4CC2"/>
    <w:rsid w:val="000B4E4F"/>
    <w:rsid w:val="000B52DE"/>
    <w:rsid w:val="000B560C"/>
    <w:rsid w:val="000B5732"/>
    <w:rsid w:val="000B62C9"/>
    <w:rsid w:val="000B6A70"/>
    <w:rsid w:val="000B6CDC"/>
    <w:rsid w:val="000B71A5"/>
    <w:rsid w:val="000C04C5"/>
    <w:rsid w:val="000C0790"/>
    <w:rsid w:val="000C0B08"/>
    <w:rsid w:val="000C134B"/>
    <w:rsid w:val="000C2B23"/>
    <w:rsid w:val="000C3750"/>
    <w:rsid w:val="000C3948"/>
    <w:rsid w:val="000C39E7"/>
    <w:rsid w:val="000C3AE5"/>
    <w:rsid w:val="000C3BD8"/>
    <w:rsid w:val="000C4227"/>
    <w:rsid w:val="000C434B"/>
    <w:rsid w:val="000C452C"/>
    <w:rsid w:val="000C4583"/>
    <w:rsid w:val="000C47FA"/>
    <w:rsid w:val="000C4B35"/>
    <w:rsid w:val="000C58A1"/>
    <w:rsid w:val="000C5E51"/>
    <w:rsid w:val="000C650A"/>
    <w:rsid w:val="000C6761"/>
    <w:rsid w:val="000C6C7A"/>
    <w:rsid w:val="000C6E4F"/>
    <w:rsid w:val="000C6E70"/>
    <w:rsid w:val="000D0331"/>
    <w:rsid w:val="000D0470"/>
    <w:rsid w:val="000D0931"/>
    <w:rsid w:val="000D098C"/>
    <w:rsid w:val="000D1588"/>
    <w:rsid w:val="000D1CAB"/>
    <w:rsid w:val="000D2BFA"/>
    <w:rsid w:val="000D2C93"/>
    <w:rsid w:val="000D326F"/>
    <w:rsid w:val="000D3399"/>
    <w:rsid w:val="000D33FD"/>
    <w:rsid w:val="000D3BA7"/>
    <w:rsid w:val="000D45E7"/>
    <w:rsid w:val="000D48AE"/>
    <w:rsid w:val="000D4AFC"/>
    <w:rsid w:val="000D4CAD"/>
    <w:rsid w:val="000D573E"/>
    <w:rsid w:val="000D583E"/>
    <w:rsid w:val="000D58E6"/>
    <w:rsid w:val="000D6577"/>
    <w:rsid w:val="000D6EEF"/>
    <w:rsid w:val="000D73E6"/>
    <w:rsid w:val="000E00ED"/>
    <w:rsid w:val="000E1018"/>
    <w:rsid w:val="000E16D5"/>
    <w:rsid w:val="000E1AF3"/>
    <w:rsid w:val="000E232A"/>
    <w:rsid w:val="000E2CF8"/>
    <w:rsid w:val="000E3630"/>
    <w:rsid w:val="000E381A"/>
    <w:rsid w:val="000E3D2B"/>
    <w:rsid w:val="000E3EC0"/>
    <w:rsid w:val="000E4357"/>
    <w:rsid w:val="000E4617"/>
    <w:rsid w:val="000E46C9"/>
    <w:rsid w:val="000E4775"/>
    <w:rsid w:val="000E55A8"/>
    <w:rsid w:val="000E5CDF"/>
    <w:rsid w:val="000E62D5"/>
    <w:rsid w:val="000E69D7"/>
    <w:rsid w:val="000E6D1E"/>
    <w:rsid w:val="000E7640"/>
    <w:rsid w:val="000E7843"/>
    <w:rsid w:val="000E7D28"/>
    <w:rsid w:val="000E7F77"/>
    <w:rsid w:val="000E7FA8"/>
    <w:rsid w:val="000F0127"/>
    <w:rsid w:val="000F01C2"/>
    <w:rsid w:val="000F02E4"/>
    <w:rsid w:val="000F0C13"/>
    <w:rsid w:val="000F1402"/>
    <w:rsid w:val="000F1610"/>
    <w:rsid w:val="000F24CB"/>
    <w:rsid w:val="000F2C5F"/>
    <w:rsid w:val="000F2EBA"/>
    <w:rsid w:val="000F3309"/>
    <w:rsid w:val="000F37DE"/>
    <w:rsid w:val="000F38A9"/>
    <w:rsid w:val="000F3C08"/>
    <w:rsid w:val="000F496E"/>
    <w:rsid w:val="000F4B8A"/>
    <w:rsid w:val="000F4F34"/>
    <w:rsid w:val="000F5B9E"/>
    <w:rsid w:val="000F5D55"/>
    <w:rsid w:val="000F63D1"/>
    <w:rsid w:val="000F6495"/>
    <w:rsid w:val="000F6E79"/>
    <w:rsid w:val="000F7149"/>
    <w:rsid w:val="000F7EFF"/>
    <w:rsid w:val="00100A4E"/>
    <w:rsid w:val="00100E28"/>
    <w:rsid w:val="00100F82"/>
    <w:rsid w:val="001013FC"/>
    <w:rsid w:val="00101413"/>
    <w:rsid w:val="001014A9"/>
    <w:rsid w:val="0010175E"/>
    <w:rsid w:val="0010265E"/>
    <w:rsid w:val="00102F21"/>
    <w:rsid w:val="0010302D"/>
    <w:rsid w:val="00103173"/>
    <w:rsid w:val="00103274"/>
    <w:rsid w:val="00103341"/>
    <w:rsid w:val="001035B9"/>
    <w:rsid w:val="00103629"/>
    <w:rsid w:val="001038BA"/>
    <w:rsid w:val="00103948"/>
    <w:rsid w:val="00103B13"/>
    <w:rsid w:val="001051A7"/>
    <w:rsid w:val="0010581D"/>
    <w:rsid w:val="00105BE9"/>
    <w:rsid w:val="00106188"/>
    <w:rsid w:val="00107069"/>
    <w:rsid w:val="00110823"/>
    <w:rsid w:val="00110A90"/>
    <w:rsid w:val="00110CC7"/>
    <w:rsid w:val="001113C5"/>
    <w:rsid w:val="0011280B"/>
    <w:rsid w:val="00113564"/>
    <w:rsid w:val="00113848"/>
    <w:rsid w:val="00113C26"/>
    <w:rsid w:val="0011411F"/>
    <w:rsid w:val="00114414"/>
    <w:rsid w:val="001149C1"/>
    <w:rsid w:val="00114C7C"/>
    <w:rsid w:val="00116039"/>
    <w:rsid w:val="00117696"/>
    <w:rsid w:val="00117B02"/>
    <w:rsid w:val="001204B8"/>
    <w:rsid w:val="00120843"/>
    <w:rsid w:val="00120B5D"/>
    <w:rsid w:val="00120BA5"/>
    <w:rsid w:val="00120F70"/>
    <w:rsid w:val="0012100F"/>
    <w:rsid w:val="0012125C"/>
    <w:rsid w:val="00122438"/>
    <w:rsid w:val="00122460"/>
    <w:rsid w:val="00122622"/>
    <w:rsid w:val="0012337C"/>
    <w:rsid w:val="00123E69"/>
    <w:rsid w:val="0012404A"/>
    <w:rsid w:val="00124798"/>
    <w:rsid w:val="00125301"/>
    <w:rsid w:val="001255B5"/>
    <w:rsid w:val="00125615"/>
    <w:rsid w:val="00125D77"/>
    <w:rsid w:val="00126025"/>
    <w:rsid w:val="001261E5"/>
    <w:rsid w:val="001263D1"/>
    <w:rsid w:val="001264DD"/>
    <w:rsid w:val="00126866"/>
    <w:rsid w:val="00126931"/>
    <w:rsid w:val="00126EF1"/>
    <w:rsid w:val="0012708C"/>
    <w:rsid w:val="00127368"/>
    <w:rsid w:val="0013027F"/>
    <w:rsid w:val="00130598"/>
    <w:rsid w:val="001312B1"/>
    <w:rsid w:val="00131416"/>
    <w:rsid w:val="00131995"/>
    <w:rsid w:val="00131D25"/>
    <w:rsid w:val="00132518"/>
    <w:rsid w:val="001336D3"/>
    <w:rsid w:val="00133948"/>
    <w:rsid w:val="00134FBE"/>
    <w:rsid w:val="00135046"/>
    <w:rsid w:val="00136003"/>
    <w:rsid w:val="0013604E"/>
    <w:rsid w:val="001366E7"/>
    <w:rsid w:val="0013690B"/>
    <w:rsid w:val="00137088"/>
    <w:rsid w:val="00137B9B"/>
    <w:rsid w:val="00137C53"/>
    <w:rsid w:val="0014007B"/>
    <w:rsid w:val="00140239"/>
    <w:rsid w:val="00140529"/>
    <w:rsid w:val="00140D3B"/>
    <w:rsid w:val="00141462"/>
    <w:rsid w:val="00141479"/>
    <w:rsid w:val="0014158F"/>
    <w:rsid w:val="0014197A"/>
    <w:rsid w:val="0014229A"/>
    <w:rsid w:val="00142866"/>
    <w:rsid w:val="00142C5E"/>
    <w:rsid w:val="00143326"/>
    <w:rsid w:val="00143AAA"/>
    <w:rsid w:val="001442D5"/>
    <w:rsid w:val="00144556"/>
    <w:rsid w:val="00144DB3"/>
    <w:rsid w:val="00145314"/>
    <w:rsid w:val="0014579B"/>
    <w:rsid w:val="001457CF"/>
    <w:rsid w:val="0014593A"/>
    <w:rsid w:val="00145997"/>
    <w:rsid w:val="00145EA4"/>
    <w:rsid w:val="00146109"/>
    <w:rsid w:val="00146450"/>
    <w:rsid w:val="001464F1"/>
    <w:rsid w:val="001469B1"/>
    <w:rsid w:val="00146A8D"/>
    <w:rsid w:val="0014728A"/>
    <w:rsid w:val="00147F74"/>
    <w:rsid w:val="0015009B"/>
    <w:rsid w:val="00150119"/>
    <w:rsid w:val="00150264"/>
    <w:rsid w:val="00150BD7"/>
    <w:rsid w:val="00150F35"/>
    <w:rsid w:val="00150F39"/>
    <w:rsid w:val="00151443"/>
    <w:rsid w:val="001518A5"/>
    <w:rsid w:val="00151BFA"/>
    <w:rsid w:val="00151F1B"/>
    <w:rsid w:val="00152071"/>
    <w:rsid w:val="001520C6"/>
    <w:rsid w:val="00152453"/>
    <w:rsid w:val="001525BC"/>
    <w:rsid w:val="00153745"/>
    <w:rsid w:val="0015387D"/>
    <w:rsid w:val="00153932"/>
    <w:rsid w:val="00153C18"/>
    <w:rsid w:val="0015439E"/>
    <w:rsid w:val="0015478F"/>
    <w:rsid w:val="00154F12"/>
    <w:rsid w:val="00154F6A"/>
    <w:rsid w:val="0015505C"/>
    <w:rsid w:val="00155708"/>
    <w:rsid w:val="001558D2"/>
    <w:rsid w:val="00155A63"/>
    <w:rsid w:val="00155CA1"/>
    <w:rsid w:val="00155DB1"/>
    <w:rsid w:val="00156079"/>
    <w:rsid w:val="001561F0"/>
    <w:rsid w:val="001568E4"/>
    <w:rsid w:val="00156E38"/>
    <w:rsid w:val="0015783A"/>
    <w:rsid w:val="00160884"/>
    <w:rsid w:val="0016172B"/>
    <w:rsid w:val="0016178D"/>
    <w:rsid w:val="00161C6B"/>
    <w:rsid w:val="001620D4"/>
    <w:rsid w:val="00162148"/>
    <w:rsid w:val="0016260B"/>
    <w:rsid w:val="001630C3"/>
    <w:rsid w:val="0016324C"/>
    <w:rsid w:val="0016335A"/>
    <w:rsid w:val="001633F9"/>
    <w:rsid w:val="00163B29"/>
    <w:rsid w:val="0016419E"/>
    <w:rsid w:val="00164397"/>
    <w:rsid w:val="00164573"/>
    <w:rsid w:val="00164BD9"/>
    <w:rsid w:val="001653F8"/>
    <w:rsid w:val="00165597"/>
    <w:rsid w:val="0016585A"/>
    <w:rsid w:val="00165929"/>
    <w:rsid w:val="001659EB"/>
    <w:rsid w:val="0016685D"/>
    <w:rsid w:val="00166979"/>
    <w:rsid w:val="00167788"/>
    <w:rsid w:val="001678D2"/>
    <w:rsid w:val="00167A3A"/>
    <w:rsid w:val="00167BB3"/>
    <w:rsid w:val="00167CF2"/>
    <w:rsid w:val="001710CB"/>
    <w:rsid w:val="00171AF1"/>
    <w:rsid w:val="0017201A"/>
    <w:rsid w:val="0017227A"/>
    <w:rsid w:val="0017263B"/>
    <w:rsid w:val="0017265C"/>
    <w:rsid w:val="00172F2C"/>
    <w:rsid w:val="0017347B"/>
    <w:rsid w:val="001734BC"/>
    <w:rsid w:val="00173F19"/>
    <w:rsid w:val="0017405A"/>
    <w:rsid w:val="001744CC"/>
    <w:rsid w:val="00174750"/>
    <w:rsid w:val="00176C0E"/>
    <w:rsid w:val="00176FE3"/>
    <w:rsid w:val="00177656"/>
    <w:rsid w:val="00177C6F"/>
    <w:rsid w:val="00177D56"/>
    <w:rsid w:val="00177EFC"/>
    <w:rsid w:val="00180C80"/>
    <w:rsid w:val="00181439"/>
    <w:rsid w:val="00181759"/>
    <w:rsid w:val="00182FC1"/>
    <w:rsid w:val="0018309B"/>
    <w:rsid w:val="00183139"/>
    <w:rsid w:val="0018436E"/>
    <w:rsid w:val="0018440A"/>
    <w:rsid w:val="00184CC5"/>
    <w:rsid w:val="00185129"/>
    <w:rsid w:val="001853D6"/>
    <w:rsid w:val="00185C2F"/>
    <w:rsid w:val="00185D1C"/>
    <w:rsid w:val="00185D1F"/>
    <w:rsid w:val="001865AD"/>
    <w:rsid w:val="001865C2"/>
    <w:rsid w:val="001866A9"/>
    <w:rsid w:val="00186B05"/>
    <w:rsid w:val="00186BC8"/>
    <w:rsid w:val="00187DB0"/>
    <w:rsid w:val="001900BF"/>
    <w:rsid w:val="00190324"/>
    <w:rsid w:val="001907F7"/>
    <w:rsid w:val="00190C18"/>
    <w:rsid w:val="00190E3A"/>
    <w:rsid w:val="00190EA1"/>
    <w:rsid w:val="00191BEC"/>
    <w:rsid w:val="00192114"/>
    <w:rsid w:val="00192B61"/>
    <w:rsid w:val="00193366"/>
    <w:rsid w:val="0019431A"/>
    <w:rsid w:val="00194496"/>
    <w:rsid w:val="0019462A"/>
    <w:rsid w:val="001946F3"/>
    <w:rsid w:val="00194E48"/>
    <w:rsid w:val="0019506B"/>
    <w:rsid w:val="00195078"/>
    <w:rsid w:val="00195441"/>
    <w:rsid w:val="00196038"/>
    <w:rsid w:val="00196DBB"/>
    <w:rsid w:val="0019700F"/>
    <w:rsid w:val="001973C0"/>
    <w:rsid w:val="001A01AE"/>
    <w:rsid w:val="001A0258"/>
    <w:rsid w:val="001A07EF"/>
    <w:rsid w:val="001A083D"/>
    <w:rsid w:val="001A0BE9"/>
    <w:rsid w:val="001A0DC0"/>
    <w:rsid w:val="001A1116"/>
    <w:rsid w:val="001A11AF"/>
    <w:rsid w:val="001A1724"/>
    <w:rsid w:val="001A1773"/>
    <w:rsid w:val="001A1890"/>
    <w:rsid w:val="001A1D1B"/>
    <w:rsid w:val="001A29F6"/>
    <w:rsid w:val="001A302B"/>
    <w:rsid w:val="001A3619"/>
    <w:rsid w:val="001A3BB8"/>
    <w:rsid w:val="001A3C17"/>
    <w:rsid w:val="001A4608"/>
    <w:rsid w:val="001A493E"/>
    <w:rsid w:val="001A4E33"/>
    <w:rsid w:val="001A4F3F"/>
    <w:rsid w:val="001A527B"/>
    <w:rsid w:val="001A5787"/>
    <w:rsid w:val="001A5D26"/>
    <w:rsid w:val="001A5D90"/>
    <w:rsid w:val="001A5E84"/>
    <w:rsid w:val="001A60A0"/>
    <w:rsid w:val="001A6D70"/>
    <w:rsid w:val="001A711F"/>
    <w:rsid w:val="001A7B4E"/>
    <w:rsid w:val="001B0B4D"/>
    <w:rsid w:val="001B0B5D"/>
    <w:rsid w:val="001B17CE"/>
    <w:rsid w:val="001B1893"/>
    <w:rsid w:val="001B1F26"/>
    <w:rsid w:val="001B23B6"/>
    <w:rsid w:val="001B2AA3"/>
    <w:rsid w:val="001B360C"/>
    <w:rsid w:val="001B454F"/>
    <w:rsid w:val="001B46B4"/>
    <w:rsid w:val="001B49C5"/>
    <w:rsid w:val="001B5597"/>
    <w:rsid w:val="001B567D"/>
    <w:rsid w:val="001B5894"/>
    <w:rsid w:val="001B5B98"/>
    <w:rsid w:val="001B6001"/>
    <w:rsid w:val="001B641A"/>
    <w:rsid w:val="001B6791"/>
    <w:rsid w:val="001B6F45"/>
    <w:rsid w:val="001B711B"/>
    <w:rsid w:val="001B7276"/>
    <w:rsid w:val="001B7341"/>
    <w:rsid w:val="001B7A01"/>
    <w:rsid w:val="001C0474"/>
    <w:rsid w:val="001C052A"/>
    <w:rsid w:val="001C074B"/>
    <w:rsid w:val="001C0ED6"/>
    <w:rsid w:val="001C1349"/>
    <w:rsid w:val="001C1A48"/>
    <w:rsid w:val="001C2155"/>
    <w:rsid w:val="001C294D"/>
    <w:rsid w:val="001C298D"/>
    <w:rsid w:val="001C3176"/>
    <w:rsid w:val="001C33E0"/>
    <w:rsid w:val="001C36FF"/>
    <w:rsid w:val="001C4AED"/>
    <w:rsid w:val="001C4F90"/>
    <w:rsid w:val="001C50CE"/>
    <w:rsid w:val="001C542E"/>
    <w:rsid w:val="001C57C2"/>
    <w:rsid w:val="001C5A59"/>
    <w:rsid w:val="001C6F48"/>
    <w:rsid w:val="001C76C3"/>
    <w:rsid w:val="001C7916"/>
    <w:rsid w:val="001C795E"/>
    <w:rsid w:val="001D0971"/>
    <w:rsid w:val="001D0D6B"/>
    <w:rsid w:val="001D0DA3"/>
    <w:rsid w:val="001D1208"/>
    <w:rsid w:val="001D1630"/>
    <w:rsid w:val="001D1E22"/>
    <w:rsid w:val="001D1E99"/>
    <w:rsid w:val="001D1EC9"/>
    <w:rsid w:val="001D2451"/>
    <w:rsid w:val="001D262C"/>
    <w:rsid w:val="001D29FF"/>
    <w:rsid w:val="001D3F7C"/>
    <w:rsid w:val="001D3F8D"/>
    <w:rsid w:val="001D4491"/>
    <w:rsid w:val="001D4569"/>
    <w:rsid w:val="001D462D"/>
    <w:rsid w:val="001D4640"/>
    <w:rsid w:val="001D58BF"/>
    <w:rsid w:val="001D5A50"/>
    <w:rsid w:val="001D5A7E"/>
    <w:rsid w:val="001D67FA"/>
    <w:rsid w:val="001D6981"/>
    <w:rsid w:val="001D6D3E"/>
    <w:rsid w:val="001D6D4C"/>
    <w:rsid w:val="001D74EF"/>
    <w:rsid w:val="001E04B8"/>
    <w:rsid w:val="001E04FB"/>
    <w:rsid w:val="001E06EC"/>
    <w:rsid w:val="001E0DD9"/>
    <w:rsid w:val="001E109F"/>
    <w:rsid w:val="001E12F8"/>
    <w:rsid w:val="001E13A0"/>
    <w:rsid w:val="001E2230"/>
    <w:rsid w:val="001E24A4"/>
    <w:rsid w:val="001E284F"/>
    <w:rsid w:val="001E2E54"/>
    <w:rsid w:val="001E2EAB"/>
    <w:rsid w:val="001E3316"/>
    <w:rsid w:val="001E34B6"/>
    <w:rsid w:val="001E363A"/>
    <w:rsid w:val="001E40E6"/>
    <w:rsid w:val="001E4483"/>
    <w:rsid w:val="001E4754"/>
    <w:rsid w:val="001E4DD0"/>
    <w:rsid w:val="001E4F55"/>
    <w:rsid w:val="001E5ACF"/>
    <w:rsid w:val="001E5CA3"/>
    <w:rsid w:val="001E6751"/>
    <w:rsid w:val="001E6E27"/>
    <w:rsid w:val="001E79A0"/>
    <w:rsid w:val="001E79AF"/>
    <w:rsid w:val="001F09E2"/>
    <w:rsid w:val="001F0FD5"/>
    <w:rsid w:val="001F1A66"/>
    <w:rsid w:val="001F1ABB"/>
    <w:rsid w:val="001F2078"/>
    <w:rsid w:val="001F243B"/>
    <w:rsid w:val="001F2704"/>
    <w:rsid w:val="001F3D03"/>
    <w:rsid w:val="001F3D85"/>
    <w:rsid w:val="001F3FA6"/>
    <w:rsid w:val="001F4860"/>
    <w:rsid w:val="001F498D"/>
    <w:rsid w:val="001F4B0A"/>
    <w:rsid w:val="001F4D6B"/>
    <w:rsid w:val="001F54FE"/>
    <w:rsid w:val="001F5B1D"/>
    <w:rsid w:val="001F5D2C"/>
    <w:rsid w:val="002011DA"/>
    <w:rsid w:val="00201437"/>
    <w:rsid w:val="0020147E"/>
    <w:rsid w:val="0020186F"/>
    <w:rsid w:val="002027EF"/>
    <w:rsid w:val="00202AC9"/>
    <w:rsid w:val="00202B36"/>
    <w:rsid w:val="00203068"/>
    <w:rsid w:val="002033ED"/>
    <w:rsid w:val="00203921"/>
    <w:rsid w:val="002043C9"/>
    <w:rsid w:val="00205055"/>
    <w:rsid w:val="002053C4"/>
    <w:rsid w:val="0020577A"/>
    <w:rsid w:val="002057F2"/>
    <w:rsid w:val="002059A5"/>
    <w:rsid w:val="00205CC5"/>
    <w:rsid w:val="00205D13"/>
    <w:rsid w:val="0020606A"/>
    <w:rsid w:val="00206171"/>
    <w:rsid w:val="0020661B"/>
    <w:rsid w:val="002074B6"/>
    <w:rsid w:val="00207A10"/>
    <w:rsid w:val="00210361"/>
    <w:rsid w:val="00210372"/>
    <w:rsid w:val="0021045C"/>
    <w:rsid w:val="00210EA3"/>
    <w:rsid w:val="0021120A"/>
    <w:rsid w:val="0021150C"/>
    <w:rsid w:val="00211628"/>
    <w:rsid w:val="00212503"/>
    <w:rsid w:val="00212958"/>
    <w:rsid w:val="00213207"/>
    <w:rsid w:val="00213245"/>
    <w:rsid w:val="0021367A"/>
    <w:rsid w:val="002136DA"/>
    <w:rsid w:val="002147E4"/>
    <w:rsid w:val="002151D2"/>
    <w:rsid w:val="00215275"/>
    <w:rsid w:val="00215B89"/>
    <w:rsid w:val="002165C6"/>
    <w:rsid w:val="002172E7"/>
    <w:rsid w:val="00217423"/>
    <w:rsid w:val="002176C2"/>
    <w:rsid w:val="00217C11"/>
    <w:rsid w:val="00217F33"/>
    <w:rsid w:val="00220807"/>
    <w:rsid w:val="00221284"/>
    <w:rsid w:val="00221697"/>
    <w:rsid w:val="00221767"/>
    <w:rsid w:val="002218B6"/>
    <w:rsid w:val="002221A7"/>
    <w:rsid w:val="0022235C"/>
    <w:rsid w:val="002223B1"/>
    <w:rsid w:val="00222696"/>
    <w:rsid w:val="002226D4"/>
    <w:rsid w:val="00222E03"/>
    <w:rsid w:val="002236BF"/>
    <w:rsid w:val="00223C55"/>
    <w:rsid w:val="002242CE"/>
    <w:rsid w:val="00224428"/>
    <w:rsid w:val="00224463"/>
    <w:rsid w:val="00224647"/>
    <w:rsid w:val="0022467B"/>
    <w:rsid w:val="00224BF2"/>
    <w:rsid w:val="00224D7A"/>
    <w:rsid w:val="00225321"/>
    <w:rsid w:val="002253CD"/>
    <w:rsid w:val="0022544C"/>
    <w:rsid w:val="00225EB5"/>
    <w:rsid w:val="00226414"/>
    <w:rsid w:val="00226600"/>
    <w:rsid w:val="00226B31"/>
    <w:rsid w:val="00226E6A"/>
    <w:rsid w:val="00227035"/>
    <w:rsid w:val="00227B3F"/>
    <w:rsid w:val="00227CD1"/>
    <w:rsid w:val="00227D35"/>
    <w:rsid w:val="0023004C"/>
    <w:rsid w:val="00230925"/>
    <w:rsid w:val="00230BA2"/>
    <w:rsid w:val="00230EDB"/>
    <w:rsid w:val="002312E3"/>
    <w:rsid w:val="0023188C"/>
    <w:rsid w:val="002319E3"/>
    <w:rsid w:val="00231C7D"/>
    <w:rsid w:val="00232308"/>
    <w:rsid w:val="002323E2"/>
    <w:rsid w:val="00232771"/>
    <w:rsid w:val="0023287F"/>
    <w:rsid w:val="00232944"/>
    <w:rsid w:val="002336B5"/>
    <w:rsid w:val="00233B8A"/>
    <w:rsid w:val="00233DC2"/>
    <w:rsid w:val="0023426F"/>
    <w:rsid w:val="002343C4"/>
    <w:rsid w:val="002348F6"/>
    <w:rsid w:val="0023493F"/>
    <w:rsid w:val="002350DB"/>
    <w:rsid w:val="00235BBC"/>
    <w:rsid w:val="00235DA8"/>
    <w:rsid w:val="00236696"/>
    <w:rsid w:val="00236A7C"/>
    <w:rsid w:val="00236C11"/>
    <w:rsid w:val="00236C23"/>
    <w:rsid w:val="002371CA"/>
    <w:rsid w:val="0023722F"/>
    <w:rsid w:val="0023789F"/>
    <w:rsid w:val="00237959"/>
    <w:rsid w:val="00237F23"/>
    <w:rsid w:val="00240529"/>
    <w:rsid w:val="00241270"/>
    <w:rsid w:val="00241DF5"/>
    <w:rsid w:val="0024278F"/>
    <w:rsid w:val="00242801"/>
    <w:rsid w:val="002428B9"/>
    <w:rsid w:val="00242990"/>
    <w:rsid w:val="00242ACA"/>
    <w:rsid w:val="002432EE"/>
    <w:rsid w:val="002433AE"/>
    <w:rsid w:val="002434DD"/>
    <w:rsid w:val="00243557"/>
    <w:rsid w:val="002438B8"/>
    <w:rsid w:val="00243E03"/>
    <w:rsid w:val="00243E05"/>
    <w:rsid w:val="00244BE4"/>
    <w:rsid w:val="00244D21"/>
    <w:rsid w:val="00244D9A"/>
    <w:rsid w:val="0024549C"/>
    <w:rsid w:val="00245523"/>
    <w:rsid w:val="0024560F"/>
    <w:rsid w:val="00245ACF"/>
    <w:rsid w:val="0024676B"/>
    <w:rsid w:val="00246AA3"/>
    <w:rsid w:val="00246B6F"/>
    <w:rsid w:val="00247149"/>
    <w:rsid w:val="00247B2B"/>
    <w:rsid w:val="002503C2"/>
    <w:rsid w:val="00250574"/>
    <w:rsid w:val="00250706"/>
    <w:rsid w:val="00250872"/>
    <w:rsid w:val="00250B41"/>
    <w:rsid w:val="00251009"/>
    <w:rsid w:val="00251183"/>
    <w:rsid w:val="0025186F"/>
    <w:rsid w:val="00251ED1"/>
    <w:rsid w:val="002527C6"/>
    <w:rsid w:val="00252D23"/>
    <w:rsid w:val="00253189"/>
    <w:rsid w:val="002538D3"/>
    <w:rsid w:val="00253F1C"/>
    <w:rsid w:val="00253FCB"/>
    <w:rsid w:val="002541A2"/>
    <w:rsid w:val="002543C5"/>
    <w:rsid w:val="00254662"/>
    <w:rsid w:val="00254B27"/>
    <w:rsid w:val="0025537A"/>
    <w:rsid w:val="0025582A"/>
    <w:rsid w:val="00256AA5"/>
    <w:rsid w:val="00256CC9"/>
    <w:rsid w:val="00256EAF"/>
    <w:rsid w:val="00257B9D"/>
    <w:rsid w:val="00260A43"/>
    <w:rsid w:val="00260B12"/>
    <w:rsid w:val="00260C2C"/>
    <w:rsid w:val="00260E1A"/>
    <w:rsid w:val="0026174A"/>
    <w:rsid w:val="00261C08"/>
    <w:rsid w:val="0026220F"/>
    <w:rsid w:val="00262694"/>
    <w:rsid w:val="002633B7"/>
    <w:rsid w:val="0026353C"/>
    <w:rsid w:val="00263CAA"/>
    <w:rsid w:val="00263DD6"/>
    <w:rsid w:val="0026409C"/>
    <w:rsid w:val="0026422A"/>
    <w:rsid w:val="00264683"/>
    <w:rsid w:val="002654CA"/>
    <w:rsid w:val="00265DE5"/>
    <w:rsid w:val="0026670C"/>
    <w:rsid w:val="00266A41"/>
    <w:rsid w:val="00266D62"/>
    <w:rsid w:val="00266DB1"/>
    <w:rsid w:val="00266E09"/>
    <w:rsid w:val="002708EC"/>
    <w:rsid w:val="00270D8D"/>
    <w:rsid w:val="00271557"/>
    <w:rsid w:val="00271B58"/>
    <w:rsid w:val="00271C0C"/>
    <w:rsid w:val="00272C11"/>
    <w:rsid w:val="00273035"/>
    <w:rsid w:val="00273198"/>
    <w:rsid w:val="00273449"/>
    <w:rsid w:val="002743CD"/>
    <w:rsid w:val="00274A19"/>
    <w:rsid w:val="00274DF4"/>
    <w:rsid w:val="00275379"/>
    <w:rsid w:val="00275AEF"/>
    <w:rsid w:val="00275B84"/>
    <w:rsid w:val="00275C49"/>
    <w:rsid w:val="00276172"/>
    <w:rsid w:val="002763F0"/>
    <w:rsid w:val="00276445"/>
    <w:rsid w:val="00276EE7"/>
    <w:rsid w:val="00277309"/>
    <w:rsid w:val="002805CB"/>
    <w:rsid w:val="00280941"/>
    <w:rsid w:val="0028157B"/>
    <w:rsid w:val="00281F02"/>
    <w:rsid w:val="0028232A"/>
    <w:rsid w:val="00283670"/>
    <w:rsid w:val="00283F06"/>
    <w:rsid w:val="00283FBB"/>
    <w:rsid w:val="002841D0"/>
    <w:rsid w:val="0028493D"/>
    <w:rsid w:val="00284C07"/>
    <w:rsid w:val="00284F9E"/>
    <w:rsid w:val="00285BF3"/>
    <w:rsid w:val="00286A65"/>
    <w:rsid w:val="0028763D"/>
    <w:rsid w:val="00287A9C"/>
    <w:rsid w:val="00287FAA"/>
    <w:rsid w:val="002905C7"/>
    <w:rsid w:val="002920D7"/>
    <w:rsid w:val="00293698"/>
    <w:rsid w:val="0029375F"/>
    <w:rsid w:val="00294470"/>
    <w:rsid w:val="00294992"/>
    <w:rsid w:val="0029507A"/>
    <w:rsid w:val="00295C95"/>
    <w:rsid w:val="002960EC"/>
    <w:rsid w:val="002965EC"/>
    <w:rsid w:val="00296E56"/>
    <w:rsid w:val="0029775E"/>
    <w:rsid w:val="00297A45"/>
    <w:rsid w:val="00297FE8"/>
    <w:rsid w:val="002A0217"/>
    <w:rsid w:val="002A048D"/>
    <w:rsid w:val="002A0945"/>
    <w:rsid w:val="002A0A0E"/>
    <w:rsid w:val="002A0B60"/>
    <w:rsid w:val="002A1166"/>
    <w:rsid w:val="002A121F"/>
    <w:rsid w:val="002A1C1A"/>
    <w:rsid w:val="002A2135"/>
    <w:rsid w:val="002A22C0"/>
    <w:rsid w:val="002A2456"/>
    <w:rsid w:val="002A2962"/>
    <w:rsid w:val="002A2AC6"/>
    <w:rsid w:val="002A2CE9"/>
    <w:rsid w:val="002A3129"/>
    <w:rsid w:val="002A3B62"/>
    <w:rsid w:val="002A4BB3"/>
    <w:rsid w:val="002A6461"/>
    <w:rsid w:val="002A685F"/>
    <w:rsid w:val="002A6E1E"/>
    <w:rsid w:val="002A713A"/>
    <w:rsid w:val="002A72FA"/>
    <w:rsid w:val="002A73B3"/>
    <w:rsid w:val="002A797A"/>
    <w:rsid w:val="002B0551"/>
    <w:rsid w:val="002B0749"/>
    <w:rsid w:val="002B0C7E"/>
    <w:rsid w:val="002B0CF1"/>
    <w:rsid w:val="002B0E96"/>
    <w:rsid w:val="002B1033"/>
    <w:rsid w:val="002B113E"/>
    <w:rsid w:val="002B1859"/>
    <w:rsid w:val="002B1922"/>
    <w:rsid w:val="002B1964"/>
    <w:rsid w:val="002B1C7A"/>
    <w:rsid w:val="002B1C8C"/>
    <w:rsid w:val="002B2585"/>
    <w:rsid w:val="002B25D2"/>
    <w:rsid w:val="002B28B9"/>
    <w:rsid w:val="002B2966"/>
    <w:rsid w:val="002B2D8D"/>
    <w:rsid w:val="002B307E"/>
    <w:rsid w:val="002B36F7"/>
    <w:rsid w:val="002B38DA"/>
    <w:rsid w:val="002B3A98"/>
    <w:rsid w:val="002B3BEE"/>
    <w:rsid w:val="002B3E48"/>
    <w:rsid w:val="002B3F38"/>
    <w:rsid w:val="002B3F60"/>
    <w:rsid w:val="002B476C"/>
    <w:rsid w:val="002B49DC"/>
    <w:rsid w:val="002B4BD8"/>
    <w:rsid w:val="002B4FBD"/>
    <w:rsid w:val="002B50E6"/>
    <w:rsid w:val="002B5329"/>
    <w:rsid w:val="002B5381"/>
    <w:rsid w:val="002B66A3"/>
    <w:rsid w:val="002B74EA"/>
    <w:rsid w:val="002C0FB9"/>
    <w:rsid w:val="002C1942"/>
    <w:rsid w:val="002C2812"/>
    <w:rsid w:val="002C298E"/>
    <w:rsid w:val="002C3CD0"/>
    <w:rsid w:val="002C3F62"/>
    <w:rsid w:val="002C4102"/>
    <w:rsid w:val="002C4650"/>
    <w:rsid w:val="002C4F4C"/>
    <w:rsid w:val="002C5E99"/>
    <w:rsid w:val="002C61A0"/>
    <w:rsid w:val="002C772A"/>
    <w:rsid w:val="002D0829"/>
    <w:rsid w:val="002D09AC"/>
    <w:rsid w:val="002D0C85"/>
    <w:rsid w:val="002D0F08"/>
    <w:rsid w:val="002D17B6"/>
    <w:rsid w:val="002D1C09"/>
    <w:rsid w:val="002D1F1C"/>
    <w:rsid w:val="002D2B2D"/>
    <w:rsid w:val="002D2B8F"/>
    <w:rsid w:val="002D2D03"/>
    <w:rsid w:val="002D2F87"/>
    <w:rsid w:val="002D2FFB"/>
    <w:rsid w:val="002D38A5"/>
    <w:rsid w:val="002D3A18"/>
    <w:rsid w:val="002D3D42"/>
    <w:rsid w:val="002D4C83"/>
    <w:rsid w:val="002D4D87"/>
    <w:rsid w:val="002D4FFA"/>
    <w:rsid w:val="002D5131"/>
    <w:rsid w:val="002D547E"/>
    <w:rsid w:val="002D5726"/>
    <w:rsid w:val="002D5821"/>
    <w:rsid w:val="002D5C49"/>
    <w:rsid w:val="002D6016"/>
    <w:rsid w:val="002D60DD"/>
    <w:rsid w:val="002D67D3"/>
    <w:rsid w:val="002D693F"/>
    <w:rsid w:val="002D6AB0"/>
    <w:rsid w:val="002D6BA1"/>
    <w:rsid w:val="002D7B95"/>
    <w:rsid w:val="002D7E25"/>
    <w:rsid w:val="002E00F4"/>
    <w:rsid w:val="002E011F"/>
    <w:rsid w:val="002E02C8"/>
    <w:rsid w:val="002E03F9"/>
    <w:rsid w:val="002E0F04"/>
    <w:rsid w:val="002E0F45"/>
    <w:rsid w:val="002E2255"/>
    <w:rsid w:val="002E2679"/>
    <w:rsid w:val="002E29C0"/>
    <w:rsid w:val="002E2A30"/>
    <w:rsid w:val="002E31F6"/>
    <w:rsid w:val="002E3E3F"/>
    <w:rsid w:val="002E5205"/>
    <w:rsid w:val="002E6B08"/>
    <w:rsid w:val="002F00E7"/>
    <w:rsid w:val="002F079D"/>
    <w:rsid w:val="002F0A14"/>
    <w:rsid w:val="002F1269"/>
    <w:rsid w:val="002F1E55"/>
    <w:rsid w:val="002F2194"/>
    <w:rsid w:val="002F22B9"/>
    <w:rsid w:val="002F3650"/>
    <w:rsid w:val="002F36E0"/>
    <w:rsid w:val="002F3867"/>
    <w:rsid w:val="002F40F8"/>
    <w:rsid w:val="002F4371"/>
    <w:rsid w:val="002F4CE0"/>
    <w:rsid w:val="002F4E9C"/>
    <w:rsid w:val="002F52BC"/>
    <w:rsid w:val="002F549D"/>
    <w:rsid w:val="002F64C0"/>
    <w:rsid w:val="002F66A6"/>
    <w:rsid w:val="002F676E"/>
    <w:rsid w:val="002F6F88"/>
    <w:rsid w:val="002F7DE1"/>
    <w:rsid w:val="0030001E"/>
    <w:rsid w:val="003007AF"/>
    <w:rsid w:val="00300937"/>
    <w:rsid w:val="00300C9E"/>
    <w:rsid w:val="00301117"/>
    <w:rsid w:val="00301961"/>
    <w:rsid w:val="0030211E"/>
    <w:rsid w:val="003025D8"/>
    <w:rsid w:val="00302FA2"/>
    <w:rsid w:val="003034C2"/>
    <w:rsid w:val="003035BF"/>
    <w:rsid w:val="00303D1E"/>
    <w:rsid w:val="0030405F"/>
    <w:rsid w:val="00304387"/>
    <w:rsid w:val="0030454B"/>
    <w:rsid w:val="0030565A"/>
    <w:rsid w:val="00306243"/>
    <w:rsid w:val="003068B0"/>
    <w:rsid w:val="00306947"/>
    <w:rsid w:val="003071DD"/>
    <w:rsid w:val="0030766C"/>
    <w:rsid w:val="00307C49"/>
    <w:rsid w:val="00307F6D"/>
    <w:rsid w:val="00310B1F"/>
    <w:rsid w:val="00310F53"/>
    <w:rsid w:val="00310FFC"/>
    <w:rsid w:val="003114B8"/>
    <w:rsid w:val="0031165B"/>
    <w:rsid w:val="003116CA"/>
    <w:rsid w:val="003119F6"/>
    <w:rsid w:val="00311A4B"/>
    <w:rsid w:val="00311CA5"/>
    <w:rsid w:val="00312432"/>
    <w:rsid w:val="003126A2"/>
    <w:rsid w:val="00312A9F"/>
    <w:rsid w:val="00313A2B"/>
    <w:rsid w:val="00313DF4"/>
    <w:rsid w:val="00313F84"/>
    <w:rsid w:val="003142C3"/>
    <w:rsid w:val="00314F50"/>
    <w:rsid w:val="00315870"/>
    <w:rsid w:val="00315C8E"/>
    <w:rsid w:val="00316DF5"/>
    <w:rsid w:val="003200B3"/>
    <w:rsid w:val="003204B3"/>
    <w:rsid w:val="0032053D"/>
    <w:rsid w:val="00320CE6"/>
    <w:rsid w:val="003210F1"/>
    <w:rsid w:val="0032123F"/>
    <w:rsid w:val="00322CE9"/>
    <w:rsid w:val="0032339E"/>
    <w:rsid w:val="00323682"/>
    <w:rsid w:val="003248EC"/>
    <w:rsid w:val="003253A7"/>
    <w:rsid w:val="00325560"/>
    <w:rsid w:val="00325A5C"/>
    <w:rsid w:val="00325C38"/>
    <w:rsid w:val="00326B55"/>
    <w:rsid w:val="00326E92"/>
    <w:rsid w:val="00326F68"/>
    <w:rsid w:val="0032715A"/>
    <w:rsid w:val="00327592"/>
    <w:rsid w:val="00327D85"/>
    <w:rsid w:val="003300A0"/>
    <w:rsid w:val="0033059B"/>
    <w:rsid w:val="00330A48"/>
    <w:rsid w:val="00331428"/>
    <w:rsid w:val="00331664"/>
    <w:rsid w:val="003320B1"/>
    <w:rsid w:val="0033220B"/>
    <w:rsid w:val="00332335"/>
    <w:rsid w:val="00333352"/>
    <w:rsid w:val="00333866"/>
    <w:rsid w:val="0033460B"/>
    <w:rsid w:val="003347A0"/>
    <w:rsid w:val="00335049"/>
    <w:rsid w:val="0033572B"/>
    <w:rsid w:val="003357C0"/>
    <w:rsid w:val="00335BDE"/>
    <w:rsid w:val="00335E0A"/>
    <w:rsid w:val="00335F42"/>
    <w:rsid w:val="003360CC"/>
    <w:rsid w:val="00336B6F"/>
    <w:rsid w:val="00336BBE"/>
    <w:rsid w:val="00336D43"/>
    <w:rsid w:val="00337185"/>
    <w:rsid w:val="003372E5"/>
    <w:rsid w:val="00337A34"/>
    <w:rsid w:val="00340783"/>
    <w:rsid w:val="00340D73"/>
    <w:rsid w:val="00341057"/>
    <w:rsid w:val="00341604"/>
    <w:rsid w:val="0034288D"/>
    <w:rsid w:val="00342A80"/>
    <w:rsid w:val="003435DB"/>
    <w:rsid w:val="003438C7"/>
    <w:rsid w:val="00343950"/>
    <w:rsid w:val="00343DA5"/>
    <w:rsid w:val="0034422E"/>
    <w:rsid w:val="003443E2"/>
    <w:rsid w:val="003443F9"/>
    <w:rsid w:val="00344408"/>
    <w:rsid w:val="003444F4"/>
    <w:rsid w:val="0034452A"/>
    <w:rsid w:val="00344587"/>
    <w:rsid w:val="0034483D"/>
    <w:rsid w:val="003448B5"/>
    <w:rsid w:val="003453EA"/>
    <w:rsid w:val="00345526"/>
    <w:rsid w:val="003467AE"/>
    <w:rsid w:val="003467C4"/>
    <w:rsid w:val="00346D4D"/>
    <w:rsid w:val="00346E97"/>
    <w:rsid w:val="003471B2"/>
    <w:rsid w:val="0034742C"/>
    <w:rsid w:val="00347707"/>
    <w:rsid w:val="003478D3"/>
    <w:rsid w:val="003478E5"/>
    <w:rsid w:val="003500D4"/>
    <w:rsid w:val="0035011E"/>
    <w:rsid w:val="00350508"/>
    <w:rsid w:val="003505EF"/>
    <w:rsid w:val="00350BA5"/>
    <w:rsid w:val="00351C11"/>
    <w:rsid w:val="00352163"/>
    <w:rsid w:val="00352B3E"/>
    <w:rsid w:val="00352BBD"/>
    <w:rsid w:val="003531EB"/>
    <w:rsid w:val="003532D9"/>
    <w:rsid w:val="003535B2"/>
    <w:rsid w:val="003539F8"/>
    <w:rsid w:val="00353D69"/>
    <w:rsid w:val="00354461"/>
    <w:rsid w:val="003547E1"/>
    <w:rsid w:val="00354AAF"/>
    <w:rsid w:val="00354E3D"/>
    <w:rsid w:val="0035507F"/>
    <w:rsid w:val="003550A5"/>
    <w:rsid w:val="003554C0"/>
    <w:rsid w:val="0035578F"/>
    <w:rsid w:val="00355BEB"/>
    <w:rsid w:val="00355F48"/>
    <w:rsid w:val="0035608F"/>
    <w:rsid w:val="00356411"/>
    <w:rsid w:val="00356818"/>
    <w:rsid w:val="00356C38"/>
    <w:rsid w:val="00356D7C"/>
    <w:rsid w:val="0035716D"/>
    <w:rsid w:val="00357247"/>
    <w:rsid w:val="003579DA"/>
    <w:rsid w:val="003600B6"/>
    <w:rsid w:val="00360BB7"/>
    <w:rsid w:val="0036109A"/>
    <w:rsid w:val="00361755"/>
    <w:rsid w:val="00361BAA"/>
    <w:rsid w:val="00361C55"/>
    <w:rsid w:val="00362014"/>
    <w:rsid w:val="0036238B"/>
    <w:rsid w:val="00362440"/>
    <w:rsid w:val="0036245D"/>
    <w:rsid w:val="00362B36"/>
    <w:rsid w:val="00362DEF"/>
    <w:rsid w:val="00363E0F"/>
    <w:rsid w:val="00364567"/>
    <w:rsid w:val="00364C64"/>
    <w:rsid w:val="003659A8"/>
    <w:rsid w:val="00365A21"/>
    <w:rsid w:val="0036640C"/>
    <w:rsid w:val="00366611"/>
    <w:rsid w:val="0036683C"/>
    <w:rsid w:val="003677A1"/>
    <w:rsid w:val="003677EA"/>
    <w:rsid w:val="00367883"/>
    <w:rsid w:val="00367E3A"/>
    <w:rsid w:val="00370684"/>
    <w:rsid w:val="00370B1B"/>
    <w:rsid w:val="00370DF0"/>
    <w:rsid w:val="00371376"/>
    <w:rsid w:val="00372B86"/>
    <w:rsid w:val="00372E19"/>
    <w:rsid w:val="003732CE"/>
    <w:rsid w:val="00373A84"/>
    <w:rsid w:val="00373CDA"/>
    <w:rsid w:val="00373DB5"/>
    <w:rsid w:val="00373FB8"/>
    <w:rsid w:val="00375483"/>
    <w:rsid w:val="003754AF"/>
    <w:rsid w:val="003763FE"/>
    <w:rsid w:val="00376474"/>
    <w:rsid w:val="003764C4"/>
    <w:rsid w:val="00376638"/>
    <w:rsid w:val="00376DBA"/>
    <w:rsid w:val="00377506"/>
    <w:rsid w:val="00377803"/>
    <w:rsid w:val="00380158"/>
    <w:rsid w:val="003807AD"/>
    <w:rsid w:val="00380A40"/>
    <w:rsid w:val="00380B89"/>
    <w:rsid w:val="00380D7B"/>
    <w:rsid w:val="00380FAB"/>
    <w:rsid w:val="00381E4B"/>
    <w:rsid w:val="00381FDB"/>
    <w:rsid w:val="003826DF"/>
    <w:rsid w:val="00382D8F"/>
    <w:rsid w:val="003832A9"/>
    <w:rsid w:val="003834C2"/>
    <w:rsid w:val="003838B1"/>
    <w:rsid w:val="00384E5C"/>
    <w:rsid w:val="00384EC6"/>
    <w:rsid w:val="00384EDF"/>
    <w:rsid w:val="0038556E"/>
    <w:rsid w:val="003856B2"/>
    <w:rsid w:val="003856C8"/>
    <w:rsid w:val="003869EC"/>
    <w:rsid w:val="00386B3E"/>
    <w:rsid w:val="003872C1"/>
    <w:rsid w:val="003875A3"/>
    <w:rsid w:val="00387E13"/>
    <w:rsid w:val="00387FE1"/>
    <w:rsid w:val="0039080D"/>
    <w:rsid w:val="0039096A"/>
    <w:rsid w:val="003914CC"/>
    <w:rsid w:val="00391A18"/>
    <w:rsid w:val="00391B28"/>
    <w:rsid w:val="00391FBC"/>
    <w:rsid w:val="003929C8"/>
    <w:rsid w:val="0039310A"/>
    <w:rsid w:val="0039422F"/>
    <w:rsid w:val="003944C2"/>
    <w:rsid w:val="003946F6"/>
    <w:rsid w:val="003949CB"/>
    <w:rsid w:val="00394DC4"/>
    <w:rsid w:val="00396163"/>
    <w:rsid w:val="003964E4"/>
    <w:rsid w:val="00396739"/>
    <w:rsid w:val="00396848"/>
    <w:rsid w:val="00396BA2"/>
    <w:rsid w:val="00396DEB"/>
    <w:rsid w:val="00396F5D"/>
    <w:rsid w:val="00396F6C"/>
    <w:rsid w:val="003970A4"/>
    <w:rsid w:val="00397214"/>
    <w:rsid w:val="00397B2E"/>
    <w:rsid w:val="003A0D47"/>
    <w:rsid w:val="003A0D64"/>
    <w:rsid w:val="003A12CD"/>
    <w:rsid w:val="003A14D8"/>
    <w:rsid w:val="003A15A7"/>
    <w:rsid w:val="003A1860"/>
    <w:rsid w:val="003A18F7"/>
    <w:rsid w:val="003A1B46"/>
    <w:rsid w:val="003A1C9A"/>
    <w:rsid w:val="003A2070"/>
    <w:rsid w:val="003A2945"/>
    <w:rsid w:val="003A3093"/>
    <w:rsid w:val="003A3BC5"/>
    <w:rsid w:val="003A426D"/>
    <w:rsid w:val="003A5004"/>
    <w:rsid w:val="003A5197"/>
    <w:rsid w:val="003A57C8"/>
    <w:rsid w:val="003A58F4"/>
    <w:rsid w:val="003A59F6"/>
    <w:rsid w:val="003A5A69"/>
    <w:rsid w:val="003A6090"/>
    <w:rsid w:val="003A61DE"/>
    <w:rsid w:val="003A6304"/>
    <w:rsid w:val="003A65BE"/>
    <w:rsid w:val="003A65F6"/>
    <w:rsid w:val="003A6B3B"/>
    <w:rsid w:val="003A70A1"/>
    <w:rsid w:val="003A71F5"/>
    <w:rsid w:val="003A7EBD"/>
    <w:rsid w:val="003B01F7"/>
    <w:rsid w:val="003B0333"/>
    <w:rsid w:val="003B1296"/>
    <w:rsid w:val="003B14CC"/>
    <w:rsid w:val="003B1BD8"/>
    <w:rsid w:val="003B24D5"/>
    <w:rsid w:val="003B28CE"/>
    <w:rsid w:val="003B2927"/>
    <w:rsid w:val="003B334F"/>
    <w:rsid w:val="003B39C1"/>
    <w:rsid w:val="003B39D1"/>
    <w:rsid w:val="003B434B"/>
    <w:rsid w:val="003B4391"/>
    <w:rsid w:val="003B44C3"/>
    <w:rsid w:val="003B4715"/>
    <w:rsid w:val="003B48BE"/>
    <w:rsid w:val="003B4C54"/>
    <w:rsid w:val="003B4D91"/>
    <w:rsid w:val="003B53D4"/>
    <w:rsid w:val="003B5ED9"/>
    <w:rsid w:val="003B5F13"/>
    <w:rsid w:val="003B7506"/>
    <w:rsid w:val="003B76C0"/>
    <w:rsid w:val="003C00CA"/>
    <w:rsid w:val="003C06F8"/>
    <w:rsid w:val="003C0996"/>
    <w:rsid w:val="003C0C34"/>
    <w:rsid w:val="003C102C"/>
    <w:rsid w:val="003C17C6"/>
    <w:rsid w:val="003C1B1C"/>
    <w:rsid w:val="003C1BD8"/>
    <w:rsid w:val="003C1F1E"/>
    <w:rsid w:val="003C2141"/>
    <w:rsid w:val="003C2918"/>
    <w:rsid w:val="003C2A56"/>
    <w:rsid w:val="003C42CB"/>
    <w:rsid w:val="003C47DD"/>
    <w:rsid w:val="003C5DAC"/>
    <w:rsid w:val="003C678C"/>
    <w:rsid w:val="003C69F5"/>
    <w:rsid w:val="003C6B0A"/>
    <w:rsid w:val="003C6C19"/>
    <w:rsid w:val="003C6FEF"/>
    <w:rsid w:val="003C7722"/>
    <w:rsid w:val="003C787D"/>
    <w:rsid w:val="003D03B4"/>
    <w:rsid w:val="003D04BF"/>
    <w:rsid w:val="003D0B5E"/>
    <w:rsid w:val="003D0C92"/>
    <w:rsid w:val="003D0F37"/>
    <w:rsid w:val="003D105E"/>
    <w:rsid w:val="003D1135"/>
    <w:rsid w:val="003D200F"/>
    <w:rsid w:val="003D20E1"/>
    <w:rsid w:val="003D22FA"/>
    <w:rsid w:val="003D292E"/>
    <w:rsid w:val="003D2FC0"/>
    <w:rsid w:val="003D3204"/>
    <w:rsid w:val="003D3D40"/>
    <w:rsid w:val="003D3FAF"/>
    <w:rsid w:val="003D4272"/>
    <w:rsid w:val="003D4376"/>
    <w:rsid w:val="003D44DE"/>
    <w:rsid w:val="003D46DD"/>
    <w:rsid w:val="003D4930"/>
    <w:rsid w:val="003D5464"/>
    <w:rsid w:val="003D5AA6"/>
    <w:rsid w:val="003D5DF8"/>
    <w:rsid w:val="003D6072"/>
    <w:rsid w:val="003D6B51"/>
    <w:rsid w:val="003D6E6C"/>
    <w:rsid w:val="003D7087"/>
    <w:rsid w:val="003D741E"/>
    <w:rsid w:val="003D75A6"/>
    <w:rsid w:val="003E05B1"/>
    <w:rsid w:val="003E06C7"/>
    <w:rsid w:val="003E096B"/>
    <w:rsid w:val="003E0A6B"/>
    <w:rsid w:val="003E0EE2"/>
    <w:rsid w:val="003E10D6"/>
    <w:rsid w:val="003E1109"/>
    <w:rsid w:val="003E1566"/>
    <w:rsid w:val="003E15B9"/>
    <w:rsid w:val="003E246A"/>
    <w:rsid w:val="003E2A58"/>
    <w:rsid w:val="003E3D4D"/>
    <w:rsid w:val="003E403F"/>
    <w:rsid w:val="003E4476"/>
    <w:rsid w:val="003E46FF"/>
    <w:rsid w:val="003E5223"/>
    <w:rsid w:val="003E523D"/>
    <w:rsid w:val="003E545D"/>
    <w:rsid w:val="003E54E7"/>
    <w:rsid w:val="003E5644"/>
    <w:rsid w:val="003E5987"/>
    <w:rsid w:val="003E60D8"/>
    <w:rsid w:val="003E62A8"/>
    <w:rsid w:val="003E677B"/>
    <w:rsid w:val="003E7258"/>
    <w:rsid w:val="003E7E30"/>
    <w:rsid w:val="003E7FE3"/>
    <w:rsid w:val="003F00DA"/>
    <w:rsid w:val="003F04A4"/>
    <w:rsid w:val="003F0737"/>
    <w:rsid w:val="003F07EA"/>
    <w:rsid w:val="003F09DD"/>
    <w:rsid w:val="003F0DF8"/>
    <w:rsid w:val="003F2A9E"/>
    <w:rsid w:val="003F2C78"/>
    <w:rsid w:val="003F33B0"/>
    <w:rsid w:val="003F3B64"/>
    <w:rsid w:val="003F431D"/>
    <w:rsid w:val="003F46CA"/>
    <w:rsid w:val="003F517F"/>
    <w:rsid w:val="003F5B8E"/>
    <w:rsid w:val="003F606F"/>
    <w:rsid w:val="003F60FF"/>
    <w:rsid w:val="003F6449"/>
    <w:rsid w:val="003F682D"/>
    <w:rsid w:val="003F73F2"/>
    <w:rsid w:val="003F74D2"/>
    <w:rsid w:val="00400071"/>
    <w:rsid w:val="004008FB"/>
    <w:rsid w:val="00401593"/>
    <w:rsid w:val="004018CC"/>
    <w:rsid w:val="00401A6E"/>
    <w:rsid w:val="00401F0D"/>
    <w:rsid w:val="00401FEE"/>
    <w:rsid w:val="004021C5"/>
    <w:rsid w:val="00403681"/>
    <w:rsid w:val="00403CEE"/>
    <w:rsid w:val="004046A3"/>
    <w:rsid w:val="00405137"/>
    <w:rsid w:val="0040544A"/>
    <w:rsid w:val="004054E9"/>
    <w:rsid w:val="0040572E"/>
    <w:rsid w:val="00406A52"/>
    <w:rsid w:val="00406C6B"/>
    <w:rsid w:val="00407910"/>
    <w:rsid w:val="00407D5C"/>
    <w:rsid w:val="00407F6D"/>
    <w:rsid w:val="004100BC"/>
    <w:rsid w:val="00410CC9"/>
    <w:rsid w:val="004112C5"/>
    <w:rsid w:val="004115E1"/>
    <w:rsid w:val="004116FE"/>
    <w:rsid w:val="00411A20"/>
    <w:rsid w:val="00412358"/>
    <w:rsid w:val="00413844"/>
    <w:rsid w:val="00413AD3"/>
    <w:rsid w:val="00413EEA"/>
    <w:rsid w:val="00413FC2"/>
    <w:rsid w:val="00414151"/>
    <w:rsid w:val="004144D8"/>
    <w:rsid w:val="004149A7"/>
    <w:rsid w:val="00414FA5"/>
    <w:rsid w:val="00415927"/>
    <w:rsid w:val="00415C15"/>
    <w:rsid w:val="00415E1B"/>
    <w:rsid w:val="00415E52"/>
    <w:rsid w:val="004173BF"/>
    <w:rsid w:val="004176B6"/>
    <w:rsid w:val="00417A4E"/>
    <w:rsid w:val="00417BAF"/>
    <w:rsid w:val="00420524"/>
    <w:rsid w:val="0042080F"/>
    <w:rsid w:val="00421357"/>
    <w:rsid w:val="00421DF4"/>
    <w:rsid w:val="00421E8B"/>
    <w:rsid w:val="00422898"/>
    <w:rsid w:val="00422EA7"/>
    <w:rsid w:val="004232F6"/>
    <w:rsid w:val="00423707"/>
    <w:rsid w:val="00423E8B"/>
    <w:rsid w:val="00424030"/>
    <w:rsid w:val="00424404"/>
    <w:rsid w:val="004249FE"/>
    <w:rsid w:val="00424AAE"/>
    <w:rsid w:val="00425C17"/>
    <w:rsid w:val="00426051"/>
    <w:rsid w:val="004262C2"/>
    <w:rsid w:val="00426391"/>
    <w:rsid w:val="0042650E"/>
    <w:rsid w:val="00426922"/>
    <w:rsid w:val="00426BF6"/>
    <w:rsid w:val="00426D21"/>
    <w:rsid w:val="00427C89"/>
    <w:rsid w:val="00427CD5"/>
    <w:rsid w:val="004309AF"/>
    <w:rsid w:val="00430CA2"/>
    <w:rsid w:val="004311CB"/>
    <w:rsid w:val="004313E8"/>
    <w:rsid w:val="00431751"/>
    <w:rsid w:val="00431F46"/>
    <w:rsid w:val="00432199"/>
    <w:rsid w:val="004326A5"/>
    <w:rsid w:val="004331AB"/>
    <w:rsid w:val="00434304"/>
    <w:rsid w:val="00434C54"/>
    <w:rsid w:val="00434C92"/>
    <w:rsid w:val="00435D80"/>
    <w:rsid w:val="004361BF"/>
    <w:rsid w:val="00436651"/>
    <w:rsid w:val="00436F19"/>
    <w:rsid w:val="0043742F"/>
    <w:rsid w:val="00437586"/>
    <w:rsid w:val="00437649"/>
    <w:rsid w:val="00437A6D"/>
    <w:rsid w:val="00437F87"/>
    <w:rsid w:val="00437FA3"/>
    <w:rsid w:val="004401D0"/>
    <w:rsid w:val="0044058A"/>
    <w:rsid w:val="00441768"/>
    <w:rsid w:val="00441910"/>
    <w:rsid w:val="00441BC3"/>
    <w:rsid w:val="00441FFE"/>
    <w:rsid w:val="004423F1"/>
    <w:rsid w:val="004424CE"/>
    <w:rsid w:val="00443432"/>
    <w:rsid w:val="00443916"/>
    <w:rsid w:val="00444384"/>
    <w:rsid w:val="004443B8"/>
    <w:rsid w:val="004443BA"/>
    <w:rsid w:val="004447D4"/>
    <w:rsid w:val="00444815"/>
    <w:rsid w:val="004450A1"/>
    <w:rsid w:val="004450B7"/>
    <w:rsid w:val="00445A09"/>
    <w:rsid w:val="00446C27"/>
    <w:rsid w:val="00447027"/>
    <w:rsid w:val="004473E8"/>
    <w:rsid w:val="00447D39"/>
    <w:rsid w:val="00447F31"/>
    <w:rsid w:val="004504E7"/>
    <w:rsid w:val="00450836"/>
    <w:rsid w:val="00450F49"/>
    <w:rsid w:val="004511D0"/>
    <w:rsid w:val="00451266"/>
    <w:rsid w:val="00451E2E"/>
    <w:rsid w:val="00452727"/>
    <w:rsid w:val="00452B21"/>
    <w:rsid w:val="00452B3B"/>
    <w:rsid w:val="00452C42"/>
    <w:rsid w:val="00452E9E"/>
    <w:rsid w:val="00453160"/>
    <w:rsid w:val="00453B40"/>
    <w:rsid w:val="00453E75"/>
    <w:rsid w:val="00454419"/>
    <w:rsid w:val="0045487A"/>
    <w:rsid w:val="004549E7"/>
    <w:rsid w:val="00454B79"/>
    <w:rsid w:val="00454DD1"/>
    <w:rsid w:val="00454E85"/>
    <w:rsid w:val="004551B8"/>
    <w:rsid w:val="00455DD1"/>
    <w:rsid w:val="00456620"/>
    <w:rsid w:val="004575C5"/>
    <w:rsid w:val="00457CA0"/>
    <w:rsid w:val="00457D3B"/>
    <w:rsid w:val="004606D6"/>
    <w:rsid w:val="0046092E"/>
    <w:rsid w:val="00460BD7"/>
    <w:rsid w:val="00460CC3"/>
    <w:rsid w:val="0046104C"/>
    <w:rsid w:val="004611BF"/>
    <w:rsid w:val="004614C9"/>
    <w:rsid w:val="00461840"/>
    <w:rsid w:val="004619F5"/>
    <w:rsid w:val="00461F90"/>
    <w:rsid w:val="0046279E"/>
    <w:rsid w:val="00462D73"/>
    <w:rsid w:val="00462DF8"/>
    <w:rsid w:val="00462E29"/>
    <w:rsid w:val="00462FC0"/>
    <w:rsid w:val="00463200"/>
    <w:rsid w:val="00463530"/>
    <w:rsid w:val="004636AB"/>
    <w:rsid w:val="00463B9F"/>
    <w:rsid w:val="00463E80"/>
    <w:rsid w:val="00463E99"/>
    <w:rsid w:val="00463F6B"/>
    <w:rsid w:val="00464508"/>
    <w:rsid w:val="004646E4"/>
    <w:rsid w:val="00464EBE"/>
    <w:rsid w:val="00465115"/>
    <w:rsid w:val="00465387"/>
    <w:rsid w:val="004653FA"/>
    <w:rsid w:val="004654A1"/>
    <w:rsid w:val="004661CB"/>
    <w:rsid w:val="00466317"/>
    <w:rsid w:val="00466339"/>
    <w:rsid w:val="004665E1"/>
    <w:rsid w:val="00467084"/>
    <w:rsid w:val="00467201"/>
    <w:rsid w:val="00467CF5"/>
    <w:rsid w:val="00467DE0"/>
    <w:rsid w:val="00467F25"/>
    <w:rsid w:val="00470129"/>
    <w:rsid w:val="0047079C"/>
    <w:rsid w:val="00470B8E"/>
    <w:rsid w:val="00470C8D"/>
    <w:rsid w:val="004710EF"/>
    <w:rsid w:val="00471973"/>
    <w:rsid w:val="00471A8F"/>
    <w:rsid w:val="00471ACB"/>
    <w:rsid w:val="00472237"/>
    <w:rsid w:val="00472BE9"/>
    <w:rsid w:val="00472E02"/>
    <w:rsid w:val="00472E41"/>
    <w:rsid w:val="00473E48"/>
    <w:rsid w:val="00474069"/>
    <w:rsid w:val="004742A3"/>
    <w:rsid w:val="004749FC"/>
    <w:rsid w:val="00474D8C"/>
    <w:rsid w:val="00474E7E"/>
    <w:rsid w:val="00474F38"/>
    <w:rsid w:val="00475B22"/>
    <w:rsid w:val="00475CF2"/>
    <w:rsid w:val="00475E69"/>
    <w:rsid w:val="00476E91"/>
    <w:rsid w:val="00476F27"/>
    <w:rsid w:val="00480491"/>
    <w:rsid w:val="004809E3"/>
    <w:rsid w:val="00481532"/>
    <w:rsid w:val="004816A0"/>
    <w:rsid w:val="004822F7"/>
    <w:rsid w:val="00482DF0"/>
    <w:rsid w:val="0048312A"/>
    <w:rsid w:val="004832F3"/>
    <w:rsid w:val="004833D0"/>
    <w:rsid w:val="0048358E"/>
    <w:rsid w:val="0048468E"/>
    <w:rsid w:val="004849FC"/>
    <w:rsid w:val="00484CFB"/>
    <w:rsid w:val="004850D1"/>
    <w:rsid w:val="00485320"/>
    <w:rsid w:val="00485555"/>
    <w:rsid w:val="0048582B"/>
    <w:rsid w:val="0048651E"/>
    <w:rsid w:val="0048664D"/>
    <w:rsid w:val="00486923"/>
    <w:rsid w:val="004869BD"/>
    <w:rsid w:val="004877F2"/>
    <w:rsid w:val="00490085"/>
    <w:rsid w:val="004900E3"/>
    <w:rsid w:val="004901F1"/>
    <w:rsid w:val="00490942"/>
    <w:rsid w:val="00492581"/>
    <w:rsid w:val="0049266D"/>
    <w:rsid w:val="004927BC"/>
    <w:rsid w:val="00492ED1"/>
    <w:rsid w:val="004931BF"/>
    <w:rsid w:val="00493546"/>
    <w:rsid w:val="00494646"/>
    <w:rsid w:val="00494BDB"/>
    <w:rsid w:val="00494D29"/>
    <w:rsid w:val="00494E0C"/>
    <w:rsid w:val="00494F2D"/>
    <w:rsid w:val="00494F53"/>
    <w:rsid w:val="00495447"/>
    <w:rsid w:val="00496264"/>
    <w:rsid w:val="00496428"/>
    <w:rsid w:val="0049664A"/>
    <w:rsid w:val="0049675B"/>
    <w:rsid w:val="004968B9"/>
    <w:rsid w:val="00496BCB"/>
    <w:rsid w:val="00496E7D"/>
    <w:rsid w:val="0049717E"/>
    <w:rsid w:val="004972BB"/>
    <w:rsid w:val="004974F6"/>
    <w:rsid w:val="00497E64"/>
    <w:rsid w:val="00497EEB"/>
    <w:rsid w:val="004A0023"/>
    <w:rsid w:val="004A06FE"/>
    <w:rsid w:val="004A0719"/>
    <w:rsid w:val="004A072B"/>
    <w:rsid w:val="004A0954"/>
    <w:rsid w:val="004A0DB8"/>
    <w:rsid w:val="004A0E52"/>
    <w:rsid w:val="004A0F0C"/>
    <w:rsid w:val="004A13C5"/>
    <w:rsid w:val="004A1576"/>
    <w:rsid w:val="004A1816"/>
    <w:rsid w:val="004A19DE"/>
    <w:rsid w:val="004A1B61"/>
    <w:rsid w:val="004A1D0A"/>
    <w:rsid w:val="004A1F60"/>
    <w:rsid w:val="004A24E1"/>
    <w:rsid w:val="004A2543"/>
    <w:rsid w:val="004A27EF"/>
    <w:rsid w:val="004A27F6"/>
    <w:rsid w:val="004A2D1C"/>
    <w:rsid w:val="004A4160"/>
    <w:rsid w:val="004A451F"/>
    <w:rsid w:val="004A471A"/>
    <w:rsid w:val="004A5042"/>
    <w:rsid w:val="004A53F9"/>
    <w:rsid w:val="004A5523"/>
    <w:rsid w:val="004A580C"/>
    <w:rsid w:val="004A59B0"/>
    <w:rsid w:val="004A62FD"/>
    <w:rsid w:val="004A6371"/>
    <w:rsid w:val="004A650C"/>
    <w:rsid w:val="004A6A7A"/>
    <w:rsid w:val="004A74C0"/>
    <w:rsid w:val="004A7728"/>
    <w:rsid w:val="004A7CD4"/>
    <w:rsid w:val="004A7FA2"/>
    <w:rsid w:val="004B01B1"/>
    <w:rsid w:val="004B0DE0"/>
    <w:rsid w:val="004B1347"/>
    <w:rsid w:val="004B14E3"/>
    <w:rsid w:val="004B178C"/>
    <w:rsid w:val="004B1CC7"/>
    <w:rsid w:val="004B21AB"/>
    <w:rsid w:val="004B2AAE"/>
    <w:rsid w:val="004B32EC"/>
    <w:rsid w:val="004B3526"/>
    <w:rsid w:val="004B3719"/>
    <w:rsid w:val="004B39F5"/>
    <w:rsid w:val="004B472A"/>
    <w:rsid w:val="004B4D1D"/>
    <w:rsid w:val="004B4F11"/>
    <w:rsid w:val="004B4F35"/>
    <w:rsid w:val="004B5485"/>
    <w:rsid w:val="004B6831"/>
    <w:rsid w:val="004B69C0"/>
    <w:rsid w:val="004B6AD2"/>
    <w:rsid w:val="004B7036"/>
    <w:rsid w:val="004B72FB"/>
    <w:rsid w:val="004B78AC"/>
    <w:rsid w:val="004C1363"/>
    <w:rsid w:val="004C2DB8"/>
    <w:rsid w:val="004C3061"/>
    <w:rsid w:val="004C334A"/>
    <w:rsid w:val="004C35D1"/>
    <w:rsid w:val="004C3A2D"/>
    <w:rsid w:val="004C3A5B"/>
    <w:rsid w:val="004C3DE3"/>
    <w:rsid w:val="004C4FCE"/>
    <w:rsid w:val="004C52B7"/>
    <w:rsid w:val="004C584F"/>
    <w:rsid w:val="004C5930"/>
    <w:rsid w:val="004C5C21"/>
    <w:rsid w:val="004C5D23"/>
    <w:rsid w:val="004C60C3"/>
    <w:rsid w:val="004C6207"/>
    <w:rsid w:val="004C6AE8"/>
    <w:rsid w:val="004C6BE6"/>
    <w:rsid w:val="004C6E6A"/>
    <w:rsid w:val="004C778E"/>
    <w:rsid w:val="004C7C8E"/>
    <w:rsid w:val="004D03CF"/>
    <w:rsid w:val="004D24BD"/>
    <w:rsid w:val="004D26B2"/>
    <w:rsid w:val="004D2850"/>
    <w:rsid w:val="004D2B73"/>
    <w:rsid w:val="004D3EAA"/>
    <w:rsid w:val="004D3F0F"/>
    <w:rsid w:val="004D4DD7"/>
    <w:rsid w:val="004D4DF2"/>
    <w:rsid w:val="004D53A6"/>
    <w:rsid w:val="004D58E8"/>
    <w:rsid w:val="004D6274"/>
    <w:rsid w:val="004D628E"/>
    <w:rsid w:val="004D696C"/>
    <w:rsid w:val="004D6B44"/>
    <w:rsid w:val="004D7618"/>
    <w:rsid w:val="004D7E7E"/>
    <w:rsid w:val="004E009C"/>
    <w:rsid w:val="004E069F"/>
    <w:rsid w:val="004E06B8"/>
    <w:rsid w:val="004E078D"/>
    <w:rsid w:val="004E09F4"/>
    <w:rsid w:val="004E1C44"/>
    <w:rsid w:val="004E22AA"/>
    <w:rsid w:val="004E2A3A"/>
    <w:rsid w:val="004E2D60"/>
    <w:rsid w:val="004E2E25"/>
    <w:rsid w:val="004E33A9"/>
    <w:rsid w:val="004E36B6"/>
    <w:rsid w:val="004E3BD0"/>
    <w:rsid w:val="004E4111"/>
    <w:rsid w:val="004E4489"/>
    <w:rsid w:val="004E514D"/>
    <w:rsid w:val="004E5CEA"/>
    <w:rsid w:val="004E66C2"/>
    <w:rsid w:val="004E6B67"/>
    <w:rsid w:val="004E7359"/>
    <w:rsid w:val="004E76AB"/>
    <w:rsid w:val="004E781C"/>
    <w:rsid w:val="004E79FF"/>
    <w:rsid w:val="004E7CB0"/>
    <w:rsid w:val="004E7E24"/>
    <w:rsid w:val="004F02E1"/>
    <w:rsid w:val="004F0AF9"/>
    <w:rsid w:val="004F1440"/>
    <w:rsid w:val="004F1AE4"/>
    <w:rsid w:val="004F1BEA"/>
    <w:rsid w:val="004F22FE"/>
    <w:rsid w:val="004F2399"/>
    <w:rsid w:val="004F23CA"/>
    <w:rsid w:val="004F26F0"/>
    <w:rsid w:val="004F2ACC"/>
    <w:rsid w:val="004F2F76"/>
    <w:rsid w:val="004F482E"/>
    <w:rsid w:val="004F4DDA"/>
    <w:rsid w:val="004F526B"/>
    <w:rsid w:val="004F5DFA"/>
    <w:rsid w:val="004F629B"/>
    <w:rsid w:val="004F6969"/>
    <w:rsid w:val="004F6C2B"/>
    <w:rsid w:val="004F7156"/>
    <w:rsid w:val="00500699"/>
    <w:rsid w:val="005011E5"/>
    <w:rsid w:val="00501241"/>
    <w:rsid w:val="0050142E"/>
    <w:rsid w:val="00501CFF"/>
    <w:rsid w:val="0050235E"/>
    <w:rsid w:val="00502475"/>
    <w:rsid w:val="00502883"/>
    <w:rsid w:val="00502DAE"/>
    <w:rsid w:val="00502FC5"/>
    <w:rsid w:val="00503388"/>
    <w:rsid w:val="005037ED"/>
    <w:rsid w:val="00504E8C"/>
    <w:rsid w:val="005051DE"/>
    <w:rsid w:val="00505221"/>
    <w:rsid w:val="0050632B"/>
    <w:rsid w:val="00506877"/>
    <w:rsid w:val="005069A7"/>
    <w:rsid w:val="00507843"/>
    <w:rsid w:val="00507BEF"/>
    <w:rsid w:val="005106E9"/>
    <w:rsid w:val="00510835"/>
    <w:rsid w:val="00510AA5"/>
    <w:rsid w:val="00510BD9"/>
    <w:rsid w:val="00510F5D"/>
    <w:rsid w:val="00511139"/>
    <w:rsid w:val="0051139E"/>
    <w:rsid w:val="0051255E"/>
    <w:rsid w:val="0051269D"/>
    <w:rsid w:val="0051275F"/>
    <w:rsid w:val="00512A6B"/>
    <w:rsid w:val="00512A85"/>
    <w:rsid w:val="00513D6B"/>
    <w:rsid w:val="005149CE"/>
    <w:rsid w:val="005155BC"/>
    <w:rsid w:val="00515735"/>
    <w:rsid w:val="00515793"/>
    <w:rsid w:val="0051602B"/>
    <w:rsid w:val="00516123"/>
    <w:rsid w:val="005166F9"/>
    <w:rsid w:val="00516EAA"/>
    <w:rsid w:val="00516FF5"/>
    <w:rsid w:val="005170A0"/>
    <w:rsid w:val="0051732F"/>
    <w:rsid w:val="00517677"/>
    <w:rsid w:val="00517A0F"/>
    <w:rsid w:val="00517A8C"/>
    <w:rsid w:val="00517C5F"/>
    <w:rsid w:val="00517D67"/>
    <w:rsid w:val="005202DB"/>
    <w:rsid w:val="00520EF7"/>
    <w:rsid w:val="005210F1"/>
    <w:rsid w:val="00521355"/>
    <w:rsid w:val="00521729"/>
    <w:rsid w:val="00521DF3"/>
    <w:rsid w:val="00521F0D"/>
    <w:rsid w:val="00522222"/>
    <w:rsid w:val="00522494"/>
    <w:rsid w:val="00522DD1"/>
    <w:rsid w:val="00522DED"/>
    <w:rsid w:val="00523F93"/>
    <w:rsid w:val="00524206"/>
    <w:rsid w:val="00524358"/>
    <w:rsid w:val="005251EE"/>
    <w:rsid w:val="00525BDD"/>
    <w:rsid w:val="005269FD"/>
    <w:rsid w:val="00527709"/>
    <w:rsid w:val="00527E43"/>
    <w:rsid w:val="00530BDC"/>
    <w:rsid w:val="00530ECB"/>
    <w:rsid w:val="00530F3A"/>
    <w:rsid w:val="005310EB"/>
    <w:rsid w:val="005317EB"/>
    <w:rsid w:val="00531A34"/>
    <w:rsid w:val="0053258C"/>
    <w:rsid w:val="00532F65"/>
    <w:rsid w:val="00534C87"/>
    <w:rsid w:val="00535D24"/>
    <w:rsid w:val="005361A9"/>
    <w:rsid w:val="005365DD"/>
    <w:rsid w:val="00536C02"/>
    <w:rsid w:val="00537585"/>
    <w:rsid w:val="0053758E"/>
    <w:rsid w:val="00537C24"/>
    <w:rsid w:val="00541489"/>
    <w:rsid w:val="005426FE"/>
    <w:rsid w:val="00542906"/>
    <w:rsid w:val="00542948"/>
    <w:rsid w:val="00542F51"/>
    <w:rsid w:val="005439E8"/>
    <w:rsid w:val="005441C4"/>
    <w:rsid w:val="005456E2"/>
    <w:rsid w:val="00545C89"/>
    <w:rsid w:val="00546193"/>
    <w:rsid w:val="005467F7"/>
    <w:rsid w:val="00546833"/>
    <w:rsid w:val="00546838"/>
    <w:rsid w:val="00546F08"/>
    <w:rsid w:val="005475E5"/>
    <w:rsid w:val="00547652"/>
    <w:rsid w:val="00547BA2"/>
    <w:rsid w:val="0055094E"/>
    <w:rsid w:val="00550AB3"/>
    <w:rsid w:val="005515CE"/>
    <w:rsid w:val="005516F7"/>
    <w:rsid w:val="005516FD"/>
    <w:rsid w:val="00551D05"/>
    <w:rsid w:val="00551D86"/>
    <w:rsid w:val="00551F00"/>
    <w:rsid w:val="00551F87"/>
    <w:rsid w:val="0055235B"/>
    <w:rsid w:val="00552529"/>
    <w:rsid w:val="00552813"/>
    <w:rsid w:val="00552C59"/>
    <w:rsid w:val="00553102"/>
    <w:rsid w:val="00553121"/>
    <w:rsid w:val="00553422"/>
    <w:rsid w:val="005535F1"/>
    <w:rsid w:val="005537F5"/>
    <w:rsid w:val="00553CBA"/>
    <w:rsid w:val="00554243"/>
    <w:rsid w:val="00554338"/>
    <w:rsid w:val="00554E4E"/>
    <w:rsid w:val="005553A3"/>
    <w:rsid w:val="005554E6"/>
    <w:rsid w:val="00555BF3"/>
    <w:rsid w:val="0055625F"/>
    <w:rsid w:val="00556752"/>
    <w:rsid w:val="00556AFD"/>
    <w:rsid w:val="00556D70"/>
    <w:rsid w:val="00556F8D"/>
    <w:rsid w:val="005602A4"/>
    <w:rsid w:val="00560862"/>
    <w:rsid w:val="00561D7B"/>
    <w:rsid w:val="00561F08"/>
    <w:rsid w:val="00562723"/>
    <w:rsid w:val="00562777"/>
    <w:rsid w:val="005629B3"/>
    <w:rsid w:val="00562FEC"/>
    <w:rsid w:val="0056340C"/>
    <w:rsid w:val="00563B52"/>
    <w:rsid w:val="00563FB5"/>
    <w:rsid w:val="00564067"/>
    <w:rsid w:val="00564C1E"/>
    <w:rsid w:val="00564D49"/>
    <w:rsid w:val="00565451"/>
    <w:rsid w:val="005656F9"/>
    <w:rsid w:val="00565F52"/>
    <w:rsid w:val="0056628C"/>
    <w:rsid w:val="00566732"/>
    <w:rsid w:val="005670C6"/>
    <w:rsid w:val="00567DB7"/>
    <w:rsid w:val="0057114A"/>
    <w:rsid w:val="00571918"/>
    <w:rsid w:val="0057196D"/>
    <w:rsid w:val="00571BDC"/>
    <w:rsid w:val="0057208E"/>
    <w:rsid w:val="00572157"/>
    <w:rsid w:val="0057219E"/>
    <w:rsid w:val="00572298"/>
    <w:rsid w:val="0057281B"/>
    <w:rsid w:val="0057292A"/>
    <w:rsid w:val="00572A02"/>
    <w:rsid w:val="00572ABC"/>
    <w:rsid w:val="00572C83"/>
    <w:rsid w:val="00573383"/>
    <w:rsid w:val="00573650"/>
    <w:rsid w:val="005737B6"/>
    <w:rsid w:val="00573B94"/>
    <w:rsid w:val="00573BD6"/>
    <w:rsid w:val="00573C78"/>
    <w:rsid w:val="00573F54"/>
    <w:rsid w:val="00574001"/>
    <w:rsid w:val="00574A0C"/>
    <w:rsid w:val="00574B2C"/>
    <w:rsid w:val="00574C27"/>
    <w:rsid w:val="00574CF8"/>
    <w:rsid w:val="00574DE7"/>
    <w:rsid w:val="00575F38"/>
    <w:rsid w:val="00575FE6"/>
    <w:rsid w:val="005765DB"/>
    <w:rsid w:val="005769CC"/>
    <w:rsid w:val="00576E10"/>
    <w:rsid w:val="005774E4"/>
    <w:rsid w:val="00577523"/>
    <w:rsid w:val="005776AC"/>
    <w:rsid w:val="0057782C"/>
    <w:rsid w:val="005779AA"/>
    <w:rsid w:val="00577D5E"/>
    <w:rsid w:val="00577DE3"/>
    <w:rsid w:val="00580547"/>
    <w:rsid w:val="00580A5B"/>
    <w:rsid w:val="005817A5"/>
    <w:rsid w:val="00581E81"/>
    <w:rsid w:val="00581F56"/>
    <w:rsid w:val="00581FDF"/>
    <w:rsid w:val="005826A1"/>
    <w:rsid w:val="005828E1"/>
    <w:rsid w:val="00583177"/>
    <w:rsid w:val="0058342F"/>
    <w:rsid w:val="005840AF"/>
    <w:rsid w:val="00584526"/>
    <w:rsid w:val="005846F8"/>
    <w:rsid w:val="00585991"/>
    <w:rsid w:val="00585A7E"/>
    <w:rsid w:val="00586285"/>
    <w:rsid w:val="005864D0"/>
    <w:rsid w:val="00586632"/>
    <w:rsid w:val="00586875"/>
    <w:rsid w:val="00586B85"/>
    <w:rsid w:val="0058700A"/>
    <w:rsid w:val="005870DC"/>
    <w:rsid w:val="005871B0"/>
    <w:rsid w:val="005878AE"/>
    <w:rsid w:val="005878D4"/>
    <w:rsid w:val="00587D71"/>
    <w:rsid w:val="00587DE6"/>
    <w:rsid w:val="005907AB"/>
    <w:rsid w:val="00590F0F"/>
    <w:rsid w:val="00591C77"/>
    <w:rsid w:val="00591E28"/>
    <w:rsid w:val="00591F0E"/>
    <w:rsid w:val="005927E7"/>
    <w:rsid w:val="00593963"/>
    <w:rsid w:val="00594036"/>
    <w:rsid w:val="00594546"/>
    <w:rsid w:val="005945B6"/>
    <w:rsid w:val="005951EA"/>
    <w:rsid w:val="0059570E"/>
    <w:rsid w:val="00595904"/>
    <w:rsid w:val="00595BDB"/>
    <w:rsid w:val="00595F2F"/>
    <w:rsid w:val="00596D69"/>
    <w:rsid w:val="00596E6A"/>
    <w:rsid w:val="005976B6"/>
    <w:rsid w:val="00597F33"/>
    <w:rsid w:val="005A00F2"/>
    <w:rsid w:val="005A04FC"/>
    <w:rsid w:val="005A0A9B"/>
    <w:rsid w:val="005A0AC9"/>
    <w:rsid w:val="005A0B72"/>
    <w:rsid w:val="005A1589"/>
    <w:rsid w:val="005A15BB"/>
    <w:rsid w:val="005A2905"/>
    <w:rsid w:val="005A2CF7"/>
    <w:rsid w:val="005A2D7C"/>
    <w:rsid w:val="005A339E"/>
    <w:rsid w:val="005A37F6"/>
    <w:rsid w:val="005A389E"/>
    <w:rsid w:val="005A42E0"/>
    <w:rsid w:val="005A42ED"/>
    <w:rsid w:val="005A513C"/>
    <w:rsid w:val="005A51AB"/>
    <w:rsid w:val="005A5AE5"/>
    <w:rsid w:val="005A5FC8"/>
    <w:rsid w:val="005A6A4C"/>
    <w:rsid w:val="005A6D21"/>
    <w:rsid w:val="005A6F5A"/>
    <w:rsid w:val="005A71CC"/>
    <w:rsid w:val="005A725E"/>
    <w:rsid w:val="005A72A6"/>
    <w:rsid w:val="005A7A85"/>
    <w:rsid w:val="005A7CC2"/>
    <w:rsid w:val="005A7D43"/>
    <w:rsid w:val="005B034C"/>
    <w:rsid w:val="005B05C4"/>
    <w:rsid w:val="005B1371"/>
    <w:rsid w:val="005B21AB"/>
    <w:rsid w:val="005B2792"/>
    <w:rsid w:val="005B30B6"/>
    <w:rsid w:val="005B3595"/>
    <w:rsid w:val="005B39CE"/>
    <w:rsid w:val="005B4062"/>
    <w:rsid w:val="005B41CF"/>
    <w:rsid w:val="005B478C"/>
    <w:rsid w:val="005B5169"/>
    <w:rsid w:val="005B564A"/>
    <w:rsid w:val="005B5B7C"/>
    <w:rsid w:val="005B5C6A"/>
    <w:rsid w:val="005B633B"/>
    <w:rsid w:val="005B68C9"/>
    <w:rsid w:val="005B69B3"/>
    <w:rsid w:val="005B7129"/>
    <w:rsid w:val="005B7264"/>
    <w:rsid w:val="005B73B1"/>
    <w:rsid w:val="005B789E"/>
    <w:rsid w:val="005C0A9A"/>
    <w:rsid w:val="005C0DC6"/>
    <w:rsid w:val="005C1026"/>
    <w:rsid w:val="005C1028"/>
    <w:rsid w:val="005C1251"/>
    <w:rsid w:val="005C1380"/>
    <w:rsid w:val="005C1AFB"/>
    <w:rsid w:val="005C2026"/>
    <w:rsid w:val="005C2111"/>
    <w:rsid w:val="005C2DA7"/>
    <w:rsid w:val="005C2E65"/>
    <w:rsid w:val="005C2FE7"/>
    <w:rsid w:val="005C31E2"/>
    <w:rsid w:val="005C370B"/>
    <w:rsid w:val="005C3CA0"/>
    <w:rsid w:val="005C3F28"/>
    <w:rsid w:val="005C41A0"/>
    <w:rsid w:val="005C43B1"/>
    <w:rsid w:val="005C4460"/>
    <w:rsid w:val="005C45E0"/>
    <w:rsid w:val="005C4B1A"/>
    <w:rsid w:val="005C5D55"/>
    <w:rsid w:val="005C5FD3"/>
    <w:rsid w:val="005C63EB"/>
    <w:rsid w:val="005C65D5"/>
    <w:rsid w:val="005C74D1"/>
    <w:rsid w:val="005C7D31"/>
    <w:rsid w:val="005C7E8A"/>
    <w:rsid w:val="005D020B"/>
    <w:rsid w:val="005D0336"/>
    <w:rsid w:val="005D033C"/>
    <w:rsid w:val="005D04DC"/>
    <w:rsid w:val="005D058F"/>
    <w:rsid w:val="005D0A61"/>
    <w:rsid w:val="005D0AD6"/>
    <w:rsid w:val="005D0D8A"/>
    <w:rsid w:val="005D15E8"/>
    <w:rsid w:val="005D1B99"/>
    <w:rsid w:val="005D244A"/>
    <w:rsid w:val="005D279F"/>
    <w:rsid w:val="005D2836"/>
    <w:rsid w:val="005D34E6"/>
    <w:rsid w:val="005D4178"/>
    <w:rsid w:val="005D433F"/>
    <w:rsid w:val="005D46F6"/>
    <w:rsid w:val="005D4FFA"/>
    <w:rsid w:val="005D5260"/>
    <w:rsid w:val="005D5293"/>
    <w:rsid w:val="005D598E"/>
    <w:rsid w:val="005D59B0"/>
    <w:rsid w:val="005D59CB"/>
    <w:rsid w:val="005D74A8"/>
    <w:rsid w:val="005D76ED"/>
    <w:rsid w:val="005D772C"/>
    <w:rsid w:val="005E0568"/>
    <w:rsid w:val="005E1423"/>
    <w:rsid w:val="005E1AAE"/>
    <w:rsid w:val="005E230E"/>
    <w:rsid w:val="005E2E76"/>
    <w:rsid w:val="005E3407"/>
    <w:rsid w:val="005E359F"/>
    <w:rsid w:val="005E3F13"/>
    <w:rsid w:val="005E4061"/>
    <w:rsid w:val="005E4197"/>
    <w:rsid w:val="005E4AFC"/>
    <w:rsid w:val="005E4F7B"/>
    <w:rsid w:val="005E5009"/>
    <w:rsid w:val="005E5B2A"/>
    <w:rsid w:val="005E5BB3"/>
    <w:rsid w:val="005E5C16"/>
    <w:rsid w:val="005E601E"/>
    <w:rsid w:val="005E602E"/>
    <w:rsid w:val="005E6499"/>
    <w:rsid w:val="005E67AC"/>
    <w:rsid w:val="005E6C78"/>
    <w:rsid w:val="005E71EB"/>
    <w:rsid w:val="005E7BA1"/>
    <w:rsid w:val="005F09B2"/>
    <w:rsid w:val="005F09FF"/>
    <w:rsid w:val="005F0AC8"/>
    <w:rsid w:val="005F0F40"/>
    <w:rsid w:val="005F0FB3"/>
    <w:rsid w:val="005F1210"/>
    <w:rsid w:val="005F12DB"/>
    <w:rsid w:val="005F19B9"/>
    <w:rsid w:val="005F1B6F"/>
    <w:rsid w:val="005F1DA3"/>
    <w:rsid w:val="005F36B3"/>
    <w:rsid w:val="005F3BCB"/>
    <w:rsid w:val="005F426F"/>
    <w:rsid w:val="005F4606"/>
    <w:rsid w:val="005F697E"/>
    <w:rsid w:val="005F69F6"/>
    <w:rsid w:val="005F6B96"/>
    <w:rsid w:val="0060007A"/>
    <w:rsid w:val="006000F6"/>
    <w:rsid w:val="006010BA"/>
    <w:rsid w:val="00601337"/>
    <w:rsid w:val="00601800"/>
    <w:rsid w:val="0060238E"/>
    <w:rsid w:val="00602455"/>
    <w:rsid w:val="00602658"/>
    <w:rsid w:val="006028C3"/>
    <w:rsid w:val="00602957"/>
    <w:rsid w:val="00602F71"/>
    <w:rsid w:val="00603037"/>
    <w:rsid w:val="0060362B"/>
    <w:rsid w:val="0060384F"/>
    <w:rsid w:val="00603A1D"/>
    <w:rsid w:val="00603A53"/>
    <w:rsid w:val="006043D4"/>
    <w:rsid w:val="00604AC4"/>
    <w:rsid w:val="00604AF4"/>
    <w:rsid w:val="00604B58"/>
    <w:rsid w:val="006057FA"/>
    <w:rsid w:val="00605D0B"/>
    <w:rsid w:val="006066D3"/>
    <w:rsid w:val="0060683C"/>
    <w:rsid w:val="00606C67"/>
    <w:rsid w:val="006071BD"/>
    <w:rsid w:val="0060741F"/>
    <w:rsid w:val="00607D5D"/>
    <w:rsid w:val="00607E65"/>
    <w:rsid w:val="00607FC0"/>
    <w:rsid w:val="006100E8"/>
    <w:rsid w:val="006104EA"/>
    <w:rsid w:val="00611366"/>
    <w:rsid w:val="00612031"/>
    <w:rsid w:val="00612164"/>
    <w:rsid w:val="00612887"/>
    <w:rsid w:val="0061332B"/>
    <w:rsid w:val="00613DC8"/>
    <w:rsid w:val="0061438A"/>
    <w:rsid w:val="00614FBD"/>
    <w:rsid w:val="00614FF7"/>
    <w:rsid w:val="0061518F"/>
    <w:rsid w:val="006153AF"/>
    <w:rsid w:val="0061561D"/>
    <w:rsid w:val="00615851"/>
    <w:rsid w:val="00615CBD"/>
    <w:rsid w:val="00615E77"/>
    <w:rsid w:val="006160C5"/>
    <w:rsid w:val="0061616A"/>
    <w:rsid w:val="00616FE0"/>
    <w:rsid w:val="0061720D"/>
    <w:rsid w:val="006176B4"/>
    <w:rsid w:val="006178F7"/>
    <w:rsid w:val="00620697"/>
    <w:rsid w:val="0062174F"/>
    <w:rsid w:val="006217FD"/>
    <w:rsid w:val="0062195D"/>
    <w:rsid w:val="00621F54"/>
    <w:rsid w:val="0062268D"/>
    <w:rsid w:val="006235EE"/>
    <w:rsid w:val="006238C1"/>
    <w:rsid w:val="00624935"/>
    <w:rsid w:val="00625569"/>
    <w:rsid w:val="0062630F"/>
    <w:rsid w:val="0062693A"/>
    <w:rsid w:val="00626C0D"/>
    <w:rsid w:val="00627071"/>
    <w:rsid w:val="00627772"/>
    <w:rsid w:val="00627C44"/>
    <w:rsid w:val="00627D9C"/>
    <w:rsid w:val="00627E27"/>
    <w:rsid w:val="006306C2"/>
    <w:rsid w:val="00630D93"/>
    <w:rsid w:val="00630F11"/>
    <w:rsid w:val="00631027"/>
    <w:rsid w:val="0063218E"/>
    <w:rsid w:val="00632679"/>
    <w:rsid w:val="00632909"/>
    <w:rsid w:val="0063299D"/>
    <w:rsid w:val="00632A43"/>
    <w:rsid w:val="00632F72"/>
    <w:rsid w:val="00633070"/>
    <w:rsid w:val="0063328C"/>
    <w:rsid w:val="006336A5"/>
    <w:rsid w:val="0063461E"/>
    <w:rsid w:val="0063471D"/>
    <w:rsid w:val="00634E4E"/>
    <w:rsid w:val="00634F29"/>
    <w:rsid w:val="00635216"/>
    <w:rsid w:val="00635B3B"/>
    <w:rsid w:val="00635C45"/>
    <w:rsid w:val="00635D05"/>
    <w:rsid w:val="0063603F"/>
    <w:rsid w:val="00636E86"/>
    <w:rsid w:val="0063781B"/>
    <w:rsid w:val="00641362"/>
    <w:rsid w:val="00641371"/>
    <w:rsid w:val="00641611"/>
    <w:rsid w:val="006426BE"/>
    <w:rsid w:val="00642A7B"/>
    <w:rsid w:val="00643427"/>
    <w:rsid w:val="00643B88"/>
    <w:rsid w:val="006446AF"/>
    <w:rsid w:val="006456B6"/>
    <w:rsid w:val="00645F0B"/>
    <w:rsid w:val="00646CD7"/>
    <w:rsid w:val="00646D61"/>
    <w:rsid w:val="0065101B"/>
    <w:rsid w:val="00651AD3"/>
    <w:rsid w:val="00651B97"/>
    <w:rsid w:val="006526E0"/>
    <w:rsid w:val="00652BF3"/>
    <w:rsid w:val="00652D8F"/>
    <w:rsid w:val="0065376F"/>
    <w:rsid w:val="00653B28"/>
    <w:rsid w:val="006543BD"/>
    <w:rsid w:val="006545EF"/>
    <w:rsid w:val="00654655"/>
    <w:rsid w:val="006548FA"/>
    <w:rsid w:val="00654AE1"/>
    <w:rsid w:val="00655265"/>
    <w:rsid w:val="006553F2"/>
    <w:rsid w:val="0065540A"/>
    <w:rsid w:val="00655874"/>
    <w:rsid w:val="00655B6D"/>
    <w:rsid w:val="00655D4C"/>
    <w:rsid w:val="00655D51"/>
    <w:rsid w:val="006561A8"/>
    <w:rsid w:val="00656326"/>
    <w:rsid w:val="00656D88"/>
    <w:rsid w:val="00656E77"/>
    <w:rsid w:val="00657020"/>
    <w:rsid w:val="006575AF"/>
    <w:rsid w:val="00657815"/>
    <w:rsid w:val="0065785B"/>
    <w:rsid w:val="0065795E"/>
    <w:rsid w:val="006579E6"/>
    <w:rsid w:val="00657BF6"/>
    <w:rsid w:val="00657C83"/>
    <w:rsid w:val="006606F2"/>
    <w:rsid w:val="00660FC8"/>
    <w:rsid w:val="00661555"/>
    <w:rsid w:val="00661AC6"/>
    <w:rsid w:val="00661FCE"/>
    <w:rsid w:val="006622DA"/>
    <w:rsid w:val="0066276F"/>
    <w:rsid w:val="0066372E"/>
    <w:rsid w:val="00663B58"/>
    <w:rsid w:val="00663EE5"/>
    <w:rsid w:val="006640A5"/>
    <w:rsid w:val="00665757"/>
    <w:rsid w:val="0066577F"/>
    <w:rsid w:val="00665B47"/>
    <w:rsid w:val="0066663E"/>
    <w:rsid w:val="00666699"/>
    <w:rsid w:val="00666733"/>
    <w:rsid w:val="00666F53"/>
    <w:rsid w:val="0066743A"/>
    <w:rsid w:val="00667484"/>
    <w:rsid w:val="0067057E"/>
    <w:rsid w:val="006708F8"/>
    <w:rsid w:val="00670A94"/>
    <w:rsid w:val="00670B0E"/>
    <w:rsid w:val="00671A49"/>
    <w:rsid w:val="00671EB4"/>
    <w:rsid w:val="00672758"/>
    <w:rsid w:val="00672AB4"/>
    <w:rsid w:val="00673040"/>
    <w:rsid w:val="006731DE"/>
    <w:rsid w:val="00673842"/>
    <w:rsid w:val="00674341"/>
    <w:rsid w:val="006747C5"/>
    <w:rsid w:val="00674872"/>
    <w:rsid w:val="00674B97"/>
    <w:rsid w:val="00674C99"/>
    <w:rsid w:val="006754CA"/>
    <w:rsid w:val="0067672A"/>
    <w:rsid w:val="006774FF"/>
    <w:rsid w:val="00677A26"/>
    <w:rsid w:val="00677EB8"/>
    <w:rsid w:val="00680BF1"/>
    <w:rsid w:val="00681327"/>
    <w:rsid w:val="0068169C"/>
    <w:rsid w:val="00681D17"/>
    <w:rsid w:val="00682B52"/>
    <w:rsid w:val="00682F46"/>
    <w:rsid w:val="00683696"/>
    <w:rsid w:val="0068405D"/>
    <w:rsid w:val="006841A4"/>
    <w:rsid w:val="006845F4"/>
    <w:rsid w:val="00685658"/>
    <w:rsid w:val="00685A40"/>
    <w:rsid w:val="00686350"/>
    <w:rsid w:val="00686415"/>
    <w:rsid w:val="00686986"/>
    <w:rsid w:val="00686AE5"/>
    <w:rsid w:val="00686AEE"/>
    <w:rsid w:val="00686DA2"/>
    <w:rsid w:val="006870D4"/>
    <w:rsid w:val="0069074A"/>
    <w:rsid w:val="0069119D"/>
    <w:rsid w:val="006911C4"/>
    <w:rsid w:val="00691349"/>
    <w:rsid w:val="00691B66"/>
    <w:rsid w:val="00692B5B"/>
    <w:rsid w:val="0069304E"/>
    <w:rsid w:val="0069342C"/>
    <w:rsid w:val="00693E88"/>
    <w:rsid w:val="00694492"/>
    <w:rsid w:val="00694B41"/>
    <w:rsid w:val="00696BAF"/>
    <w:rsid w:val="00696D22"/>
    <w:rsid w:val="006A05E1"/>
    <w:rsid w:val="006A0D39"/>
    <w:rsid w:val="006A1293"/>
    <w:rsid w:val="006A1394"/>
    <w:rsid w:val="006A143E"/>
    <w:rsid w:val="006A1A1C"/>
    <w:rsid w:val="006A21FD"/>
    <w:rsid w:val="006A26DE"/>
    <w:rsid w:val="006A26EF"/>
    <w:rsid w:val="006A2DBD"/>
    <w:rsid w:val="006A2F7A"/>
    <w:rsid w:val="006A31CE"/>
    <w:rsid w:val="006A3316"/>
    <w:rsid w:val="006A336B"/>
    <w:rsid w:val="006A47A2"/>
    <w:rsid w:val="006A498B"/>
    <w:rsid w:val="006A4EB1"/>
    <w:rsid w:val="006A4F38"/>
    <w:rsid w:val="006A56B1"/>
    <w:rsid w:val="006A6847"/>
    <w:rsid w:val="006A7E6B"/>
    <w:rsid w:val="006B03A5"/>
    <w:rsid w:val="006B0972"/>
    <w:rsid w:val="006B0D85"/>
    <w:rsid w:val="006B16F6"/>
    <w:rsid w:val="006B1C80"/>
    <w:rsid w:val="006B2434"/>
    <w:rsid w:val="006B2B0F"/>
    <w:rsid w:val="006B3221"/>
    <w:rsid w:val="006B33EF"/>
    <w:rsid w:val="006B380C"/>
    <w:rsid w:val="006B40F3"/>
    <w:rsid w:val="006B424C"/>
    <w:rsid w:val="006B47B6"/>
    <w:rsid w:val="006B4D53"/>
    <w:rsid w:val="006B51CE"/>
    <w:rsid w:val="006B6569"/>
    <w:rsid w:val="006B682A"/>
    <w:rsid w:val="006B68A2"/>
    <w:rsid w:val="006B719B"/>
    <w:rsid w:val="006B73FB"/>
    <w:rsid w:val="006B75C9"/>
    <w:rsid w:val="006C01EC"/>
    <w:rsid w:val="006C04BE"/>
    <w:rsid w:val="006C06CD"/>
    <w:rsid w:val="006C1255"/>
    <w:rsid w:val="006C13D0"/>
    <w:rsid w:val="006C1535"/>
    <w:rsid w:val="006C1DD0"/>
    <w:rsid w:val="006C224A"/>
    <w:rsid w:val="006C23E8"/>
    <w:rsid w:val="006C2A84"/>
    <w:rsid w:val="006C2B08"/>
    <w:rsid w:val="006C2BA6"/>
    <w:rsid w:val="006C2BC3"/>
    <w:rsid w:val="006C309B"/>
    <w:rsid w:val="006C3214"/>
    <w:rsid w:val="006C3450"/>
    <w:rsid w:val="006C3554"/>
    <w:rsid w:val="006C3AF7"/>
    <w:rsid w:val="006C3D27"/>
    <w:rsid w:val="006C41E7"/>
    <w:rsid w:val="006C4674"/>
    <w:rsid w:val="006C495F"/>
    <w:rsid w:val="006C59F8"/>
    <w:rsid w:val="006C6233"/>
    <w:rsid w:val="006C652C"/>
    <w:rsid w:val="006C68FA"/>
    <w:rsid w:val="006C6A6A"/>
    <w:rsid w:val="006C6EAB"/>
    <w:rsid w:val="006C6EF4"/>
    <w:rsid w:val="006C7102"/>
    <w:rsid w:val="006C723D"/>
    <w:rsid w:val="006C79EA"/>
    <w:rsid w:val="006D082D"/>
    <w:rsid w:val="006D0886"/>
    <w:rsid w:val="006D0F77"/>
    <w:rsid w:val="006D114A"/>
    <w:rsid w:val="006D21C3"/>
    <w:rsid w:val="006D2484"/>
    <w:rsid w:val="006D2B61"/>
    <w:rsid w:val="006D2B73"/>
    <w:rsid w:val="006D3156"/>
    <w:rsid w:val="006D3C4F"/>
    <w:rsid w:val="006D45BC"/>
    <w:rsid w:val="006D48CA"/>
    <w:rsid w:val="006D4A80"/>
    <w:rsid w:val="006D4AA3"/>
    <w:rsid w:val="006D4F57"/>
    <w:rsid w:val="006D50FC"/>
    <w:rsid w:val="006D515E"/>
    <w:rsid w:val="006D5B32"/>
    <w:rsid w:val="006D6F01"/>
    <w:rsid w:val="006D70FD"/>
    <w:rsid w:val="006D72B1"/>
    <w:rsid w:val="006D739A"/>
    <w:rsid w:val="006D7704"/>
    <w:rsid w:val="006D787C"/>
    <w:rsid w:val="006D7AFF"/>
    <w:rsid w:val="006D7C88"/>
    <w:rsid w:val="006E04CD"/>
    <w:rsid w:val="006E0A55"/>
    <w:rsid w:val="006E1009"/>
    <w:rsid w:val="006E1D15"/>
    <w:rsid w:val="006E2B64"/>
    <w:rsid w:val="006E2F10"/>
    <w:rsid w:val="006E3308"/>
    <w:rsid w:val="006E3740"/>
    <w:rsid w:val="006E383A"/>
    <w:rsid w:val="006E418D"/>
    <w:rsid w:val="006E6364"/>
    <w:rsid w:val="006E72CC"/>
    <w:rsid w:val="006E7618"/>
    <w:rsid w:val="006E7722"/>
    <w:rsid w:val="006E78CB"/>
    <w:rsid w:val="006E7A61"/>
    <w:rsid w:val="006F007A"/>
    <w:rsid w:val="006F1229"/>
    <w:rsid w:val="006F1509"/>
    <w:rsid w:val="006F1E3A"/>
    <w:rsid w:val="006F2BF7"/>
    <w:rsid w:val="006F3590"/>
    <w:rsid w:val="006F3748"/>
    <w:rsid w:val="006F3EDA"/>
    <w:rsid w:val="006F40CF"/>
    <w:rsid w:val="006F4C94"/>
    <w:rsid w:val="006F4DA2"/>
    <w:rsid w:val="006F59F1"/>
    <w:rsid w:val="006F5ACB"/>
    <w:rsid w:val="006F6115"/>
    <w:rsid w:val="006F6221"/>
    <w:rsid w:val="006F6306"/>
    <w:rsid w:val="006F65A7"/>
    <w:rsid w:val="006F6D25"/>
    <w:rsid w:val="006F71BB"/>
    <w:rsid w:val="006F71D4"/>
    <w:rsid w:val="006F7576"/>
    <w:rsid w:val="006F75C2"/>
    <w:rsid w:val="00700117"/>
    <w:rsid w:val="00700E0A"/>
    <w:rsid w:val="00700FF3"/>
    <w:rsid w:val="00701699"/>
    <w:rsid w:val="00701CEA"/>
    <w:rsid w:val="00701EFA"/>
    <w:rsid w:val="00702194"/>
    <w:rsid w:val="007021F8"/>
    <w:rsid w:val="0070241F"/>
    <w:rsid w:val="0070249A"/>
    <w:rsid w:val="00702D97"/>
    <w:rsid w:val="0070318C"/>
    <w:rsid w:val="0070334D"/>
    <w:rsid w:val="00703CEA"/>
    <w:rsid w:val="00703D8B"/>
    <w:rsid w:val="00703E43"/>
    <w:rsid w:val="00704A9C"/>
    <w:rsid w:val="00704E29"/>
    <w:rsid w:val="007056AA"/>
    <w:rsid w:val="00705973"/>
    <w:rsid w:val="00705C68"/>
    <w:rsid w:val="00705D48"/>
    <w:rsid w:val="00705E51"/>
    <w:rsid w:val="007061F0"/>
    <w:rsid w:val="00706470"/>
    <w:rsid w:val="0070740E"/>
    <w:rsid w:val="007077B1"/>
    <w:rsid w:val="0071045B"/>
    <w:rsid w:val="007105CC"/>
    <w:rsid w:val="00710801"/>
    <w:rsid w:val="00710A97"/>
    <w:rsid w:val="00710D7F"/>
    <w:rsid w:val="007116CD"/>
    <w:rsid w:val="007120E8"/>
    <w:rsid w:val="0071367F"/>
    <w:rsid w:val="00713F4A"/>
    <w:rsid w:val="0071425D"/>
    <w:rsid w:val="00714D58"/>
    <w:rsid w:val="0071525D"/>
    <w:rsid w:val="00715BA7"/>
    <w:rsid w:val="00715C33"/>
    <w:rsid w:val="00716209"/>
    <w:rsid w:val="00716249"/>
    <w:rsid w:val="0071668D"/>
    <w:rsid w:val="00717647"/>
    <w:rsid w:val="00717A3B"/>
    <w:rsid w:val="00717B27"/>
    <w:rsid w:val="00720BC7"/>
    <w:rsid w:val="00720D33"/>
    <w:rsid w:val="00720EB9"/>
    <w:rsid w:val="00720FCF"/>
    <w:rsid w:val="00721055"/>
    <w:rsid w:val="0072130A"/>
    <w:rsid w:val="00721447"/>
    <w:rsid w:val="00721CA1"/>
    <w:rsid w:val="00722397"/>
    <w:rsid w:val="00722F48"/>
    <w:rsid w:val="0072325C"/>
    <w:rsid w:val="007239BE"/>
    <w:rsid w:val="00723F63"/>
    <w:rsid w:val="00723FFA"/>
    <w:rsid w:val="007243BA"/>
    <w:rsid w:val="00724432"/>
    <w:rsid w:val="007255D9"/>
    <w:rsid w:val="00725998"/>
    <w:rsid w:val="0072651C"/>
    <w:rsid w:val="00726727"/>
    <w:rsid w:val="0072676B"/>
    <w:rsid w:val="00727C78"/>
    <w:rsid w:val="00727ECA"/>
    <w:rsid w:val="007302B8"/>
    <w:rsid w:val="00730B5C"/>
    <w:rsid w:val="00731110"/>
    <w:rsid w:val="00731B80"/>
    <w:rsid w:val="00731BF6"/>
    <w:rsid w:val="0073296E"/>
    <w:rsid w:val="00732BBE"/>
    <w:rsid w:val="0073317E"/>
    <w:rsid w:val="00733213"/>
    <w:rsid w:val="00733325"/>
    <w:rsid w:val="00733346"/>
    <w:rsid w:val="00733D5F"/>
    <w:rsid w:val="00733DEE"/>
    <w:rsid w:val="00733EBE"/>
    <w:rsid w:val="00734D21"/>
    <w:rsid w:val="00734E2D"/>
    <w:rsid w:val="007354FB"/>
    <w:rsid w:val="0073567C"/>
    <w:rsid w:val="0073570C"/>
    <w:rsid w:val="007365B9"/>
    <w:rsid w:val="00736806"/>
    <w:rsid w:val="0073780D"/>
    <w:rsid w:val="0074028E"/>
    <w:rsid w:val="007403B6"/>
    <w:rsid w:val="007405EB"/>
    <w:rsid w:val="007406E3"/>
    <w:rsid w:val="007407F9"/>
    <w:rsid w:val="00740A53"/>
    <w:rsid w:val="0074189B"/>
    <w:rsid w:val="007424B8"/>
    <w:rsid w:val="00742B1B"/>
    <w:rsid w:val="00743502"/>
    <w:rsid w:val="0074388A"/>
    <w:rsid w:val="00743C0F"/>
    <w:rsid w:val="00743D68"/>
    <w:rsid w:val="007446E6"/>
    <w:rsid w:val="00744C1B"/>
    <w:rsid w:val="00744D1E"/>
    <w:rsid w:val="00745132"/>
    <w:rsid w:val="00745D7C"/>
    <w:rsid w:val="00745E82"/>
    <w:rsid w:val="00746314"/>
    <w:rsid w:val="00747119"/>
    <w:rsid w:val="007476B0"/>
    <w:rsid w:val="0074772A"/>
    <w:rsid w:val="00747767"/>
    <w:rsid w:val="00747FE7"/>
    <w:rsid w:val="007502BC"/>
    <w:rsid w:val="00750750"/>
    <w:rsid w:val="007515EF"/>
    <w:rsid w:val="007519ED"/>
    <w:rsid w:val="00751A6E"/>
    <w:rsid w:val="00751B29"/>
    <w:rsid w:val="00751F05"/>
    <w:rsid w:val="00752323"/>
    <w:rsid w:val="007527FE"/>
    <w:rsid w:val="00752BA5"/>
    <w:rsid w:val="00752E2E"/>
    <w:rsid w:val="0075302B"/>
    <w:rsid w:val="00753545"/>
    <w:rsid w:val="007536B9"/>
    <w:rsid w:val="007539CC"/>
    <w:rsid w:val="00754386"/>
    <w:rsid w:val="007546A9"/>
    <w:rsid w:val="00754964"/>
    <w:rsid w:val="00755F35"/>
    <w:rsid w:val="007560A9"/>
    <w:rsid w:val="00756E63"/>
    <w:rsid w:val="007602D2"/>
    <w:rsid w:val="00760B26"/>
    <w:rsid w:val="00760BB6"/>
    <w:rsid w:val="00760C01"/>
    <w:rsid w:val="00760DEA"/>
    <w:rsid w:val="00760E02"/>
    <w:rsid w:val="00761147"/>
    <w:rsid w:val="00761364"/>
    <w:rsid w:val="00761733"/>
    <w:rsid w:val="007623FC"/>
    <w:rsid w:val="007626E6"/>
    <w:rsid w:val="00762785"/>
    <w:rsid w:val="00762AF7"/>
    <w:rsid w:val="00762C8C"/>
    <w:rsid w:val="007630CC"/>
    <w:rsid w:val="0076319D"/>
    <w:rsid w:val="007633A8"/>
    <w:rsid w:val="00763912"/>
    <w:rsid w:val="00764099"/>
    <w:rsid w:val="00764312"/>
    <w:rsid w:val="007643FB"/>
    <w:rsid w:val="00764947"/>
    <w:rsid w:val="007650FD"/>
    <w:rsid w:val="0076530D"/>
    <w:rsid w:val="00765D0D"/>
    <w:rsid w:val="0076626B"/>
    <w:rsid w:val="00766C21"/>
    <w:rsid w:val="00766E1D"/>
    <w:rsid w:val="0076712F"/>
    <w:rsid w:val="00767719"/>
    <w:rsid w:val="007678CE"/>
    <w:rsid w:val="00767AF0"/>
    <w:rsid w:val="00767D46"/>
    <w:rsid w:val="007701C3"/>
    <w:rsid w:val="007712FC"/>
    <w:rsid w:val="007718F8"/>
    <w:rsid w:val="00771B54"/>
    <w:rsid w:val="00771FA0"/>
    <w:rsid w:val="007720C1"/>
    <w:rsid w:val="00772435"/>
    <w:rsid w:val="00772586"/>
    <w:rsid w:val="00772B0D"/>
    <w:rsid w:val="00772B1D"/>
    <w:rsid w:val="00772E4F"/>
    <w:rsid w:val="00773270"/>
    <w:rsid w:val="00773638"/>
    <w:rsid w:val="00773814"/>
    <w:rsid w:val="00773BB6"/>
    <w:rsid w:val="00773D71"/>
    <w:rsid w:val="00773E42"/>
    <w:rsid w:val="007742A7"/>
    <w:rsid w:val="00774FB2"/>
    <w:rsid w:val="007759FF"/>
    <w:rsid w:val="0077604E"/>
    <w:rsid w:val="00776426"/>
    <w:rsid w:val="00776717"/>
    <w:rsid w:val="00776ED9"/>
    <w:rsid w:val="00777A9D"/>
    <w:rsid w:val="00777EB5"/>
    <w:rsid w:val="007800D8"/>
    <w:rsid w:val="00780520"/>
    <w:rsid w:val="007808A3"/>
    <w:rsid w:val="0078126C"/>
    <w:rsid w:val="007817E2"/>
    <w:rsid w:val="00781E98"/>
    <w:rsid w:val="00781FB5"/>
    <w:rsid w:val="00782329"/>
    <w:rsid w:val="00782332"/>
    <w:rsid w:val="00782FB4"/>
    <w:rsid w:val="00783042"/>
    <w:rsid w:val="00783082"/>
    <w:rsid w:val="007830A2"/>
    <w:rsid w:val="00783297"/>
    <w:rsid w:val="007834C3"/>
    <w:rsid w:val="0078371D"/>
    <w:rsid w:val="00783AC7"/>
    <w:rsid w:val="00783CAA"/>
    <w:rsid w:val="00784225"/>
    <w:rsid w:val="007843B0"/>
    <w:rsid w:val="007845DA"/>
    <w:rsid w:val="007855D5"/>
    <w:rsid w:val="00786B86"/>
    <w:rsid w:val="00786B97"/>
    <w:rsid w:val="0078732F"/>
    <w:rsid w:val="007873E7"/>
    <w:rsid w:val="0078740B"/>
    <w:rsid w:val="007878EC"/>
    <w:rsid w:val="00787AED"/>
    <w:rsid w:val="00787F6D"/>
    <w:rsid w:val="00790111"/>
    <w:rsid w:val="007901F9"/>
    <w:rsid w:val="00790412"/>
    <w:rsid w:val="00790A80"/>
    <w:rsid w:val="007916C5"/>
    <w:rsid w:val="007917E0"/>
    <w:rsid w:val="007919C1"/>
    <w:rsid w:val="00791F08"/>
    <w:rsid w:val="00792293"/>
    <w:rsid w:val="007922C1"/>
    <w:rsid w:val="007923DD"/>
    <w:rsid w:val="0079241D"/>
    <w:rsid w:val="00792611"/>
    <w:rsid w:val="00792A93"/>
    <w:rsid w:val="0079349C"/>
    <w:rsid w:val="00793BEB"/>
    <w:rsid w:val="00793E83"/>
    <w:rsid w:val="007942FB"/>
    <w:rsid w:val="007947C3"/>
    <w:rsid w:val="00794B7A"/>
    <w:rsid w:val="00794E1A"/>
    <w:rsid w:val="00794FD6"/>
    <w:rsid w:val="0079513A"/>
    <w:rsid w:val="007953B7"/>
    <w:rsid w:val="007955D0"/>
    <w:rsid w:val="00795639"/>
    <w:rsid w:val="0079569F"/>
    <w:rsid w:val="007956CA"/>
    <w:rsid w:val="00795F5D"/>
    <w:rsid w:val="0079685C"/>
    <w:rsid w:val="00796BD3"/>
    <w:rsid w:val="00796BD6"/>
    <w:rsid w:val="00797029"/>
    <w:rsid w:val="007972BF"/>
    <w:rsid w:val="007973A3"/>
    <w:rsid w:val="00797420"/>
    <w:rsid w:val="00797534"/>
    <w:rsid w:val="0079788A"/>
    <w:rsid w:val="00797E9D"/>
    <w:rsid w:val="007A0A14"/>
    <w:rsid w:val="007A0D2D"/>
    <w:rsid w:val="007A14AA"/>
    <w:rsid w:val="007A293F"/>
    <w:rsid w:val="007A30CA"/>
    <w:rsid w:val="007A350C"/>
    <w:rsid w:val="007A381F"/>
    <w:rsid w:val="007A39D1"/>
    <w:rsid w:val="007A3C80"/>
    <w:rsid w:val="007A3DBA"/>
    <w:rsid w:val="007A4692"/>
    <w:rsid w:val="007A49E5"/>
    <w:rsid w:val="007A5E2C"/>
    <w:rsid w:val="007A5F21"/>
    <w:rsid w:val="007A63C1"/>
    <w:rsid w:val="007A6468"/>
    <w:rsid w:val="007A64EC"/>
    <w:rsid w:val="007A69AE"/>
    <w:rsid w:val="007A6D01"/>
    <w:rsid w:val="007A7068"/>
    <w:rsid w:val="007A7156"/>
    <w:rsid w:val="007A71B7"/>
    <w:rsid w:val="007A7857"/>
    <w:rsid w:val="007A7B94"/>
    <w:rsid w:val="007A7ED1"/>
    <w:rsid w:val="007B0542"/>
    <w:rsid w:val="007B07C5"/>
    <w:rsid w:val="007B0CEE"/>
    <w:rsid w:val="007B1018"/>
    <w:rsid w:val="007B1195"/>
    <w:rsid w:val="007B14B0"/>
    <w:rsid w:val="007B176E"/>
    <w:rsid w:val="007B180E"/>
    <w:rsid w:val="007B1934"/>
    <w:rsid w:val="007B1970"/>
    <w:rsid w:val="007B2776"/>
    <w:rsid w:val="007B3107"/>
    <w:rsid w:val="007B3625"/>
    <w:rsid w:val="007B3701"/>
    <w:rsid w:val="007B3B58"/>
    <w:rsid w:val="007B40AF"/>
    <w:rsid w:val="007B52B2"/>
    <w:rsid w:val="007B54C9"/>
    <w:rsid w:val="007B5A24"/>
    <w:rsid w:val="007B5F23"/>
    <w:rsid w:val="007B60CC"/>
    <w:rsid w:val="007B6399"/>
    <w:rsid w:val="007B6474"/>
    <w:rsid w:val="007B67E7"/>
    <w:rsid w:val="007B70CF"/>
    <w:rsid w:val="007B7437"/>
    <w:rsid w:val="007B77EA"/>
    <w:rsid w:val="007C0182"/>
    <w:rsid w:val="007C0319"/>
    <w:rsid w:val="007C057C"/>
    <w:rsid w:val="007C117D"/>
    <w:rsid w:val="007C13FD"/>
    <w:rsid w:val="007C1B8E"/>
    <w:rsid w:val="007C20BD"/>
    <w:rsid w:val="007C2342"/>
    <w:rsid w:val="007C23FE"/>
    <w:rsid w:val="007C24E3"/>
    <w:rsid w:val="007C2B49"/>
    <w:rsid w:val="007C2D28"/>
    <w:rsid w:val="007C3404"/>
    <w:rsid w:val="007C3F3D"/>
    <w:rsid w:val="007C4234"/>
    <w:rsid w:val="007C4E22"/>
    <w:rsid w:val="007C503B"/>
    <w:rsid w:val="007C52FB"/>
    <w:rsid w:val="007C5F93"/>
    <w:rsid w:val="007C604C"/>
    <w:rsid w:val="007C6598"/>
    <w:rsid w:val="007C663E"/>
    <w:rsid w:val="007C668A"/>
    <w:rsid w:val="007C67BC"/>
    <w:rsid w:val="007C6834"/>
    <w:rsid w:val="007C6CB6"/>
    <w:rsid w:val="007C7C1F"/>
    <w:rsid w:val="007D0063"/>
    <w:rsid w:val="007D0673"/>
    <w:rsid w:val="007D0915"/>
    <w:rsid w:val="007D0A28"/>
    <w:rsid w:val="007D1279"/>
    <w:rsid w:val="007D2161"/>
    <w:rsid w:val="007D22AF"/>
    <w:rsid w:val="007D293B"/>
    <w:rsid w:val="007D29A0"/>
    <w:rsid w:val="007D2BCE"/>
    <w:rsid w:val="007D2C2A"/>
    <w:rsid w:val="007D44B2"/>
    <w:rsid w:val="007D45C6"/>
    <w:rsid w:val="007D46D1"/>
    <w:rsid w:val="007D4E10"/>
    <w:rsid w:val="007D4E78"/>
    <w:rsid w:val="007D5596"/>
    <w:rsid w:val="007D56FC"/>
    <w:rsid w:val="007D5A8B"/>
    <w:rsid w:val="007D67BB"/>
    <w:rsid w:val="007D6B5A"/>
    <w:rsid w:val="007D6DDA"/>
    <w:rsid w:val="007D7216"/>
    <w:rsid w:val="007D7351"/>
    <w:rsid w:val="007D7515"/>
    <w:rsid w:val="007D777B"/>
    <w:rsid w:val="007D7D29"/>
    <w:rsid w:val="007E01F5"/>
    <w:rsid w:val="007E186E"/>
    <w:rsid w:val="007E196E"/>
    <w:rsid w:val="007E1A9E"/>
    <w:rsid w:val="007E22A7"/>
    <w:rsid w:val="007E23D5"/>
    <w:rsid w:val="007E304F"/>
    <w:rsid w:val="007E3184"/>
    <w:rsid w:val="007E354B"/>
    <w:rsid w:val="007E3A20"/>
    <w:rsid w:val="007E3ABD"/>
    <w:rsid w:val="007E3AFB"/>
    <w:rsid w:val="007E3C0F"/>
    <w:rsid w:val="007E4076"/>
    <w:rsid w:val="007E45CB"/>
    <w:rsid w:val="007E4727"/>
    <w:rsid w:val="007E49F5"/>
    <w:rsid w:val="007E515B"/>
    <w:rsid w:val="007E52A2"/>
    <w:rsid w:val="007E5BA6"/>
    <w:rsid w:val="007E5C6C"/>
    <w:rsid w:val="007E6162"/>
    <w:rsid w:val="007E63DB"/>
    <w:rsid w:val="007E684D"/>
    <w:rsid w:val="007E6CA4"/>
    <w:rsid w:val="007E6F06"/>
    <w:rsid w:val="007E743F"/>
    <w:rsid w:val="007E7BAB"/>
    <w:rsid w:val="007F0041"/>
    <w:rsid w:val="007F18F5"/>
    <w:rsid w:val="007F1A6A"/>
    <w:rsid w:val="007F1EF5"/>
    <w:rsid w:val="007F265C"/>
    <w:rsid w:val="007F28B8"/>
    <w:rsid w:val="007F297E"/>
    <w:rsid w:val="007F2ADC"/>
    <w:rsid w:val="007F2CAF"/>
    <w:rsid w:val="007F32D8"/>
    <w:rsid w:val="007F346D"/>
    <w:rsid w:val="007F356F"/>
    <w:rsid w:val="007F371C"/>
    <w:rsid w:val="007F4B4E"/>
    <w:rsid w:val="007F4E31"/>
    <w:rsid w:val="007F57A4"/>
    <w:rsid w:val="007F5E16"/>
    <w:rsid w:val="007F5F6F"/>
    <w:rsid w:val="007F699B"/>
    <w:rsid w:val="007F70F2"/>
    <w:rsid w:val="007F7B28"/>
    <w:rsid w:val="007F7C5D"/>
    <w:rsid w:val="007F7CBA"/>
    <w:rsid w:val="007F7DA1"/>
    <w:rsid w:val="007F7FF5"/>
    <w:rsid w:val="00800353"/>
    <w:rsid w:val="008004D4"/>
    <w:rsid w:val="00800612"/>
    <w:rsid w:val="00801472"/>
    <w:rsid w:val="0080204F"/>
    <w:rsid w:val="008023B7"/>
    <w:rsid w:val="008025D9"/>
    <w:rsid w:val="00802659"/>
    <w:rsid w:val="00802661"/>
    <w:rsid w:val="0080339A"/>
    <w:rsid w:val="00803532"/>
    <w:rsid w:val="008036A3"/>
    <w:rsid w:val="00803762"/>
    <w:rsid w:val="00803CA6"/>
    <w:rsid w:val="0080517F"/>
    <w:rsid w:val="00805192"/>
    <w:rsid w:val="0080526D"/>
    <w:rsid w:val="00805762"/>
    <w:rsid w:val="00805BAA"/>
    <w:rsid w:val="00806506"/>
    <w:rsid w:val="0080656F"/>
    <w:rsid w:val="0080698C"/>
    <w:rsid w:val="00806B41"/>
    <w:rsid w:val="00806B64"/>
    <w:rsid w:val="00806BCC"/>
    <w:rsid w:val="00807807"/>
    <w:rsid w:val="00807DBD"/>
    <w:rsid w:val="0081173B"/>
    <w:rsid w:val="00811863"/>
    <w:rsid w:val="00812787"/>
    <w:rsid w:val="00812E98"/>
    <w:rsid w:val="0081371E"/>
    <w:rsid w:val="008148C9"/>
    <w:rsid w:val="00814F55"/>
    <w:rsid w:val="0081574A"/>
    <w:rsid w:val="008160B0"/>
    <w:rsid w:val="00816AEC"/>
    <w:rsid w:val="00816DB6"/>
    <w:rsid w:val="00816E17"/>
    <w:rsid w:val="00816F3A"/>
    <w:rsid w:val="00817222"/>
    <w:rsid w:val="00817382"/>
    <w:rsid w:val="00817662"/>
    <w:rsid w:val="008176C3"/>
    <w:rsid w:val="00817A60"/>
    <w:rsid w:val="0082011E"/>
    <w:rsid w:val="008202AB"/>
    <w:rsid w:val="008203A2"/>
    <w:rsid w:val="00820571"/>
    <w:rsid w:val="00820B6C"/>
    <w:rsid w:val="0082162E"/>
    <w:rsid w:val="00821A50"/>
    <w:rsid w:val="00822113"/>
    <w:rsid w:val="00822336"/>
    <w:rsid w:val="00822795"/>
    <w:rsid w:val="00822D5F"/>
    <w:rsid w:val="00822DDD"/>
    <w:rsid w:val="008230AA"/>
    <w:rsid w:val="008230C2"/>
    <w:rsid w:val="0082400B"/>
    <w:rsid w:val="0082485B"/>
    <w:rsid w:val="00824BF3"/>
    <w:rsid w:val="00824FA9"/>
    <w:rsid w:val="0082606B"/>
    <w:rsid w:val="00826140"/>
    <w:rsid w:val="00826A67"/>
    <w:rsid w:val="008270AE"/>
    <w:rsid w:val="00827779"/>
    <w:rsid w:val="00827CDA"/>
    <w:rsid w:val="00827E2F"/>
    <w:rsid w:val="00830393"/>
    <w:rsid w:val="008318A7"/>
    <w:rsid w:val="00831E19"/>
    <w:rsid w:val="00831E1B"/>
    <w:rsid w:val="008320E8"/>
    <w:rsid w:val="00832A46"/>
    <w:rsid w:val="00833E3E"/>
    <w:rsid w:val="008342A8"/>
    <w:rsid w:val="0083472C"/>
    <w:rsid w:val="00834993"/>
    <w:rsid w:val="00834F3A"/>
    <w:rsid w:val="0083547C"/>
    <w:rsid w:val="00835736"/>
    <w:rsid w:val="0083629F"/>
    <w:rsid w:val="008364A6"/>
    <w:rsid w:val="008367AC"/>
    <w:rsid w:val="008369E0"/>
    <w:rsid w:val="00836D84"/>
    <w:rsid w:val="00837050"/>
    <w:rsid w:val="0083714B"/>
    <w:rsid w:val="00837183"/>
    <w:rsid w:val="00840811"/>
    <w:rsid w:val="0084172F"/>
    <w:rsid w:val="00841CF1"/>
    <w:rsid w:val="00841EA3"/>
    <w:rsid w:val="008426BA"/>
    <w:rsid w:val="00842CFE"/>
    <w:rsid w:val="00842EAC"/>
    <w:rsid w:val="00843013"/>
    <w:rsid w:val="00843D6A"/>
    <w:rsid w:val="00844385"/>
    <w:rsid w:val="00844F11"/>
    <w:rsid w:val="00845189"/>
    <w:rsid w:val="00845567"/>
    <w:rsid w:val="008455C2"/>
    <w:rsid w:val="008456BF"/>
    <w:rsid w:val="0084570B"/>
    <w:rsid w:val="00845E7D"/>
    <w:rsid w:val="00845EA7"/>
    <w:rsid w:val="008461DA"/>
    <w:rsid w:val="008463B0"/>
    <w:rsid w:val="00846513"/>
    <w:rsid w:val="00846567"/>
    <w:rsid w:val="008467EE"/>
    <w:rsid w:val="00846EE2"/>
    <w:rsid w:val="00847529"/>
    <w:rsid w:val="00847768"/>
    <w:rsid w:val="00847B56"/>
    <w:rsid w:val="00847B84"/>
    <w:rsid w:val="0085262E"/>
    <w:rsid w:val="00852680"/>
    <w:rsid w:val="00852A0B"/>
    <w:rsid w:val="00853149"/>
    <w:rsid w:val="008536E2"/>
    <w:rsid w:val="00853A34"/>
    <w:rsid w:val="00853A9C"/>
    <w:rsid w:val="00853FC4"/>
    <w:rsid w:val="008547D0"/>
    <w:rsid w:val="0085487D"/>
    <w:rsid w:val="008556B5"/>
    <w:rsid w:val="00855C0E"/>
    <w:rsid w:val="00855C4A"/>
    <w:rsid w:val="00855CEC"/>
    <w:rsid w:val="0085668B"/>
    <w:rsid w:val="00856958"/>
    <w:rsid w:val="00856F2C"/>
    <w:rsid w:val="0085709C"/>
    <w:rsid w:val="008573AF"/>
    <w:rsid w:val="00857526"/>
    <w:rsid w:val="0085765E"/>
    <w:rsid w:val="0085774B"/>
    <w:rsid w:val="008577AC"/>
    <w:rsid w:val="00857917"/>
    <w:rsid w:val="008579C3"/>
    <w:rsid w:val="00857F19"/>
    <w:rsid w:val="008602FE"/>
    <w:rsid w:val="00860926"/>
    <w:rsid w:val="00860B29"/>
    <w:rsid w:val="0086117E"/>
    <w:rsid w:val="008627EA"/>
    <w:rsid w:val="00862D88"/>
    <w:rsid w:val="00862F28"/>
    <w:rsid w:val="008634B5"/>
    <w:rsid w:val="00863F16"/>
    <w:rsid w:val="008644A0"/>
    <w:rsid w:val="00864D3B"/>
    <w:rsid w:val="00865015"/>
    <w:rsid w:val="0086583A"/>
    <w:rsid w:val="00866546"/>
    <w:rsid w:val="00866BF5"/>
    <w:rsid w:val="00866C3E"/>
    <w:rsid w:val="00867069"/>
    <w:rsid w:val="0086731B"/>
    <w:rsid w:val="00867A53"/>
    <w:rsid w:val="00867F8E"/>
    <w:rsid w:val="008700EF"/>
    <w:rsid w:val="00870621"/>
    <w:rsid w:val="008707B9"/>
    <w:rsid w:val="00870FDC"/>
    <w:rsid w:val="0087127F"/>
    <w:rsid w:val="00871380"/>
    <w:rsid w:val="00871508"/>
    <w:rsid w:val="00871575"/>
    <w:rsid w:val="008716AB"/>
    <w:rsid w:val="00872AF8"/>
    <w:rsid w:val="00873D90"/>
    <w:rsid w:val="008742F9"/>
    <w:rsid w:val="00874893"/>
    <w:rsid w:val="00874B64"/>
    <w:rsid w:val="0087544D"/>
    <w:rsid w:val="00875844"/>
    <w:rsid w:val="00875B6A"/>
    <w:rsid w:val="00875C9F"/>
    <w:rsid w:val="00876241"/>
    <w:rsid w:val="00876434"/>
    <w:rsid w:val="0087656B"/>
    <w:rsid w:val="00876715"/>
    <w:rsid w:val="00876969"/>
    <w:rsid w:val="00876E9B"/>
    <w:rsid w:val="00876FCA"/>
    <w:rsid w:val="00877060"/>
    <w:rsid w:val="00877380"/>
    <w:rsid w:val="008778FC"/>
    <w:rsid w:val="0087791C"/>
    <w:rsid w:val="00877ECC"/>
    <w:rsid w:val="00880318"/>
    <w:rsid w:val="00880AC1"/>
    <w:rsid w:val="00880F1A"/>
    <w:rsid w:val="0088183C"/>
    <w:rsid w:val="00881858"/>
    <w:rsid w:val="008818FC"/>
    <w:rsid w:val="00881BA8"/>
    <w:rsid w:val="00881C18"/>
    <w:rsid w:val="00881EA8"/>
    <w:rsid w:val="008820E5"/>
    <w:rsid w:val="0088221B"/>
    <w:rsid w:val="00882913"/>
    <w:rsid w:val="00882A53"/>
    <w:rsid w:val="00882A98"/>
    <w:rsid w:val="008836FF"/>
    <w:rsid w:val="00883813"/>
    <w:rsid w:val="0088398A"/>
    <w:rsid w:val="00883D7E"/>
    <w:rsid w:val="0088431F"/>
    <w:rsid w:val="00884697"/>
    <w:rsid w:val="00885661"/>
    <w:rsid w:val="00885979"/>
    <w:rsid w:val="00885B18"/>
    <w:rsid w:val="00885B82"/>
    <w:rsid w:val="00885C5C"/>
    <w:rsid w:val="00886B81"/>
    <w:rsid w:val="00886D1B"/>
    <w:rsid w:val="008904BD"/>
    <w:rsid w:val="00890A51"/>
    <w:rsid w:val="00890CF4"/>
    <w:rsid w:val="00890D98"/>
    <w:rsid w:val="0089126E"/>
    <w:rsid w:val="00891343"/>
    <w:rsid w:val="008915D6"/>
    <w:rsid w:val="00891E26"/>
    <w:rsid w:val="00892308"/>
    <w:rsid w:val="0089268E"/>
    <w:rsid w:val="00892B24"/>
    <w:rsid w:val="008946DE"/>
    <w:rsid w:val="00894A6E"/>
    <w:rsid w:val="008950C3"/>
    <w:rsid w:val="008951E5"/>
    <w:rsid w:val="00895629"/>
    <w:rsid w:val="008956EE"/>
    <w:rsid w:val="00895D8F"/>
    <w:rsid w:val="008961A1"/>
    <w:rsid w:val="00897315"/>
    <w:rsid w:val="00897DD8"/>
    <w:rsid w:val="008A0115"/>
    <w:rsid w:val="008A0347"/>
    <w:rsid w:val="008A0580"/>
    <w:rsid w:val="008A095C"/>
    <w:rsid w:val="008A0CAE"/>
    <w:rsid w:val="008A0EA6"/>
    <w:rsid w:val="008A0F5E"/>
    <w:rsid w:val="008A1986"/>
    <w:rsid w:val="008A1CB7"/>
    <w:rsid w:val="008A1F1B"/>
    <w:rsid w:val="008A232B"/>
    <w:rsid w:val="008A23C7"/>
    <w:rsid w:val="008A26E5"/>
    <w:rsid w:val="008A299D"/>
    <w:rsid w:val="008A2CF4"/>
    <w:rsid w:val="008A2E74"/>
    <w:rsid w:val="008A33CF"/>
    <w:rsid w:val="008A378E"/>
    <w:rsid w:val="008A3EA1"/>
    <w:rsid w:val="008A46A8"/>
    <w:rsid w:val="008A5BF3"/>
    <w:rsid w:val="008A5F40"/>
    <w:rsid w:val="008A6268"/>
    <w:rsid w:val="008A71F5"/>
    <w:rsid w:val="008A7385"/>
    <w:rsid w:val="008A74A1"/>
    <w:rsid w:val="008B02D5"/>
    <w:rsid w:val="008B054A"/>
    <w:rsid w:val="008B0BB8"/>
    <w:rsid w:val="008B0FBF"/>
    <w:rsid w:val="008B1E39"/>
    <w:rsid w:val="008B1E64"/>
    <w:rsid w:val="008B227B"/>
    <w:rsid w:val="008B2DCC"/>
    <w:rsid w:val="008B2FBA"/>
    <w:rsid w:val="008B3363"/>
    <w:rsid w:val="008B3E32"/>
    <w:rsid w:val="008B4508"/>
    <w:rsid w:val="008B4547"/>
    <w:rsid w:val="008B4AE3"/>
    <w:rsid w:val="008B4D9A"/>
    <w:rsid w:val="008B63C4"/>
    <w:rsid w:val="008B690F"/>
    <w:rsid w:val="008B71B8"/>
    <w:rsid w:val="008B75A1"/>
    <w:rsid w:val="008B7854"/>
    <w:rsid w:val="008B78B5"/>
    <w:rsid w:val="008B78CC"/>
    <w:rsid w:val="008B7CA1"/>
    <w:rsid w:val="008B7DCF"/>
    <w:rsid w:val="008C05DB"/>
    <w:rsid w:val="008C082C"/>
    <w:rsid w:val="008C0892"/>
    <w:rsid w:val="008C0B2C"/>
    <w:rsid w:val="008C0EF4"/>
    <w:rsid w:val="008C1689"/>
    <w:rsid w:val="008C16DB"/>
    <w:rsid w:val="008C1831"/>
    <w:rsid w:val="008C2E72"/>
    <w:rsid w:val="008C39C1"/>
    <w:rsid w:val="008C4A3C"/>
    <w:rsid w:val="008C4B76"/>
    <w:rsid w:val="008C4FD1"/>
    <w:rsid w:val="008C592B"/>
    <w:rsid w:val="008C5FFF"/>
    <w:rsid w:val="008C62D7"/>
    <w:rsid w:val="008C67AB"/>
    <w:rsid w:val="008C6863"/>
    <w:rsid w:val="008C767E"/>
    <w:rsid w:val="008C7685"/>
    <w:rsid w:val="008C76CB"/>
    <w:rsid w:val="008C7929"/>
    <w:rsid w:val="008C7BAD"/>
    <w:rsid w:val="008D0309"/>
    <w:rsid w:val="008D045F"/>
    <w:rsid w:val="008D048C"/>
    <w:rsid w:val="008D06C4"/>
    <w:rsid w:val="008D1494"/>
    <w:rsid w:val="008D15C4"/>
    <w:rsid w:val="008D1AA5"/>
    <w:rsid w:val="008D1BA1"/>
    <w:rsid w:val="008D1BB2"/>
    <w:rsid w:val="008D33CB"/>
    <w:rsid w:val="008D3DAB"/>
    <w:rsid w:val="008D3DDC"/>
    <w:rsid w:val="008D4335"/>
    <w:rsid w:val="008D5492"/>
    <w:rsid w:val="008D58A4"/>
    <w:rsid w:val="008D59AB"/>
    <w:rsid w:val="008D5C0D"/>
    <w:rsid w:val="008D6033"/>
    <w:rsid w:val="008D73F3"/>
    <w:rsid w:val="008D7678"/>
    <w:rsid w:val="008D78E5"/>
    <w:rsid w:val="008E0268"/>
    <w:rsid w:val="008E0538"/>
    <w:rsid w:val="008E0D34"/>
    <w:rsid w:val="008E0F22"/>
    <w:rsid w:val="008E155F"/>
    <w:rsid w:val="008E178C"/>
    <w:rsid w:val="008E1797"/>
    <w:rsid w:val="008E18D4"/>
    <w:rsid w:val="008E1B42"/>
    <w:rsid w:val="008E1C45"/>
    <w:rsid w:val="008E1F8A"/>
    <w:rsid w:val="008E23A8"/>
    <w:rsid w:val="008E257E"/>
    <w:rsid w:val="008E2AD5"/>
    <w:rsid w:val="008E3A77"/>
    <w:rsid w:val="008E3F91"/>
    <w:rsid w:val="008E467D"/>
    <w:rsid w:val="008E4688"/>
    <w:rsid w:val="008E46E8"/>
    <w:rsid w:val="008E492D"/>
    <w:rsid w:val="008E5846"/>
    <w:rsid w:val="008E5849"/>
    <w:rsid w:val="008E608A"/>
    <w:rsid w:val="008E6C8A"/>
    <w:rsid w:val="008F0C31"/>
    <w:rsid w:val="008F12D9"/>
    <w:rsid w:val="008F1436"/>
    <w:rsid w:val="008F14F9"/>
    <w:rsid w:val="008F15DC"/>
    <w:rsid w:val="008F230B"/>
    <w:rsid w:val="008F23B5"/>
    <w:rsid w:val="008F25CF"/>
    <w:rsid w:val="008F2BA3"/>
    <w:rsid w:val="008F2C1C"/>
    <w:rsid w:val="008F2C90"/>
    <w:rsid w:val="008F2ECD"/>
    <w:rsid w:val="008F2F07"/>
    <w:rsid w:val="008F2FA0"/>
    <w:rsid w:val="008F320D"/>
    <w:rsid w:val="008F321F"/>
    <w:rsid w:val="008F3702"/>
    <w:rsid w:val="008F3892"/>
    <w:rsid w:val="008F57BD"/>
    <w:rsid w:val="008F59B4"/>
    <w:rsid w:val="008F62C1"/>
    <w:rsid w:val="008F657C"/>
    <w:rsid w:val="008F67B8"/>
    <w:rsid w:val="008F6A0D"/>
    <w:rsid w:val="008F6C61"/>
    <w:rsid w:val="008F729F"/>
    <w:rsid w:val="008F758F"/>
    <w:rsid w:val="008F7746"/>
    <w:rsid w:val="008F7B6A"/>
    <w:rsid w:val="009002FC"/>
    <w:rsid w:val="009005E7"/>
    <w:rsid w:val="0090078C"/>
    <w:rsid w:val="0090081C"/>
    <w:rsid w:val="0090096D"/>
    <w:rsid w:val="00901068"/>
    <w:rsid w:val="00901FA0"/>
    <w:rsid w:val="00901FAD"/>
    <w:rsid w:val="00902025"/>
    <w:rsid w:val="0090239F"/>
    <w:rsid w:val="009028FE"/>
    <w:rsid w:val="00902EEC"/>
    <w:rsid w:val="00903017"/>
    <w:rsid w:val="00903094"/>
    <w:rsid w:val="009037A7"/>
    <w:rsid w:val="00903C29"/>
    <w:rsid w:val="00904546"/>
    <w:rsid w:val="009045EE"/>
    <w:rsid w:val="00904731"/>
    <w:rsid w:val="00905335"/>
    <w:rsid w:val="009055E4"/>
    <w:rsid w:val="00906090"/>
    <w:rsid w:val="00906612"/>
    <w:rsid w:val="00906F48"/>
    <w:rsid w:val="00907309"/>
    <w:rsid w:val="00907500"/>
    <w:rsid w:val="00907770"/>
    <w:rsid w:val="009077F1"/>
    <w:rsid w:val="009104B2"/>
    <w:rsid w:val="0091103D"/>
    <w:rsid w:val="0091176C"/>
    <w:rsid w:val="009117C6"/>
    <w:rsid w:val="00911955"/>
    <w:rsid w:val="00912009"/>
    <w:rsid w:val="009126E9"/>
    <w:rsid w:val="00913114"/>
    <w:rsid w:val="009134B6"/>
    <w:rsid w:val="009137E4"/>
    <w:rsid w:val="009155CB"/>
    <w:rsid w:val="009159C6"/>
    <w:rsid w:val="00915DC5"/>
    <w:rsid w:val="00916F1F"/>
    <w:rsid w:val="00917B96"/>
    <w:rsid w:val="0092088E"/>
    <w:rsid w:val="00920AA2"/>
    <w:rsid w:val="00920FD6"/>
    <w:rsid w:val="009212DD"/>
    <w:rsid w:val="009213D6"/>
    <w:rsid w:val="009215AB"/>
    <w:rsid w:val="00922AD8"/>
    <w:rsid w:val="00922B2F"/>
    <w:rsid w:val="00922C70"/>
    <w:rsid w:val="009247C0"/>
    <w:rsid w:val="00924F74"/>
    <w:rsid w:val="00925D0F"/>
    <w:rsid w:val="00926193"/>
    <w:rsid w:val="009266F2"/>
    <w:rsid w:val="00926716"/>
    <w:rsid w:val="00926CC0"/>
    <w:rsid w:val="00927065"/>
    <w:rsid w:val="00927639"/>
    <w:rsid w:val="00927CA5"/>
    <w:rsid w:val="009304DB"/>
    <w:rsid w:val="00930917"/>
    <w:rsid w:val="00930FF8"/>
    <w:rsid w:val="0093123D"/>
    <w:rsid w:val="00932095"/>
    <w:rsid w:val="00932211"/>
    <w:rsid w:val="0093322E"/>
    <w:rsid w:val="009335E8"/>
    <w:rsid w:val="0093405C"/>
    <w:rsid w:val="00934A02"/>
    <w:rsid w:val="00934A50"/>
    <w:rsid w:val="00934BF6"/>
    <w:rsid w:val="0093501F"/>
    <w:rsid w:val="009352E0"/>
    <w:rsid w:val="0093530A"/>
    <w:rsid w:val="00935811"/>
    <w:rsid w:val="00935AF2"/>
    <w:rsid w:val="00935E67"/>
    <w:rsid w:val="009360AC"/>
    <w:rsid w:val="00936C22"/>
    <w:rsid w:val="0093769E"/>
    <w:rsid w:val="00937875"/>
    <w:rsid w:val="00937D28"/>
    <w:rsid w:val="0094062A"/>
    <w:rsid w:val="00940AA0"/>
    <w:rsid w:val="00940E16"/>
    <w:rsid w:val="009410A2"/>
    <w:rsid w:val="009417AA"/>
    <w:rsid w:val="009417FD"/>
    <w:rsid w:val="00941AF5"/>
    <w:rsid w:val="00941EA8"/>
    <w:rsid w:val="0094231C"/>
    <w:rsid w:val="00942B25"/>
    <w:rsid w:val="009435AF"/>
    <w:rsid w:val="0094455B"/>
    <w:rsid w:val="00944943"/>
    <w:rsid w:val="00944A09"/>
    <w:rsid w:val="00944BB7"/>
    <w:rsid w:val="0094545E"/>
    <w:rsid w:val="009456BF"/>
    <w:rsid w:val="00945FA2"/>
    <w:rsid w:val="00946132"/>
    <w:rsid w:val="00946FA4"/>
    <w:rsid w:val="00950184"/>
    <w:rsid w:val="009509E9"/>
    <w:rsid w:val="00950A4F"/>
    <w:rsid w:val="00951439"/>
    <w:rsid w:val="009515E6"/>
    <w:rsid w:val="00951BA5"/>
    <w:rsid w:val="00952480"/>
    <w:rsid w:val="009526BF"/>
    <w:rsid w:val="00953B93"/>
    <w:rsid w:val="00954117"/>
    <w:rsid w:val="00954C75"/>
    <w:rsid w:val="00954F4A"/>
    <w:rsid w:val="009552F5"/>
    <w:rsid w:val="009556D0"/>
    <w:rsid w:val="00955B9C"/>
    <w:rsid w:val="009563B8"/>
    <w:rsid w:val="009571F7"/>
    <w:rsid w:val="0095729A"/>
    <w:rsid w:val="0095744C"/>
    <w:rsid w:val="009578A0"/>
    <w:rsid w:val="00957ABF"/>
    <w:rsid w:val="00960A2E"/>
    <w:rsid w:val="00961849"/>
    <w:rsid w:val="00961B25"/>
    <w:rsid w:val="00961FEC"/>
    <w:rsid w:val="00962122"/>
    <w:rsid w:val="009622F4"/>
    <w:rsid w:val="0096232A"/>
    <w:rsid w:val="0096240B"/>
    <w:rsid w:val="009627B3"/>
    <w:rsid w:val="00962DA0"/>
    <w:rsid w:val="009645BA"/>
    <w:rsid w:val="009647AA"/>
    <w:rsid w:val="009650A6"/>
    <w:rsid w:val="009653CF"/>
    <w:rsid w:val="00966250"/>
    <w:rsid w:val="009666E5"/>
    <w:rsid w:val="00966A72"/>
    <w:rsid w:val="00966B23"/>
    <w:rsid w:val="00966D3D"/>
    <w:rsid w:val="00966E0C"/>
    <w:rsid w:val="00967372"/>
    <w:rsid w:val="00967E5A"/>
    <w:rsid w:val="00967E89"/>
    <w:rsid w:val="009715B7"/>
    <w:rsid w:val="00971752"/>
    <w:rsid w:val="009718D9"/>
    <w:rsid w:val="0097191D"/>
    <w:rsid w:val="009720AC"/>
    <w:rsid w:val="00972123"/>
    <w:rsid w:val="009721DF"/>
    <w:rsid w:val="0097260E"/>
    <w:rsid w:val="009726EA"/>
    <w:rsid w:val="009730BF"/>
    <w:rsid w:val="00973E90"/>
    <w:rsid w:val="00974CDB"/>
    <w:rsid w:val="00975B48"/>
    <w:rsid w:val="00975BA7"/>
    <w:rsid w:val="009762E6"/>
    <w:rsid w:val="0097685D"/>
    <w:rsid w:val="00976FB5"/>
    <w:rsid w:val="009770AF"/>
    <w:rsid w:val="009771DA"/>
    <w:rsid w:val="009773E4"/>
    <w:rsid w:val="009777CC"/>
    <w:rsid w:val="00977C23"/>
    <w:rsid w:val="0098025C"/>
    <w:rsid w:val="009805B3"/>
    <w:rsid w:val="0098086A"/>
    <w:rsid w:val="00981707"/>
    <w:rsid w:val="009818AF"/>
    <w:rsid w:val="009818BB"/>
    <w:rsid w:val="00981A48"/>
    <w:rsid w:val="00981F14"/>
    <w:rsid w:val="00982149"/>
    <w:rsid w:val="0098276A"/>
    <w:rsid w:val="0098323E"/>
    <w:rsid w:val="00983C05"/>
    <w:rsid w:val="0098425E"/>
    <w:rsid w:val="00984886"/>
    <w:rsid w:val="00984C9D"/>
    <w:rsid w:val="00984E67"/>
    <w:rsid w:val="0098533B"/>
    <w:rsid w:val="00986949"/>
    <w:rsid w:val="009869DB"/>
    <w:rsid w:val="00986D95"/>
    <w:rsid w:val="0099060D"/>
    <w:rsid w:val="00990B7C"/>
    <w:rsid w:val="00990EC2"/>
    <w:rsid w:val="009925D5"/>
    <w:rsid w:val="00992C33"/>
    <w:rsid w:val="00992E8B"/>
    <w:rsid w:val="009930AD"/>
    <w:rsid w:val="00993216"/>
    <w:rsid w:val="0099365E"/>
    <w:rsid w:val="00993A05"/>
    <w:rsid w:val="00993D62"/>
    <w:rsid w:val="00993FEA"/>
    <w:rsid w:val="00994180"/>
    <w:rsid w:val="0099577A"/>
    <w:rsid w:val="00995EE8"/>
    <w:rsid w:val="009961F3"/>
    <w:rsid w:val="00996440"/>
    <w:rsid w:val="00996C40"/>
    <w:rsid w:val="00996E74"/>
    <w:rsid w:val="00997154"/>
    <w:rsid w:val="00997883"/>
    <w:rsid w:val="00997BCF"/>
    <w:rsid w:val="009A07F5"/>
    <w:rsid w:val="009A13E8"/>
    <w:rsid w:val="009A17FA"/>
    <w:rsid w:val="009A2583"/>
    <w:rsid w:val="009A2A2C"/>
    <w:rsid w:val="009A2B94"/>
    <w:rsid w:val="009A326F"/>
    <w:rsid w:val="009A3D21"/>
    <w:rsid w:val="009A4628"/>
    <w:rsid w:val="009A46DE"/>
    <w:rsid w:val="009A4EAF"/>
    <w:rsid w:val="009A55BE"/>
    <w:rsid w:val="009A59D9"/>
    <w:rsid w:val="009A62C4"/>
    <w:rsid w:val="009A666A"/>
    <w:rsid w:val="009A6C21"/>
    <w:rsid w:val="009A7BF9"/>
    <w:rsid w:val="009B04AF"/>
    <w:rsid w:val="009B0893"/>
    <w:rsid w:val="009B0C82"/>
    <w:rsid w:val="009B1149"/>
    <w:rsid w:val="009B14B4"/>
    <w:rsid w:val="009B164D"/>
    <w:rsid w:val="009B1A6D"/>
    <w:rsid w:val="009B2143"/>
    <w:rsid w:val="009B2555"/>
    <w:rsid w:val="009B25FB"/>
    <w:rsid w:val="009B2A2A"/>
    <w:rsid w:val="009B2D57"/>
    <w:rsid w:val="009B39D9"/>
    <w:rsid w:val="009B3B21"/>
    <w:rsid w:val="009B3B68"/>
    <w:rsid w:val="009B3D75"/>
    <w:rsid w:val="009B4398"/>
    <w:rsid w:val="009B43E4"/>
    <w:rsid w:val="009B444D"/>
    <w:rsid w:val="009B4B22"/>
    <w:rsid w:val="009B4FCD"/>
    <w:rsid w:val="009B610F"/>
    <w:rsid w:val="009B6911"/>
    <w:rsid w:val="009B6B85"/>
    <w:rsid w:val="009B740B"/>
    <w:rsid w:val="009B7BAF"/>
    <w:rsid w:val="009C090E"/>
    <w:rsid w:val="009C0F07"/>
    <w:rsid w:val="009C14C2"/>
    <w:rsid w:val="009C1F01"/>
    <w:rsid w:val="009C285F"/>
    <w:rsid w:val="009C32F1"/>
    <w:rsid w:val="009C3456"/>
    <w:rsid w:val="009C39A7"/>
    <w:rsid w:val="009C460C"/>
    <w:rsid w:val="009C49CD"/>
    <w:rsid w:val="009C4ACE"/>
    <w:rsid w:val="009C4F3E"/>
    <w:rsid w:val="009C5194"/>
    <w:rsid w:val="009C5A5A"/>
    <w:rsid w:val="009C6243"/>
    <w:rsid w:val="009C626C"/>
    <w:rsid w:val="009C67E8"/>
    <w:rsid w:val="009C7DFE"/>
    <w:rsid w:val="009C7E39"/>
    <w:rsid w:val="009D068B"/>
    <w:rsid w:val="009D07E3"/>
    <w:rsid w:val="009D0BDF"/>
    <w:rsid w:val="009D13C7"/>
    <w:rsid w:val="009D16AF"/>
    <w:rsid w:val="009D1A71"/>
    <w:rsid w:val="009D1B85"/>
    <w:rsid w:val="009D1C8B"/>
    <w:rsid w:val="009D1C99"/>
    <w:rsid w:val="009D2E6F"/>
    <w:rsid w:val="009D34C0"/>
    <w:rsid w:val="009D4767"/>
    <w:rsid w:val="009D4A9B"/>
    <w:rsid w:val="009D4BDF"/>
    <w:rsid w:val="009D50B0"/>
    <w:rsid w:val="009D53E0"/>
    <w:rsid w:val="009D548B"/>
    <w:rsid w:val="009D5F53"/>
    <w:rsid w:val="009D631E"/>
    <w:rsid w:val="009D721E"/>
    <w:rsid w:val="009D730B"/>
    <w:rsid w:val="009D732E"/>
    <w:rsid w:val="009D765A"/>
    <w:rsid w:val="009E037D"/>
    <w:rsid w:val="009E0FA4"/>
    <w:rsid w:val="009E1609"/>
    <w:rsid w:val="009E1628"/>
    <w:rsid w:val="009E2510"/>
    <w:rsid w:val="009E260C"/>
    <w:rsid w:val="009E2B18"/>
    <w:rsid w:val="009E2BB1"/>
    <w:rsid w:val="009E2D82"/>
    <w:rsid w:val="009E38EB"/>
    <w:rsid w:val="009E3B3A"/>
    <w:rsid w:val="009E4488"/>
    <w:rsid w:val="009E4D8C"/>
    <w:rsid w:val="009E4D9B"/>
    <w:rsid w:val="009E4F0C"/>
    <w:rsid w:val="009E59E1"/>
    <w:rsid w:val="009E5B19"/>
    <w:rsid w:val="009E5BEF"/>
    <w:rsid w:val="009E617A"/>
    <w:rsid w:val="009E6901"/>
    <w:rsid w:val="009E6BB1"/>
    <w:rsid w:val="009E716B"/>
    <w:rsid w:val="009E7760"/>
    <w:rsid w:val="009E791A"/>
    <w:rsid w:val="009E7C75"/>
    <w:rsid w:val="009E7D79"/>
    <w:rsid w:val="009E7F73"/>
    <w:rsid w:val="009F0092"/>
    <w:rsid w:val="009F02F3"/>
    <w:rsid w:val="009F0D3D"/>
    <w:rsid w:val="009F0E12"/>
    <w:rsid w:val="009F0EDB"/>
    <w:rsid w:val="009F102B"/>
    <w:rsid w:val="009F1714"/>
    <w:rsid w:val="009F17FF"/>
    <w:rsid w:val="009F2B12"/>
    <w:rsid w:val="009F324E"/>
    <w:rsid w:val="009F35F3"/>
    <w:rsid w:val="009F36AC"/>
    <w:rsid w:val="009F4410"/>
    <w:rsid w:val="009F4A10"/>
    <w:rsid w:val="009F4ACE"/>
    <w:rsid w:val="009F4B7E"/>
    <w:rsid w:val="009F4EFA"/>
    <w:rsid w:val="009F4F6D"/>
    <w:rsid w:val="009F53CB"/>
    <w:rsid w:val="009F53E3"/>
    <w:rsid w:val="009F57DD"/>
    <w:rsid w:val="009F57DF"/>
    <w:rsid w:val="009F5A3F"/>
    <w:rsid w:val="009F5B18"/>
    <w:rsid w:val="009F5B21"/>
    <w:rsid w:val="009F5F2E"/>
    <w:rsid w:val="009F6380"/>
    <w:rsid w:val="009F68F7"/>
    <w:rsid w:val="009F69A7"/>
    <w:rsid w:val="009F6C15"/>
    <w:rsid w:val="009F789D"/>
    <w:rsid w:val="009F7B74"/>
    <w:rsid w:val="009F7BB1"/>
    <w:rsid w:val="009F7D75"/>
    <w:rsid w:val="00A00250"/>
    <w:rsid w:val="00A004E4"/>
    <w:rsid w:val="00A00535"/>
    <w:rsid w:val="00A010E1"/>
    <w:rsid w:val="00A01489"/>
    <w:rsid w:val="00A0165F"/>
    <w:rsid w:val="00A0167A"/>
    <w:rsid w:val="00A01CD8"/>
    <w:rsid w:val="00A01CD9"/>
    <w:rsid w:val="00A0200C"/>
    <w:rsid w:val="00A021F3"/>
    <w:rsid w:val="00A02BAA"/>
    <w:rsid w:val="00A0392C"/>
    <w:rsid w:val="00A03FDD"/>
    <w:rsid w:val="00A04B16"/>
    <w:rsid w:val="00A04E3D"/>
    <w:rsid w:val="00A05024"/>
    <w:rsid w:val="00A0543F"/>
    <w:rsid w:val="00A059E7"/>
    <w:rsid w:val="00A059EC"/>
    <w:rsid w:val="00A05C0D"/>
    <w:rsid w:val="00A05CBF"/>
    <w:rsid w:val="00A063FA"/>
    <w:rsid w:val="00A065DA"/>
    <w:rsid w:val="00A06A36"/>
    <w:rsid w:val="00A06A63"/>
    <w:rsid w:val="00A06D63"/>
    <w:rsid w:val="00A07521"/>
    <w:rsid w:val="00A07595"/>
    <w:rsid w:val="00A07D2E"/>
    <w:rsid w:val="00A10304"/>
    <w:rsid w:val="00A1042D"/>
    <w:rsid w:val="00A104D4"/>
    <w:rsid w:val="00A10886"/>
    <w:rsid w:val="00A109B4"/>
    <w:rsid w:val="00A10AF6"/>
    <w:rsid w:val="00A1109A"/>
    <w:rsid w:val="00A11F0D"/>
    <w:rsid w:val="00A120DF"/>
    <w:rsid w:val="00A12D43"/>
    <w:rsid w:val="00A13201"/>
    <w:rsid w:val="00A13858"/>
    <w:rsid w:val="00A138CF"/>
    <w:rsid w:val="00A13E88"/>
    <w:rsid w:val="00A1423F"/>
    <w:rsid w:val="00A142B3"/>
    <w:rsid w:val="00A149A7"/>
    <w:rsid w:val="00A14C04"/>
    <w:rsid w:val="00A1510F"/>
    <w:rsid w:val="00A156DF"/>
    <w:rsid w:val="00A16914"/>
    <w:rsid w:val="00A16ECE"/>
    <w:rsid w:val="00A177C5"/>
    <w:rsid w:val="00A177ED"/>
    <w:rsid w:val="00A179DA"/>
    <w:rsid w:val="00A17F75"/>
    <w:rsid w:val="00A2002E"/>
    <w:rsid w:val="00A20C86"/>
    <w:rsid w:val="00A2115E"/>
    <w:rsid w:val="00A218B4"/>
    <w:rsid w:val="00A2205B"/>
    <w:rsid w:val="00A220A7"/>
    <w:rsid w:val="00A222AC"/>
    <w:rsid w:val="00A225C2"/>
    <w:rsid w:val="00A22697"/>
    <w:rsid w:val="00A22A4E"/>
    <w:rsid w:val="00A22DE1"/>
    <w:rsid w:val="00A23FC8"/>
    <w:rsid w:val="00A2407C"/>
    <w:rsid w:val="00A2408E"/>
    <w:rsid w:val="00A241B8"/>
    <w:rsid w:val="00A24384"/>
    <w:rsid w:val="00A250FA"/>
    <w:rsid w:val="00A25B14"/>
    <w:rsid w:val="00A26311"/>
    <w:rsid w:val="00A266E4"/>
    <w:rsid w:val="00A26C1B"/>
    <w:rsid w:val="00A27637"/>
    <w:rsid w:val="00A27786"/>
    <w:rsid w:val="00A2783C"/>
    <w:rsid w:val="00A27C52"/>
    <w:rsid w:val="00A27D53"/>
    <w:rsid w:val="00A27E5B"/>
    <w:rsid w:val="00A30297"/>
    <w:rsid w:val="00A303D0"/>
    <w:rsid w:val="00A30402"/>
    <w:rsid w:val="00A305B4"/>
    <w:rsid w:val="00A30893"/>
    <w:rsid w:val="00A30C58"/>
    <w:rsid w:val="00A30C99"/>
    <w:rsid w:val="00A31134"/>
    <w:rsid w:val="00A3155B"/>
    <w:rsid w:val="00A3192A"/>
    <w:rsid w:val="00A319BE"/>
    <w:rsid w:val="00A31AE5"/>
    <w:rsid w:val="00A32164"/>
    <w:rsid w:val="00A3225C"/>
    <w:rsid w:val="00A330B6"/>
    <w:rsid w:val="00A33999"/>
    <w:rsid w:val="00A343DD"/>
    <w:rsid w:val="00A343E0"/>
    <w:rsid w:val="00A3443A"/>
    <w:rsid w:val="00A344A9"/>
    <w:rsid w:val="00A34849"/>
    <w:rsid w:val="00A349C8"/>
    <w:rsid w:val="00A35099"/>
    <w:rsid w:val="00A35B9A"/>
    <w:rsid w:val="00A3671A"/>
    <w:rsid w:val="00A369C9"/>
    <w:rsid w:val="00A37725"/>
    <w:rsid w:val="00A37807"/>
    <w:rsid w:val="00A37A71"/>
    <w:rsid w:val="00A37BCF"/>
    <w:rsid w:val="00A37BDD"/>
    <w:rsid w:val="00A40DE7"/>
    <w:rsid w:val="00A42704"/>
    <w:rsid w:val="00A430D2"/>
    <w:rsid w:val="00A4363B"/>
    <w:rsid w:val="00A43E82"/>
    <w:rsid w:val="00A4433A"/>
    <w:rsid w:val="00A4456E"/>
    <w:rsid w:val="00A44880"/>
    <w:rsid w:val="00A4544C"/>
    <w:rsid w:val="00A45C88"/>
    <w:rsid w:val="00A45CE1"/>
    <w:rsid w:val="00A46374"/>
    <w:rsid w:val="00A46774"/>
    <w:rsid w:val="00A47179"/>
    <w:rsid w:val="00A505DD"/>
    <w:rsid w:val="00A506BD"/>
    <w:rsid w:val="00A5124B"/>
    <w:rsid w:val="00A5171B"/>
    <w:rsid w:val="00A5240E"/>
    <w:rsid w:val="00A52670"/>
    <w:rsid w:val="00A52C67"/>
    <w:rsid w:val="00A52DE2"/>
    <w:rsid w:val="00A53371"/>
    <w:rsid w:val="00A533EC"/>
    <w:rsid w:val="00A54008"/>
    <w:rsid w:val="00A540D6"/>
    <w:rsid w:val="00A54333"/>
    <w:rsid w:val="00A5524C"/>
    <w:rsid w:val="00A55421"/>
    <w:rsid w:val="00A554D5"/>
    <w:rsid w:val="00A554E6"/>
    <w:rsid w:val="00A55568"/>
    <w:rsid w:val="00A55AB1"/>
    <w:rsid w:val="00A56282"/>
    <w:rsid w:val="00A5628D"/>
    <w:rsid w:val="00A56918"/>
    <w:rsid w:val="00A56A68"/>
    <w:rsid w:val="00A56A7B"/>
    <w:rsid w:val="00A57DA7"/>
    <w:rsid w:val="00A6002C"/>
    <w:rsid w:val="00A6082B"/>
    <w:rsid w:val="00A608F5"/>
    <w:rsid w:val="00A60DA1"/>
    <w:rsid w:val="00A60ED5"/>
    <w:rsid w:val="00A613DE"/>
    <w:rsid w:val="00A619D3"/>
    <w:rsid w:val="00A61AE7"/>
    <w:rsid w:val="00A624DF"/>
    <w:rsid w:val="00A6301A"/>
    <w:rsid w:val="00A6323F"/>
    <w:rsid w:val="00A64308"/>
    <w:rsid w:val="00A645E5"/>
    <w:rsid w:val="00A6494D"/>
    <w:rsid w:val="00A64DCB"/>
    <w:rsid w:val="00A64EE3"/>
    <w:rsid w:val="00A64FF9"/>
    <w:rsid w:val="00A651EC"/>
    <w:rsid w:val="00A658F6"/>
    <w:rsid w:val="00A65A9B"/>
    <w:rsid w:val="00A6651C"/>
    <w:rsid w:val="00A66ED5"/>
    <w:rsid w:val="00A6706C"/>
    <w:rsid w:val="00A6751A"/>
    <w:rsid w:val="00A67ADC"/>
    <w:rsid w:val="00A67B63"/>
    <w:rsid w:val="00A67ED5"/>
    <w:rsid w:val="00A7000B"/>
    <w:rsid w:val="00A70BC7"/>
    <w:rsid w:val="00A71083"/>
    <w:rsid w:val="00A71501"/>
    <w:rsid w:val="00A71850"/>
    <w:rsid w:val="00A7230F"/>
    <w:rsid w:val="00A72728"/>
    <w:rsid w:val="00A72A80"/>
    <w:rsid w:val="00A72D70"/>
    <w:rsid w:val="00A72FAD"/>
    <w:rsid w:val="00A737E7"/>
    <w:rsid w:val="00A73DFF"/>
    <w:rsid w:val="00A74A33"/>
    <w:rsid w:val="00A74D49"/>
    <w:rsid w:val="00A7593B"/>
    <w:rsid w:val="00A75C0B"/>
    <w:rsid w:val="00A75C0D"/>
    <w:rsid w:val="00A76049"/>
    <w:rsid w:val="00A76749"/>
    <w:rsid w:val="00A767E5"/>
    <w:rsid w:val="00A76FE6"/>
    <w:rsid w:val="00A77661"/>
    <w:rsid w:val="00A77B81"/>
    <w:rsid w:val="00A77B87"/>
    <w:rsid w:val="00A77E57"/>
    <w:rsid w:val="00A818DA"/>
    <w:rsid w:val="00A81AB8"/>
    <w:rsid w:val="00A81D31"/>
    <w:rsid w:val="00A823E4"/>
    <w:rsid w:val="00A82580"/>
    <w:rsid w:val="00A83256"/>
    <w:rsid w:val="00A8342C"/>
    <w:rsid w:val="00A838DC"/>
    <w:rsid w:val="00A83F3E"/>
    <w:rsid w:val="00A84039"/>
    <w:rsid w:val="00A84448"/>
    <w:rsid w:val="00A84F2C"/>
    <w:rsid w:val="00A85001"/>
    <w:rsid w:val="00A855D0"/>
    <w:rsid w:val="00A85C13"/>
    <w:rsid w:val="00A865BC"/>
    <w:rsid w:val="00A86774"/>
    <w:rsid w:val="00A86BBE"/>
    <w:rsid w:val="00A86BE0"/>
    <w:rsid w:val="00A8724D"/>
    <w:rsid w:val="00A878D0"/>
    <w:rsid w:val="00A87CF7"/>
    <w:rsid w:val="00A87D88"/>
    <w:rsid w:val="00A87FE0"/>
    <w:rsid w:val="00A9002A"/>
    <w:rsid w:val="00A90171"/>
    <w:rsid w:val="00A90641"/>
    <w:rsid w:val="00A90ED1"/>
    <w:rsid w:val="00A9105C"/>
    <w:rsid w:val="00A91785"/>
    <w:rsid w:val="00A91D5C"/>
    <w:rsid w:val="00A9278C"/>
    <w:rsid w:val="00A929EE"/>
    <w:rsid w:val="00A92F57"/>
    <w:rsid w:val="00A930B3"/>
    <w:rsid w:val="00A943E1"/>
    <w:rsid w:val="00A9516F"/>
    <w:rsid w:val="00A95A18"/>
    <w:rsid w:val="00A95ACF"/>
    <w:rsid w:val="00A95DE1"/>
    <w:rsid w:val="00A96320"/>
    <w:rsid w:val="00A96388"/>
    <w:rsid w:val="00A964D1"/>
    <w:rsid w:val="00A97113"/>
    <w:rsid w:val="00A973A1"/>
    <w:rsid w:val="00A9749C"/>
    <w:rsid w:val="00A97EF0"/>
    <w:rsid w:val="00AA00EA"/>
    <w:rsid w:val="00AA026B"/>
    <w:rsid w:val="00AA1465"/>
    <w:rsid w:val="00AA1F00"/>
    <w:rsid w:val="00AA22F5"/>
    <w:rsid w:val="00AA2547"/>
    <w:rsid w:val="00AA274F"/>
    <w:rsid w:val="00AA2E07"/>
    <w:rsid w:val="00AA2EB8"/>
    <w:rsid w:val="00AA43CC"/>
    <w:rsid w:val="00AA4788"/>
    <w:rsid w:val="00AA508E"/>
    <w:rsid w:val="00AA533A"/>
    <w:rsid w:val="00AA5E74"/>
    <w:rsid w:val="00AA6486"/>
    <w:rsid w:val="00AA6F88"/>
    <w:rsid w:val="00AA7306"/>
    <w:rsid w:val="00AA752B"/>
    <w:rsid w:val="00AA7E64"/>
    <w:rsid w:val="00AB0CFC"/>
    <w:rsid w:val="00AB0E4B"/>
    <w:rsid w:val="00AB0EED"/>
    <w:rsid w:val="00AB1B40"/>
    <w:rsid w:val="00AB23BB"/>
    <w:rsid w:val="00AB2961"/>
    <w:rsid w:val="00AB2B06"/>
    <w:rsid w:val="00AB2CF7"/>
    <w:rsid w:val="00AB2E2F"/>
    <w:rsid w:val="00AB302B"/>
    <w:rsid w:val="00AB3373"/>
    <w:rsid w:val="00AB3D8E"/>
    <w:rsid w:val="00AB3F60"/>
    <w:rsid w:val="00AB41CA"/>
    <w:rsid w:val="00AB5998"/>
    <w:rsid w:val="00AB5EFD"/>
    <w:rsid w:val="00AB6B50"/>
    <w:rsid w:val="00AB6F4C"/>
    <w:rsid w:val="00AB7461"/>
    <w:rsid w:val="00AB7DBA"/>
    <w:rsid w:val="00AB7E75"/>
    <w:rsid w:val="00AC08E6"/>
    <w:rsid w:val="00AC0FDF"/>
    <w:rsid w:val="00AC1405"/>
    <w:rsid w:val="00AC1C76"/>
    <w:rsid w:val="00AC2347"/>
    <w:rsid w:val="00AC27B0"/>
    <w:rsid w:val="00AC352E"/>
    <w:rsid w:val="00AC43A3"/>
    <w:rsid w:val="00AC4AAB"/>
    <w:rsid w:val="00AC4B02"/>
    <w:rsid w:val="00AC5690"/>
    <w:rsid w:val="00AC57B2"/>
    <w:rsid w:val="00AC5A3A"/>
    <w:rsid w:val="00AC6256"/>
    <w:rsid w:val="00AC64A7"/>
    <w:rsid w:val="00AC68D7"/>
    <w:rsid w:val="00AC6C1F"/>
    <w:rsid w:val="00AC6DFC"/>
    <w:rsid w:val="00AC72DF"/>
    <w:rsid w:val="00AC769F"/>
    <w:rsid w:val="00AC7903"/>
    <w:rsid w:val="00AD0279"/>
    <w:rsid w:val="00AD034C"/>
    <w:rsid w:val="00AD09E5"/>
    <w:rsid w:val="00AD105A"/>
    <w:rsid w:val="00AD1C6F"/>
    <w:rsid w:val="00AD2398"/>
    <w:rsid w:val="00AD242E"/>
    <w:rsid w:val="00AD2550"/>
    <w:rsid w:val="00AD2921"/>
    <w:rsid w:val="00AD32EA"/>
    <w:rsid w:val="00AD375D"/>
    <w:rsid w:val="00AD3A53"/>
    <w:rsid w:val="00AD3B73"/>
    <w:rsid w:val="00AD4620"/>
    <w:rsid w:val="00AD5A21"/>
    <w:rsid w:val="00AD66B0"/>
    <w:rsid w:val="00AD68F1"/>
    <w:rsid w:val="00AD6933"/>
    <w:rsid w:val="00AD6B8B"/>
    <w:rsid w:val="00AD729A"/>
    <w:rsid w:val="00AD759C"/>
    <w:rsid w:val="00AD7BEE"/>
    <w:rsid w:val="00AD7BF1"/>
    <w:rsid w:val="00AD7CB7"/>
    <w:rsid w:val="00AD7ED2"/>
    <w:rsid w:val="00AE00E7"/>
    <w:rsid w:val="00AE0B49"/>
    <w:rsid w:val="00AE0E48"/>
    <w:rsid w:val="00AE0F25"/>
    <w:rsid w:val="00AE1211"/>
    <w:rsid w:val="00AE1D5E"/>
    <w:rsid w:val="00AE1D91"/>
    <w:rsid w:val="00AE2740"/>
    <w:rsid w:val="00AE35DF"/>
    <w:rsid w:val="00AE3A1D"/>
    <w:rsid w:val="00AE4864"/>
    <w:rsid w:val="00AE5128"/>
    <w:rsid w:val="00AE5984"/>
    <w:rsid w:val="00AE5F1C"/>
    <w:rsid w:val="00AE6138"/>
    <w:rsid w:val="00AE6A00"/>
    <w:rsid w:val="00AE7B65"/>
    <w:rsid w:val="00AE7C84"/>
    <w:rsid w:val="00AF012B"/>
    <w:rsid w:val="00AF02B0"/>
    <w:rsid w:val="00AF0495"/>
    <w:rsid w:val="00AF0798"/>
    <w:rsid w:val="00AF0921"/>
    <w:rsid w:val="00AF1750"/>
    <w:rsid w:val="00AF19E9"/>
    <w:rsid w:val="00AF1B29"/>
    <w:rsid w:val="00AF1EF8"/>
    <w:rsid w:val="00AF27C8"/>
    <w:rsid w:val="00AF2E73"/>
    <w:rsid w:val="00AF30B6"/>
    <w:rsid w:val="00AF3109"/>
    <w:rsid w:val="00AF3812"/>
    <w:rsid w:val="00AF397B"/>
    <w:rsid w:val="00AF3E71"/>
    <w:rsid w:val="00AF4424"/>
    <w:rsid w:val="00AF46D7"/>
    <w:rsid w:val="00AF48D9"/>
    <w:rsid w:val="00AF4982"/>
    <w:rsid w:val="00AF499E"/>
    <w:rsid w:val="00AF5005"/>
    <w:rsid w:val="00AF5186"/>
    <w:rsid w:val="00AF52E5"/>
    <w:rsid w:val="00AF578A"/>
    <w:rsid w:val="00AF5D78"/>
    <w:rsid w:val="00AF5DDA"/>
    <w:rsid w:val="00AF6118"/>
    <w:rsid w:val="00AF7603"/>
    <w:rsid w:val="00AF7CDA"/>
    <w:rsid w:val="00AF7D21"/>
    <w:rsid w:val="00B008A3"/>
    <w:rsid w:val="00B01859"/>
    <w:rsid w:val="00B018C7"/>
    <w:rsid w:val="00B0251B"/>
    <w:rsid w:val="00B02821"/>
    <w:rsid w:val="00B02C08"/>
    <w:rsid w:val="00B02D09"/>
    <w:rsid w:val="00B036C6"/>
    <w:rsid w:val="00B036F3"/>
    <w:rsid w:val="00B03EFC"/>
    <w:rsid w:val="00B0429F"/>
    <w:rsid w:val="00B04BA4"/>
    <w:rsid w:val="00B05337"/>
    <w:rsid w:val="00B05FD0"/>
    <w:rsid w:val="00B06298"/>
    <w:rsid w:val="00B06AB0"/>
    <w:rsid w:val="00B06FD9"/>
    <w:rsid w:val="00B07C75"/>
    <w:rsid w:val="00B108C7"/>
    <w:rsid w:val="00B11004"/>
    <w:rsid w:val="00B11A6D"/>
    <w:rsid w:val="00B11BD2"/>
    <w:rsid w:val="00B120A6"/>
    <w:rsid w:val="00B12260"/>
    <w:rsid w:val="00B1352C"/>
    <w:rsid w:val="00B13E43"/>
    <w:rsid w:val="00B145BF"/>
    <w:rsid w:val="00B148D9"/>
    <w:rsid w:val="00B150DE"/>
    <w:rsid w:val="00B15542"/>
    <w:rsid w:val="00B15619"/>
    <w:rsid w:val="00B1571C"/>
    <w:rsid w:val="00B1593E"/>
    <w:rsid w:val="00B15956"/>
    <w:rsid w:val="00B15BFD"/>
    <w:rsid w:val="00B15DBF"/>
    <w:rsid w:val="00B16053"/>
    <w:rsid w:val="00B16B5A"/>
    <w:rsid w:val="00B16E5B"/>
    <w:rsid w:val="00B1748B"/>
    <w:rsid w:val="00B17D0B"/>
    <w:rsid w:val="00B20238"/>
    <w:rsid w:val="00B20ABF"/>
    <w:rsid w:val="00B20AC0"/>
    <w:rsid w:val="00B20CB9"/>
    <w:rsid w:val="00B20D69"/>
    <w:rsid w:val="00B20EEB"/>
    <w:rsid w:val="00B2121E"/>
    <w:rsid w:val="00B216FB"/>
    <w:rsid w:val="00B217BF"/>
    <w:rsid w:val="00B21964"/>
    <w:rsid w:val="00B21E97"/>
    <w:rsid w:val="00B2273E"/>
    <w:rsid w:val="00B22F7D"/>
    <w:rsid w:val="00B22FE0"/>
    <w:rsid w:val="00B231C9"/>
    <w:rsid w:val="00B23959"/>
    <w:rsid w:val="00B23A77"/>
    <w:rsid w:val="00B2422B"/>
    <w:rsid w:val="00B24539"/>
    <w:rsid w:val="00B245AB"/>
    <w:rsid w:val="00B24A4A"/>
    <w:rsid w:val="00B25966"/>
    <w:rsid w:val="00B264A7"/>
    <w:rsid w:val="00B2708B"/>
    <w:rsid w:val="00B273F1"/>
    <w:rsid w:val="00B27A1D"/>
    <w:rsid w:val="00B27B0F"/>
    <w:rsid w:val="00B30140"/>
    <w:rsid w:val="00B3206B"/>
    <w:rsid w:val="00B322E8"/>
    <w:rsid w:val="00B3253D"/>
    <w:rsid w:val="00B32AE8"/>
    <w:rsid w:val="00B331B0"/>
    <w:rsid w:val="00B332CB"/>
    <w:rsid w:val="00B33655"/>
    <w:rsid w:val="00B33C6A"/>
    <w:rsid w:val="00B34014"/>
    <w:rsid w:val="00B34109"/>
    <w:rsid w:val="00B341BA"/>
    <w:rsid w:val="00B34376"/>
    <w:rsid w:val="00B343E7"/>
    <w:rsid w:val="00B3442A"/>
    <w:rsid w:val="00B344C3"/>
    <w:rsid w:val="00B34609"/>
    <w:rsid w:val="00B34EA3"/>
    <w:rsid w:val="00B353D7"/>
    <w:rsid w:val="00B35469"/>
    <w:rsid w:val="00B35645"/>
    <w:rsid w:val="00B35B5E"/>
    <w:rsid w:val="00B35C6E"/>
    <w:rsid w:val="00B36119"/>
    <w:rsid w:val="00B363D2"/>
    <w:rsid w:val="00B365E3"/>
    <w:rsid w:val="00B365FE"/>
    <w:rsid w:val="00B37C94"/>
    <w:rsid w:val="00B37DF0"/>
    <w:rsid w:val="00B40152"/>
    <w:rsid w:val="00B40A3B"/>
    <w:rsid w:val="00B40C3B"/>
    <w:rsid w:val="00B411A8"/>
    <w:rsid w:val="00B41C7C"/>
    <w:rsid w:val="00B4207A"/>
    <w:rsid w:val="00B4212F"/>
    <w:rsid w:val="00B42513"/>
    <w:rsid w:val="00B42DD2"/>
    <w:rsid w:val="00B42F07"/>
    <w:rsid w:val="00B438C7"/>
    <w:rsid w:val="00B43B1C"/>
    <w:rsid w:val="00B43B5E"/>
    <w:rsid w:val="00B448A0"/>
    <w:rsid w:val="00B449C1"/>
    <w:rsid w:val="00B44D61"/>
    <w:rsid w:val="00B44D7C"/>
    <w:rsid w:val="00B4529A"/>
    <w:rsid w:val="00B45638"/>
    <w:rsid w:val="00B45CE3"/>
    <w:rsid w:val="00B4610F"/>
    <w:rsid w:val="00B469D9"/>
    <w:rsid w:val="00B46B8D"/>
    <w:rsid w:val="00B473CD"/>
    <w:rsid w:val="00B47A0A"/>
    <w:rsid w:val="00B50A6D"/>
    <w:rsid w:val="00B50C55"/>
    <w:rsid w:val="00B50D2B"/>
    <w:rsid w:val="00B51114"/>
    <w:rsid w:val="00B52882"/>
    <w:rsid w:val="00B52980"/>
    <w:rsid w:val="00B53BD7"/>
    <w:rsid w:val="00B53FFC"/>
    <w:rsid w:val="00B5449B"/>
    <w:rsid w:val="00B547A6"/>
    <w:rsid w:val="00B547C4"/>
    <w:rsid w:val="00B5495B"/>
    <w:rsid w:val="00B552DF"/>
    <w:rsid w:val="00B557AF"/>
    <w:rsid w:val="00B55DED"/>
    <w:rsid w:val="00B5611E"/>
    <w:rsid w:val="00B56327"/>
    <w:rsid w:val="00B57DB2"/>
    <w:rsid w:val="00B601A5"/>
    <w:rsid w:val="00B60EEA"/>
    <w:rsid w:val="00B6169F"/>
    <w:rsid w:val="00B61E1B"/>
    <w:rsid w:val="00B61F2D"/>
    <w:rsid w:val="00B62161"/>
    <w:rsid w:val="00B62959"/>
    <w:rsid w:val="00B63635"/>
    <w:rsid w:val="00B63761"/>
    <w:rsid w:val="00B638B4"/>
    <w:rsid w:val="00B63BE6"/>
    <w:rsid w:val="00B6429A"/>
    <w:rsid w:val="00B644FD"/>
    <w:rsid w:val="00B64BE0"/>
    <w:rsid w:val="00B64E89"/>
    <w:rsid w:val="00B65678"/>
    <w:rsid w:val="00B660D9"/>
    <w:rsid w:val="00B66320"/>
    <w:rsid w:val="00B67DCA"/>
    <w:rsid w:val="00B703A8"/>
    <w:rsid w:val="00B705C5"/>
    <w:rsid w:val="00B70EE5"/>
    <w:rsid w:val="00B71061"/>
    <w:rsid w:val="00B71220"/>
    <w:rsid w:val="00B71913"/>
    <w:rsid w:val="00B71E29"/>
    <w:rsid w:val="00B73129"/>
    <w:rsid w:val="00B7322A"/>
    <w:rsid w:val="00B73681"/>
    <w:rsid w:val="00B7439F"/>
    <w:rsid w:val="00B745D8"/>
    <w:rsid w:val="00B75262"/>
    <w:rsid w:val="00B755D6"/>
    <w:rsid w:val="00B758BD"/>
    <w:rsid w:val="00B75B04"/>
    <w:rsid w:val="00B75FD8"/>
    <w:rsid w:val="00B7614E"/>
    <w:rsid w:val="00B76360"/>
    <w:rsid w:val="00B76B8E"/>
    <w:rsid w:val="00B776FB"/>
    <w:rsid w:val="00B7795A"/>
    <w:rsid w:val="00B77F8A"/>
    <w:rsid w:val="00B8008E"/>
    <w:rsid w:val="00B807FF"/>
    <w:rsid w:val="00B80A82"/>
    <w:rsid w:val="00B80AC4"/>
    <w:rsid w:val="00B810C9"/>
    <w:rsid w:val="00B8141C"/>
    <w:rsid w:val="00B817C2"/>
    <w:rsid w:val="00B82296"/>
    <w:rsid w:val="00B823CE"/>
    <w:rsid w:val="00B828D6"/>
    <w:rsid w:val="00B82BF7"/>
    <w:rsid w:val="00B83279"/>
    <w:rsid w:val="00B83445"/>
    <w:rsid w:val="00B83689"/>
    <w:rsid w:val="00B83B7A"/>
    <w:rsid w:val="00B85598"/>
    <w:rsid w:val="00B8560C"/>
    <w:rsid w:val="00B85F93"/>
    <w:rsid w:val="00B86197"/>
    <w:rsid w:val="00B86BE5"/>
    <w:rsid w:val="00B87067"/>
    <w:rsid w:val="00B87182"/>
    <w:rsid w:val="00B87755"/>
    <w:rsid w:val="00B87949"/>
    <w:rsid w:val="00B87EF5"/>
    <w:rsid w:val="00B90077"/>
    <w:rsid w:val="00B9013E"/>
    <w:rsid w:val="00B9066B"/>
    <w:rsid w:val="00B91037"/>
    <w:rsid w:val="00B91199"/>
    <w:rsid w:val="00B92CE5"/>
    <w:rsid w:val="00B935AD"/>
    <w:rsid w:val="00B9360E"/>
    <w:rsid w:val="00B93CD3"/>
    <w:rsid w:val="00B9466A"/>
    <w:rsid w:val="00B94779"/>
    <w:rsid w:val="00B94904"/>
    <w:rsid w:val="00B94D87"/>
    <w:rsid w:val="00B94FC7"/>
    <w:rsid w:val="00B95834"/>
    <w:rsid w:val="00B96002"/>
    <w:rsid w:val="00B96900"/>
    <w:rsid w:val="00B969FF"/>
    <w:rsid w:val="00B96A6D"/>
    <w:rsid w:val="00B9705C"/>
    <w:rsid w:val="00B97531"/>
    <w:rsid w:val="00B9753F"/>
    <w:rsid w:val="00B97A50"/>
    <w:rsid w:val="00B97F9D"/>
    <w:rsid w:val="00B97FBF"/>
    <w:rsid w:val="00B97FCD"/>
    <w:rsid w:val="00BA0079"/>
    <w:rsid w:val="00BA063A"/>
    <w:rsid w:val="00BA0B37"/>
    <w:rsid w:val="00BA1402"/>
    <w:rsid w:val="00BA169F"/>
    <w:rsid w:val="00BA1E13"/>
    <w:rsid w:val="00BA2B0A"/>
    <w:rsid w:val="00BA31EC"/>
    <w:rsid w:val="00BA43B5"/>
    <w:rsid w:val="00BA45E7"/>
    <w:rsid w:val="00BA5558"/>
    <w:rsid w:val="00BA586A"/>
    <w:rsid w:val="00BA5EB7"/>
    <w:rsid w:val="00BA6023"/>
    <w:rsid w:val="00BA62A2"/>
    <w:rsid w:val="00BA66A1"/>
    <w:rsid w:val="00BA6C03"/>
    <w:rsid w:val="00BA76A8"/>
    <w:rsid w:val="00BA7D6E"/>
    <w:rsid w:val="00BA7DA0"/>
    <w:rsid w:val="00BB0596"/>
    <w:rsid w:val="00BB0856"/>
    <w:rsid w:val="00BB1AA2"/>
    <w:rsid w:val="00BB1EAB"/>
    <w:rsid w:val="00BB20AD"/>
    <w:rsid w:val="00BB2132"/>
    <w:rsid w:val="00BB26EC"/>
    <w:rsid w:val="00BB2880"/>
    <w:rsid w:val="00BB2A5E"/>
    <w:rsid w:val="00BB30BC"/>
    <w:rsid w:val="00BB4044"/>
    <w:rsid w:val="00BB4356"/>
    <w:rsid w:val="00BB4773"/>
    <w:rsid w:val="00BB51CB"/>
    <w:rsid w:val="00BB55AB"/>
    <w:rsid w:val="00BB59EA"/>
    <w:rsid w:val="00BB60B8"/>
    <w:rsid w:val="00BB662F"/>
    <w:rsid w:val="00BB6B73"/>
    <w:rsid w:val="00BB6BE1"/>
    <w:rsid w:val="00BB72FB"/>
    <w:rsid w:val="00BB7362"/>
    <w:rsid w:val="00BC0500"/>
    <w:rsid w:val="00BC06B9"/>
    <w:rsid w:val="00BC0EB7"/>
    <w:rsid w:val="00BC1DEF"/>
    <w:rsid w:val="00BC1DFA"/>
    <w:rsid w:val="00BC1E15"/>
    <w:rsid w:val="00BC27FA"/>
    <w:rsid w:val="00BC2CCD"/>
    <w:rsid w:val="00BC3CFD"/>
    <w:rsid w:val="00BC4171"/>
    <w:rsid w:val="00BC4F4F"/>
    <w:rsid w:val="00BC5674"/>
    <w:rsid w:val="00BC5A41"/>
    <w:rsid w:val="00BC5FEE"/>
    <w:rsid w:val="00BC6829"/>
    <w:rsid w:val="00BC766B"/>
    <w:rsid w:val="00BC7E60"/>
    <w:rsid w:val="00BD005A"/>
    <w:rsid w:val="00BD0513"/>
    <w:rsid w:val="00BD087A"/>
    <w:rsid w:val="00BD0ADD"/>
    <w:rsid w:val="00BD0F99"/>
    <w:rsid w:val="00BD1826"/>
    <w:rsid w:val="00BD2086"/>
    <w:rsid w:val="00BD21EA"/>
    <w:rsid w:val="00BD2424"/>
    <w:rsid w:val="00BD2566"/>
    <w:rsid w:val="00BD284D"/>
    <w:rsid w:val="00BD2A09"/>
    <w:rsid w:val="00BD308F"/>
    <w:rsid w:val="00BD3AF6"/>
    <w:rsid w:val="00BD4B01"/>
    <w:rsid w:val="00BD4DD9"/>
    <w:rsid w:val="00BD50A4"/>
    <w:rsid w:val="00BD632C"/>
    <w:rsid w:val="00BD666C"/>
    <w:rsid w:val="00BD6776"/>
    <w:rsid w:val="00BD7F14"/>
    <w:rsid w:val="00BE062C"/>
    <w:rsid w:val="00BE0B72"/>
    <w:rsid w:val="00BE11CF"/>
    <w:rsid w:val="00BE15DF"/>
    <w:rsid w:val="00BE1B33"/>
    <w:rsid w:val="00BE1E46"/>
    <w:rsid w:val="00BE28A1"/>
    <w:rsid w:val="00BE29EC"/>
    <w:rsid w:val="00BE2A76"/>
    <w:rsid w:val="00BE309B"/>
    <w:rsid w:val="00BE3B07"/>
    <w:rsid w:val="00BE40FC"/>
    <w:rsid w:val="00BE4199"/>
    <w:rsid w:val="00BE47DC"/>
    <w:rsid w:val="00BE488D"/>
    <w:rsid w:val="00BE4953"/>
    <w:rsid w:val="00BE4FB8"/>
    <w:rsid w:val="00BE63EF"/>
    <w:rsid w:val="00BE6D7F"/>
    <w:rsid w:val="00BE6DD8"/>
    <w:rsid w:val="00BE7467"/>
    <w:rsid w:val="00BF0313"/>
    <w:rsid w:val="00BF0633"/>
    <w:rsid w:val="00BF09DF"/>
    <w:rsid w:val="00BF121C"/>
    <w:rsid w:val="00BF28EA"/>
    <w:rsid w:val="00BF29FC"/>
    <w:rsid w:val="00BF2BB0"/>
    <w:rsid w:val="00BF45DC"/>
    <w:rsid w:val="00BF45F1"/>
    <w:rsid w:val="00BF4874"/>
    <w:rsid w:val="00BF4F25"/>
    <w:rsid w:val="00BF5385"/>
    <w:rsid w:val="00BF5502"/>
    <w:rsid w:val="00BF638C"/>
    <w:rsid w:val="00BF6391"/>
    <w:rsid w:val="00BF6A39"/>
    <w:rsid w:val="00BF7827"/>
    <w:rsid w:val="00BF7AB0"/>
    <w:rsid w:val="00C004F5"/>
    <w:rsid w:val="00C0063C"/>
    <w:rsid w:val="00C00CCD"/>
    <w:rsid w:val="00C011F0"/>
    <w:rsid w:val="00C013A6"/>
    <w:rsid w:val="00C01F81"/>
    <w:rsid w:val="00C01F8B"/>
    <w:rsid w:val="00C023FF"/>
    <w:rsid w:val="00C029BD"/>
    <w:rsid w:val="00C0314B"/>
    <w:rsid w:val="00C0364D"/>
    <w:rsid w:val="00C03940"/>
    <w:rsid w:val="00C03CA3"/>
    <w:rsid w:val="00C04197"/>
    <w:rsid w:val="00C042BF"/>
    <w:rsid w:val="00C04656"/>
    <w:rsid w:val="00C051C0"/>
    <w:rsid w:val="00C051C6"/>
    <w:rsid w:val="00C0552D"/>
    <w:rsid w:val="00C05608"/>
    <w:rsid w:val="00C05EFF"/>
    <w:rsid w:val="00C065ED"/>
    <w:rsid w:val="00C06878"/>
    <w:rsid w:val="00C069B0"/>
    <w:rsid w:val="00C06F32"/>
    <w:rsid w:val="00C06F49"/>
    <w:rsid w:val="00C06F79"/>
    <w:rsid w:val="00C07AAE"/>
    <w:rsid w:val="00C102DC"/>
    <w:rsid w:val="00C11A4E"/>
    <w:rsid w:val="00C12154"/>
    <w:rsid w:val="00C127A0"/>
    <w:rsid w:val="00C134D8"/>
    <w:rsid w:val="00C13635"/>
    <w:rsid w:val="00C138BD"/>
    <w:rsid w:val="00C13BE9"/>
    <w:rsid w:val="00C148B8"/>
    <w:rsid w:val="00C14DCC"/>
    <w:rsid w:val="00C14F43"/>
    <w:rsid w:val="00C1501D"/>
    <w:rsid w:val="00C15467"/>
    <w:rsid w:val="00C1565E"/>
    <w:rsid w:val="00C16173"/>
    <w:rsid w:val="00C163FB"/>
    <w:rsid w:val="00C178FF"/>
    <w:rsid w:val="00C20307"/>
    <w:rsid w:val="00C2060C"/>
    <w:rsid w:val="00C20BA0"/>
    <w:rsid w:val="00C21349"/>
    <w:rsid w:val="00C2157A"/>
    <w:rsid w:val="00C218E9"/>
    <w:rsid w:val="00C21D22"/>
    <w:rsid w:val="00C21E5E"/>
    <w:rsid w:val="00C21ED9"/>
    <w:rsid w:val="00C222D6"/>
    <w:rsid w:val="00C22473"/>
    <w:rsid w:val="00C2251F"/>
    <w:rsid w:val="00C2269C"/>
    <w:rsid w:val="00C22762"/>
    <w:rsid w:val="00C227D5"/>
    <w:rsid w:val="00C229CC"/>
    <w:rsid w:val="00C22F43"/>
    <w:rsid w:val="00C2303B"/>
    <w:rsid w:val="00C2307D"/>
    <w:rsid w:val="00C2355C"/>
    <w:rsid w:val="00C2377F"/>
    <w:rsid w:val="00C23A0E"/>
    <w:rsid w:val="00C23D3D"/>
    <w:rsid w:val="00C23E13"/>
    <w:rsid w:val="00C240C9"/>
    <w:rsid w:val="00C24E4E"/>
    <w:rsid w:val="00C255B7"/>
    <w:rsid w:val="00C25B5D"/>
    <w:rsid w:val="00C264AB"/>
    <w:rsid w:val="00C27516"/>
    <w:rsid w:val="00C27EE0"/>
    <w:rsid w:val="00C27F89"/>
    <w:rsid w:val="00C30249"/>
    <w:rsid w:val="00C30410"/>
    <w:rsid w:val="00C305F0"/>
    <w:rsid w:val="00C30EE2"/>
    <w:rsid w:val="00C3159A"/>
    <w:rsid w:val="00C318AF"/>
    <w:rsid w:val="00C321AC"/>
    <w:rsid w:val="00C32243"/>
    <w:rsid w:val="00C326D5"/>
    <w:rsid w:val="00C3393C"/>
    <w:rsid w:val="00C3394B"/>
    <w:rsid w:val="00C33D90"/>
    <w:rsid w:val="00C348F5"/>
    <w:rsid w:val="00C34956"/>
    <w:rsid w:val="00C349D7"/>
    <w:rsid w:val="00C34B1B"/>
    <w:rsid w:val="00C34B83"/>
    <w:rsid w:val="00C34DA0"/>
    <w:rsid w:val="00C3511A"/>
    <w:rsid w:val="00C364B5"/>
    <w:rsid w:val="00C36840"/>
    <w:rsid w:val="00C36F87"/>
    <w:rsid w:val="00C3715C"/>
    <w:rsid w:val="00C40E87"/>
    <w:rsid w:val="00C421C0"/>
    <w:rsid w:val="00C4249F"/>
    <w:rsid w:val="00C42988"/>
    <w:rsid w:val="00C42DE0"/>
    <w:rsid w:val="00C43186"/>
    <w:rsid w:val="00C439FC"/>
    <w:rsid w:val="00C44479"/>
    <w:rsid w:val="00C445DB"/>
    <w:rsid w:val="00C44DAD"/>
    <w:rsid w:val="00C45803"/>
    <w:rsid w:val="00C45E17"/>
    <w:rsid w:val="00C4614B"/>
    <w:rsid w:val="00C462C3"/>
    <w:rsid w:val="00C46655"/>
    <w:rsid w:val="00C4672E"/>
    <w:rsid w:val="00C47212"/>
    <w:rsid w:val="00C4764F"/>
    <w:rsid w:val="00C47750"/>
    <w:rsid w:val="00C47C1D"/>
    <w:rsid w:val="00C50E11"/>
    <w:rsid w:val="00C5105E"/>
    <w:rsid w:val="00C516AE"/>
    <w:rsid w:val="00C52204"/>
    <w:rsid w:val="00C52519"/>
    <w:rsid w:val="00C525AA"/>
    <w:rsid w:val="00C52721"/>
    <w:rsid w:val="00C52EB7"/>
    <w:rsid w:val="00C53533"/>
    <w:rsid w:val="00C5430F"/>
    <w:rsid w:val="00C5451D"/>
    <w:rsid w:val="00C54971"/>
    <w:rsid w:val="00C54C48"/>
    <w:rsid w:val="00C5504C"/>
    <w:rsid w:val="00C553E8"/>
    <w:rsid w:val="00C55767"/>
    <w:rsid w:val="00C557DD"/>
    <w:rsid w:val="00C55C14"/>
    <w:rsid w:val="00C568A7"/>
    <w:rsid w:val="00C575A6"/>
    <w:rsid w:val="00C577C3"/>
    <w:rsid w:val="00C57F97"/>
    <w:rsid w:val="00C606F0"/>
    <w:rsid w:val="00C60CE0"/>
    <w:rsid w:val="00C60EAA"/>
    <w:rsid w:val="00C6185F"/>
    <w:rsid w:val="00C619BC"/>
    <w:rsid w:val="00C619FE"/>
    <w:rsid w:val="00C61E7B"/>
    <w:rsid w:val="00C621E9"/>
    <w:rsid w:val="00C62FF1"/>
    <w:rsid w:val="00C63453"/>
    <w:rsid w:val="00C635B6"/>
    <w:rsid w:val="00C63746"/>
    <w:rsid w:val="00C63B9D"/>
    <w:rsid w:val="00C63E82"/>
    <w:rsid w:val="00C65772"/>
    <w:rsid w:val="00C6577B"/>
    <w:rsid w:val="00C65861"/>
    <w:rsid w:val="00C65AAC"/>
    <w:rsid w:val="00C65AD9"/>
    <w:rsid w:val="00C66345"/>
    <w:rsid w:val="00C66350"/>
    <w:rsid w:val="00C6672F"/>
    <w:rsid w:val="00C67907"/>
    <w:rsid w:val="00C67B3B"/>
    <w:rsid w:val="00C700E6"/>
    <w:rsid w:val="00C70DB5"/>
    <w:rsid w:val="00C70DD2"/>
    <w:rsid w:val="00C713A4"/>
    <w:rsid w:val="00C713FA"/>
    <w:rsid w:val="00C71563"/>
    <w:rsid w:val="00C71A05"/>
    <w:rsid w:val="00C71B70"/>
    <w:rsid w:val="00C73009"/>
    <w:rsid w:val="00C736AD"/>
    <w:rsid w:val="00C73A21"/>
    <w:rsid w:val="00C73BF9"/>
    <w:rsid w:val="00C74B5A"/>
    <w:rsid w:val="00C74CE7"/>
    <w:rsid w:val="00C75538"/>
    <w:rsid w:val="00C7556B"/>
    <w:rsid w:val="00C75606"/>
    <w:rsid w:val="00C7629C"/>
    <w:rsid w:val="00C765B0"/>
    <w:rsid w:val="00C766A1"/>
    <w:rsid w:val="00C77240"/>
    <w:rsid w:val="00C77254"/>
    <w:rsid w:val="00C77538"/>
    <w:rsid w:val="00C77881"/>
    <w:rsid w:val="00C77A2E"/>
    <w:rsid w:val="00C77FA3"/>
    <w:rsid w:val="00C8060B"/>
    <w:rsid w:val="00C80B0D"/>
    <w:rsid w:val="00C80C91"/>
    <w:rsid w:val="00C810D8"/>
    <w:rsid w:val="00C810F0"/>
    <w:rsid w:val="00C812A9"/>
    <w:rsid w:val="00C81CB3"/>
    <w:rsid w:val="00C82C68"/>
    <w:rsid w:val="00C8349C"/>
    <w:rsid w:val="00C83551"/>
    <w:rsid w:val="00C83AB9"/>
    <w:rsid w:val="00C84546"/>
    <w:rsid w:val="00C84825"/>
    <w:rsid w:val="00C853A0"/>
    <w:rsid w:val="00C85633"/>
    <w:rsid w:val="00C85CC1"/>
    <w:rsid w:val="00C8611B"/>
    <w:rsid w:val="00C86813"/>
    <w:rsid w:val="00C8685B"/>
    <w:rsid w:val="00C8732E"/>
    <w:rsid w:val="00C8750D"/>
    <w:rsid w:val="00C87F22"/>
    <w:rsid w:val="00C916D3"/>
    <w:rsid w:val="00C91E6C"/>
    <w:rsid w:val="00C91F0D"/>
    <w:rsid w:val="00C9234F"/>
    <w:rsid w:val="00C924F9"/>
    <w:rsid w:val="00C9361E"/>
    <w:rsid w:val="00C93AC5"/>
    <w:rsid w:val="00C93E16"/>
    <w:rsid w:val="00C949B7"/>
    <w:rsid w:val="00C955AF"/>
    <w:rsid w:val="00C95F6C"/>
    <w:rsid w:val="00C966BC"/>
    <w:rsid w:val="00C96FC7"/>
    <w:rsid w:val="00C9723C"/>
    <w:rsid w:val="00C97462"/>
    <w:rsid w:val="00C9757C"/>
    <w:rsid w:val="00C975CD"/>
    <w:rsid w:val="00C9772F"/>
    <w:rsid w:val="00C97B42"/>
    <w:rsid w:val="00C97CD6"/>
    <w:rsid w:val="00C97E8B"/>
    <w:rsid w:val="00CA00B3"/>
    <w:rsid w:val="00CA0789"/>
    <w:rsid w:val="00CA166E"/>
    <w:rsid w:val="00CA2465"/>
    <w:rsid w:val="00CA294F"/>
    <w:rsid w:val="00CA2EB1"/>
    <w:rsid w:val="00CA3690"/>
    <w:rsid w:val="00CA4016"/>
    <w:rsid w:val="00CA4DD1"/>
    <w:rsid w:val="00CA57A8"/>
    <w:rsid w:val="00CA5D96"/>
    <w:rsid w:val="00CA626B"/>
    <w:rsid w:val="00CA6617"/>
    <w:rsid w:val="00CA6ED2"/>
    <w:rsid w:val="00CA7B3B"/>
    <w:rsid w:val="00CA7BDE"/>
    <w:rsid w:val="00CB06D1"/>
    <w:rsid w:val="00CB08C8"/>
    <w:rsid w:val="00CB0CE6"/>
    <w:rsid w:val="00CB101B"/>
    <w:rsid w:val="00CB1037"/>
    <w:rsid w:val="00CB13E4"/>
    <w:rsid w:val="00CB1AE3"/>
    <w:rsid w:val="00CB1FC1"/>
    <w:rsid w:val="00CB24B5"/>
    <w:rsid w:val="00CB2562"/>
    <w:rsid w:val="00CB279A"/>
    <w:rsid w:val="00CB30C4"/>
    <w:rsid w:val="00CB365B"/>
    <w:rsid w:val="00CB3844"/>
    <w:rsid w:val="00CB385E"/>
    <w:rsid w:val="00CB3977"/>
    <w:rsid w:val="00CB3DB1"/>
    <w:rsid w:val="00CB4398"/>
    <w:rsid w:val="00CB4629"/>
    <w:rsid w:val="00CB5095"/>
    <w:rsid w:val="00CB525D"/>
    <w:rsid w:val="00CB567B"/>
    <w:rsid w:val="00CB5B21"/>
    <w:rsid w:val="00CB6062"/>
    <w:rsid w:val="00CB63CD"/>
    <w:rsid w:val="00CB6CE9"/>
    <w:rsid w:val="00CB7D44"/>
    <w:rsid w:val="00CB7F67"/>
    <w:rsid w:val="00CC04B5"/>
    <w:rsid w:val="00CC09FB"/>
    <w:rsid w:val="00CC0DDB"/>
    <w:rsid w:val="00CC1695"/>
    <w:rsid w:val="00CC1707"/>
    <w:rsid w:val="00CC17BD"/>
    <w:rsid w:val="00CC19D3"/>
    <w:rsid w:val="00CC1B16"/>
    <w:rsid w:val="00CC1E68"/>
    <w:rsid w:val="00CC26AC"/>
    <w:rsid w:val="00CC2AC3"/>
    <w:rsid w:val="00CC3134"/>
    <w:rsid w:val="00CC33E6"/>
    <w:rsid w:val="00CC3857"/>
    <w:rsid w:val="00CC3F10"/>
    <w:rsid w:val="00CC4A18"/>
    <w:rsid w:val="00CC4B64"/>
    <w:rsid w:val="00CC4BBD"/>
    <w:rsid w:val="00CC4C7A"/>
    <w:rsid w:val="00CC5963"/>
    <w:rsid w:val="00CC59AE"/>
    <w:rsid w:val="00CC5ADA"/>
    <w:rsid w:val="00CC60FB"/>
    <w:rsid w:val="00CC62CA"/>
    <w:rsid w:val="00CC6413"/>
    <w:rsid w:val="00CC6466"/>
    <w:rsid w:val="00CC6A97"/>
    <w:rsid w:val="00CC6DFD"/>
    <w:rsid w:val="00CC71DE"/>
    <w:rsid w:val="00CC7DA8"/>
    <w:rsid w:val="00CD0289"/>
    <w:rsid w:val="00CD0669"/>
    <w:rsid w:val="00CD0869"/>
    <w:rsid w:val="00CD0DBF"/>
    <w:rsid w:val="00CD112A"/>
    <w:rsid w:val="00CD12C8"/>
    <w:rsid w:val="00CD14EF"/>
    <w:rsid w:val="00CD1710"/>
    <w:rsid w:val="00CD18F3"/>
    <w:rsid w:val="00CD1AC1"/>
    <w:rsid w:val="00CD1B5C"/>
    <w:rsid w:val="00CD1B96"/>
    <w:rsid w:val="00CD241E"/>
    <w:rsid w:val="00CD2BF8"/>
    <w:rsid w:val="00CD3166"/>
    <w:rsid w:val="00CD375C"/>
    <w:rsid w:val="00CD396F"/>
    <w:rsid w:val="00CD3A39"/>
    <w:rsid w:val="00CD3CC6"/>
    <w:rsid w:val="00CD40C5"/>
    <w:rsid w:val="00CD4F56"/>
    <w:rsid w:val="00CD56AE"/>
    <w:rsid w:val="00CD582B"/>
    <w:rsid w:val="00CD65AE"/>
    <w:rsid w:val="00CD6B39"/>
    <w:rsid w:val="00CD6BAA"/>
    <w:rsid w:val="00CE062A"/>
    <w:rsid w:val="00CE08F4"/>
    <w:rsid w:val="00CE0A76"/>
    <w:rsid w:val="00CE168B"/>
    <w:rsid w:val="00CE1849"/>
    <w:rsid w:val="00CE1EFE"/>
    <w:rsid w:val="00CE2880"/>
    <w:rsid w:val="00CE2AA2"/>
    <w:rsid w:val="00CE2AE3"/>
    <w:rsid w:val="00CE2D1D"/>
    <w:rsid w:val="00CE324D"/>
    <w:rsid w:val="00CE3856"/>
    <w:rsid w:val="00CE3A47"/>
    <w:rsid w:val="00CE3C0E"/>
    <w:rsid w:val="00CE4358"/>
    <w:rsid w:val="00CE4649"/>
    <w:rsid w:val="00CE4C9B"/>
    <w:rsid w:val="00CE5F85"/>
    <w:rsid w:val="00CE65F1"/>
    <w:rsid w:val="00CE6711"/>
    <w:rsid w:val="00CE6C0B"/>
    <w:rsid w:val="00CE6CA3"/>
    <w:rsid w:val="00CE6D57"/>
    <w:rsid w:val="00CE7116"/>
    <w:rsid w:val="00CE7A03"/>
    <w:rsid w:val="00CE7D1F"/>
    <w:rsid w:val="00CE7DBE"/>
    <w:rsid w:val="00CF14B6"/>
    <w:rsid w:val="00CF2363"/>
    <w:rsid w:val="00CF2D14"/>
    <w:rsid w:val="00CF327E"/>
    <w:rsid w:val="00CF32FA"/>
    <w:rsid w:val="00CF33A2"/>
    <w:rsid w:val="00CF3696"/>
    <w:rsid w:val="00CF37D3"/>
    <w:rsid w:val="00CF39D6"/>
    <w:rsid w:val="00CF3C61"/>
    <w:rsid w:val="00CF4001"/>
    <w:rsid w:val="00CF4033"/>
    <w:rsid w:val="00CF4558"/>
    <w:rsid w:val="00CF4FF0"/>
    <w:rsid w:val="00CF52A0"/>
    <w:rsid w:val="00CF55E5"/>
    <w:rsid w:val="00CF5827"/>
    <w:rsid w:val="00CF63F9"/>
    <w:rsid w:val="00CF641C"/>
    <w:rsid w:val="00CF664C"/>
    <w:rsid w:val="00CF699A"/>
    <w:rsid w:val="00CF69E5"/>
    <w:rsid w:val="00CF69E9"/>
    <w:rsid w:val="00CF6F91"/>
    <w:rsid w:val="00CF7C87"/>
    <w:rsid w:val="00CF7C9A"/>
    <w:rsid w:val="00CF7E49"/>
    <w:rsid w:val="00CF7EFD"/>
    <w:rsid w:val="00D0002B"/>
    <w:rsid w:val="00D00110"/>
    <w:rsid w:val="00D0011B"/>
    <w:rsid w:val="00D00364"/>
    <w:rsid w:val="00D00373"/>
    <w:rsid w:val="00D01048"/>
    <w:rsid w:val="00D016E6"/>
    <w:rsid w:val="00D01C7C"/>
    <w:rsid w:val="00D02590"/>
    <w:rsid w:val="00D02D65"/>
    <w:rsid w:val="00D04696"/>
    <w:rsid w:val="00D05E56"/>
    <w:rsid w:val="00D060FA"/>
    <w:rsid w:val="00D061AA"/>
    <w:rsid w:val="00D0651E"/>
    <w:rsid w:val="00D06881"/>
    <w:rsid w:val="00D06B3C"/>
    <w:rsid w:val="00D06CA9"/>
    <w:rsid w:val="00D07A6B"/>
    <w:rsid w:val="00D07F92"/>
    <w:rsid w:val="00D10111"/>
    <w:rsid w:val="00D10169"/>
    <w:rsid w:val="00D10B4E"/>
    <w:rsid w:val="00D10CE9"/>
    <w:rsid w:val="00D10DD9"/>
    <w:rsid w:val="00D12588"/>
    <w:rsid w:val="00D12745"/>
    <w:rsid w:val="00D128F5"/>
    <w:rsid w:val="00D12F17"/>
    <w:rsid w:val="00D1343F"/>
    <w:rsid w:val="00D13835"/>
    <w:rsid w:val="00D13DED"/>
    <w:rsid w:val="00D13F06"/>
    <w:rsid w:val="00D147EB"/>
    <w:rsid w:val="00D14C1A"/>
    <w:rsid w:val="00D15406"/>
    <w:rsid w:val="00D154FF"/>
    <w:rsid w:val="00D155B0"/>
    <w:rsid w:val="00D15C4E"/>
    <w:rsid w:val="00D1623B"/>
    <w:rsid w:val="00D16FC7"/>
    <w:rsid w:val="00D1724C"/>
    <w:rsid w:val="00D1775D"/>
    <w:rsid w:val="00D179BD"/>
    <w:rsid w:val="00D17C42"/>
    <w:rsid w:val="00D20089"/>
    <w:rsid w:val="00D224A1"/>
    <w:rsid w:val="00D2283A"/>
    <w:rsid w:val="00D22E2F"/>
    <w:rsid w:val="00D22E56"/>
    <w:rsid w:val="00D23134"/>
    <w:rsid w:val="00D233BF"/>
    <w:rsid w:val="00D234C4"/>
    <w:rsid w:val="00D235B5"/>
    <w:rsid w:val="00D23812"/>
    <w:rsid w:val="00D24136"/>
    <w:rsid w:val="00D24D32"/>
    <w:rsid w:val="00D24F7A"/>
    <w:rsid w:val="00D25319"/>
    <w:rsid w:val="00D2551E"/>
    <w:rsid w:val="00D25D76"/>
    <w:rsid w:val="00D25F45"/>
    <w:rsid w:val="00D265CE"/>
    <w:rsid w:val="00D27038"/>
    <w:rsid w:val="00D2706A"/>
    <w:rsid w:val="00D272BB"/>
    <w:rsid w:val="00D3000D"/>
    <w:rsid w:val="00D3026A"/>
    <w:rsid w:val="00D30DFC"/>
    <w:rsid w:val="00D310CA"/>
    <w:rsid w:val="00D31167"/>
    <w:rsid w:val="00D31264"/>
    <w:rsid w:val="00D31A80"/>
    <w:rsid w:val="00D32058"/>
    <w:rsid w:val="00D3210F"/>
    <w:rsid w:val="00D325CB"/>
    <w:rsid w:val="00D33055"/>
    <w:rsid w:val="00D33295"/>
    <w:rsid w:val="00D33308"/>
    <w:rsid w:val="00D335E9"/>
    <w:rsid w:val="00D33708"/>
    <w:rsid w:val="00D338B1"/>
    <w:rsid w:val="00D33C4C"/>
    <w:rsid w:val="00D33C78"/>
    <w:rsid w:val="00D342FB"/>
    <w:rsid w:val="00D358FC"/>
    <w:rsid w:val="00D35F33"/>
    <w:rsid w:val="00D3622A"/>
    <w:rsid w:val="00D36B8A"/>
    <w:rsid w:val="00D36F8B"/>
    <w:rsid w:val="00D3724B"/>
    <w:rsid w:val="00D375BF"/>
    <w:rsid w:val="00D37862"/>
    <w:rsid w:val="00D37944"/>
    <w:rsid w:val="00D40355"/>
    <w:rsid w:val="00D40B5F"/>
    <w:rsid w:val="00D40CAA"/>
    <w:rsid w:val="00D412E5"/>
    <w:rsid w:val="00D421F4"/>
    <w:rsid w:val="00D427B0"/>
    <w:rsid w:val="00D42C64"/>
    <w:rsid w:val="00D430E7"/>
    <w:rsid w:val="00D4326F"/>
    <w:rsid w:val="00D4340A"/>
    <w:rsid w:val="00D43FAB"/>
    <w:rsid w:val="00D44316"/>
    <w:rsid w:val="00D44924"/>
    <w:rsid w:val="00D44CAB"/>
    <w:rsid w:val="00D45188"/>
    <w:rsid w:val="00D453A8"/>
    <w:rsid w:val="00D4564D"/>
    <w:rsid w:val="00D45819"/>
    <w:rsid w:val="00D458BA"/>
    <w:rsid w:val="00D46F51"/>
    <w:rsid w:val="00D47325"/>
    <w:rsid w:val="00D478AF"/>
    <w:rsid w:val="00D478D7"/>
    <w:rsid w:val="00D47F5A"/>
    <w:rsid w:val="00D50345"/>
    <w:rsid w:val="00D50728"/>
    <w:rsid w:val="00D50BCD"/>
    <w:rsid w:val="00D50FBE"/>
    <w:rsid w:val="00D51744"/>
    <w:rsid w:val="00D51A48"/>
    <w:rsid w:val="00D51B57"/>
    <w:rsid w:val="00D51CDD"/>
    <w:rsid w:val="00D5275F"/>
    <w:rsid w:val="00D52C0E"/>
    <w:rsid w:val="00D52CC1"/>
    <w:rsid w:val="00D539AA"/>
    <w:rsid w:val="00D53BFC"/>
    <w:rsid w:val="00D53C03"/>
    <w:rsid w:val="00D53CF4"/>
    <w:rsid w:val="00D53F38"/>
    <w:rsid w:val="00D5448D"/>
    <w:rsid w:val="00D54807"/>
    <w:rsid w:val="00D54914"/>
    <w:rsid w:val="00D55114"/>
    <w:rsid w:val="00D5578B"/>
    <w:rsid w:val="00D56376"/>
    <w:rsid w:val="00D568F8"/>
    <w:rsid w:val="00D571DC"/>
    <w:rsid w:val="00D576F3"/>
    <w:rsid w:val="00D57700"/>
    <w:rsid w:val="00D578D8"/>
    <w:rsid w:val="00D57954"/>
    <w:rsid w:val="00D57968"/>
    <w:rsid w:val="00D60120"/>
    <w:rsid w:val="00D60283"/>
    <w:rsid w:val="00D602BA"/>
    <w:rsid w:val="00D60B9D"/>
    <w:rsid w:val="00D61C76"/>
    <w:rsid w:val="00D6224A"/>
    <w:rsid w:val="00D62301"/>
    <w:rsid w:val="00D636E0"/>
    <w:rsid w:val="00D63829"/>
    <w:rsid w:val="00D63901"/>
    <w:rsid w:val="00D63D9D"/>
    <w:rsid w:val="00D642CD"/>
    <w:rsid w:val="00D646C9"/>
    <w:rsid w:val="00D64E2A"/>
    <w:rsid w:val="00D64F28"/>
    <w:rsid w:val="00D65082"/>
    <w:rsid w:val="00D6583D"/>
    <w:rsid w:val="00D65B91"/>
    <w:rsid w:val="00D65DD3"/>
    <w:rsid w:val="00D660A7"/>
    <w:rsid w:val="00D66EC7"/>
    <w:rsid w:val="00D67073"/>
    <w:rsid w:val="00D6744D"/>
    <w:rsid w:val="00D67B35"/>
    <w:rsid w:val="00D67DC1"/>
    <w:rsid w:val="00D67DEE"/>
    <w:rsid w:val="00D701F9"/>
    <w:rsid w:val="00D70948"/>
    <w:rsid w:val="00D7116C"/>
    <w:rsid w:val="00D71489"/>
    <w:rsid w:val="00D71BD9"/>
    <w:rsid w:val="00D725CA"/>
    <w:rsid w:val="00D726C0"/>
    <w:rsid w:val="00D726D5"/>
    <w:rsid w:val="00D72C14"/>
    <w:rsid w:val="00D72C39"/>
    <w:rsid w:val="00D731B8"/>
    <w:rsid w:val="00D7344D"/>
    <w:rsid w:val="00D735C0"/>
    <w:rsid w:val="00D735CD"/>
    <w:rsid w:val="00D738BF"/>
    <w:rsid w:val="00D73B07"/>
    <w:rsid w:val="00D748F0"/>
    <w:rsid w:val="00D74D52"/>
    <w:rsid w:val="00D75ABF"/>
    <w:rsid w:val="00D75E5B"/>
    <w:rsid w:val="00D7613A"/>
    <w:rsid w:val="00D76CA9"/>
    <w:rsid w:val="00D76D42"/>
    <w:rsid w:val="00D7728C"/>
    <w:rsid w:val="00D777E1"/>
    <w:rsid w:val="00D779E3"/>
    <w:rsid w:val="00D77FC0"/>
    <w:rsid w:val="00D80118"/>
    <w:rsid w:val="00D809CD"/>
    <w:rsid w:val="00D8171A"/>
    <w:rsid w:val="00D828F9"/>
    <w:rsid w:val="00D82ADC"/>
    <w:rsid w:val="00D82D9A"/>
    <w:rsid w:val="00D8311F"/>
    <w:rsid w:val="00D83303"/>
    <w:rsid w:val="00D8355B"/>
    <w:rsid w:val="00D836AD"/>
    <w:rsid w:val="00D8370D"/>
    <w:rsid w:val="00D83892"/>
    <w:rsid w:val="00D83DC9"/>
    <w:rsid w:val="00D8442D"/>
    <w:rsid w:val="00D8635A"/>
    <w:rsid w:val="00D86761"/>
    <w:rsid w:val="00D8690D"/>
    <w:rsid w:val="00D872E5"/>
    <w:rsid w:val="00D87C38"/>
    <w:rsid w:val="00D87F83"/>
    <w:rsid w:val="00D90722"/>
    <w:rsid w:val="00D90742"/>
    <w:rsid w:val="00D90B0A"/>
    <w:rsid w:val="00D9137B"/>
    <w:rsid w:val="00D9158D"/>
    <w:rsid w:val="00D91947"/>
    <w:rsid w:val="00D925D1"/>
    <w:rsid w:val="00D928DB"/>
    <w:rsid w:val="00D92BAB"/>
    <w:rsid w:val="00D9363A"/>
    <w:rsid w:val="00D9425A"/>
    <w:rsid w:val="00D944B7"/>
    <w:rsid w:val="00D94547"/>
    <w:rsid w:val="00D94699"/>
    <w:rsid w:val="00D94976"/>
    <w:rsid w:val="00D949B4"/>
    <w:rsid w:val="00D94A37"/>
    <w:rsid w:val="00D94A83"/>
    <w:rsid w:val="00D950F1"/>
    <w:rsid w:val="00D95F16"/>
    <w:rsid w:val="00D96139"/>
    <w:rsid w:val="00D96820"/>
    <w:rsid w:val="00D96A14"/>
    <w:rsid w:val="00D9755E"/>
    <w:rsid w:val="00DA000B"/>
    <w:rsid w:val="00DA043A"/>
    <w:rsid w:val="00DA075D"/>
    <w:rsid w:val="00DA0CEB"/>
    <w:rsid w:val="00DA0FE0"/>
    <w:rsid w:val="00DA1EE0"/>
    <w:rsid w:val="00DA28FF"/>
    <w:rsid w:val="00DA2981"/>
    <w:rsid w:val="00DA2A3A"/>
    <w:rsid w:val="00DA2CFF"/>
    <w:rsid w:val="00DA3364"/>
    <w:rsid w:val="00DA449D"/>
    <w:rsid w:val="00DA4D46"/>
    <w:rsid w:val="00DA4FEE"/>
    <w:rsid w:val="00DA510E"/>
    <w:rsid w:val="00DA5E6F"/>
    <w:rsid w:val="00DA6308"/>
    <w:rsid w:val="00DA6355"/>
    <w:rsid w:val="00DA6C6B"/>
    <w:rsid w:val="00DA762E"/>
    <w:rsid w:val="00DA7F70"/>
    <w:rsid w:val="00DB024E"/>
    <w:rsid w:val="00DB0255"/>
    <w:rsid w:val="00DB1090"/>
    <w:rsid w:val="00DB1BC1"/>
    <w:rsid w:val="00DB1E7D"/>
    <w:rsid w:val="00DB257C"/>
    <w:rsid w:val="00DB2D88"/>
    <w:rsid w:val="00DB3018"/>
    <w:rsid w:val="00DB3055"/>
    <w:rsid w:val="00DB3553"/>
    <w:rsid w:val="00DB37FE"/>
    <w:rsid w:val="00DB4759"/>
    <w:rsid w:val="00DB53F5"/>
    <w:rsid w:val="00DB5707"/>
    <w:rsid w:val="00DB581D"/>
    <w:rsid w:val="00DB6296"/>
    <w:rsid w:val="00DB63D9"/>
    <w:rsid w:val="00DB6D24"/>
    <w:rsid w:val="00DB71D3"/>
    <w:rsid w:val="00DB74C4"/>
    <w:rsid w:val="00DB7773"/>
    <w:rsid w:val="00DB7D51"/>
    <w:rsid w:val="00DB7E69"/>
    <w:rsid w:val="00DB7EB4"/>
    <w:rsid w:val="00DC019B"/>
    <w:rsid w:val="00DC1275"/>
    <w:rsid w:val="00DC1394"/>
    <w:rsid w:val="00DC1CEA"/>
    <w:rsid w:val="00DC1E8B"/>
    <w:rsid w:val="00DC35A8"/>
    <w:rsid w:val="00DC38D4"/>
    <w:rsid w:val="00DC3C06"/>
    <w:rsid w:val="00DC3E5A"/>
    <w:rsid w:val="00DC436B"/>
    <w:rsid w:val="00DC46A3"/>
    <w:rsid w:val="00DC492E"/>
    <w:rsid w:val="00DC51A9"/>
    <w:rsid w:val="00DC527A"/>
    <w:rsid w:val="00DC5A41"/>
    <w:rsid w:val="00DC64A0"/>
    <w:rsid w:val="00DC6CAF"/>
    <w:rsid w:val="00DC714D"/>
    <w:rsid w:val="00DC7316"/>
    <w:rsid w:val="00DC7AF8"/>
    <w:rsid w:val="00DC7CAC"/>
    <w:rsid w:val="00DD04EC"/>
    <w:rsid w:val="00DD0EDC"/>
    <w:rsid w:val="00DD12E7"/>
    <w:rsid w:val="00DD17BF"/>
    <w:rsid w:val="00DD20CC"/>
    <w:rsid w:val="00DD2135"/>
    <w:rsid w:val="00DD2364"/>
    <w:rsid w:val="00DD24AA"/>
    <w:rsid w:val="00DD29F6"/>
    <w:rsid w:val="00DD2CB2"/>
    <w:rsid w:val="00DD2E62"/>
    <w:rsid w:val="00DD304A"/>
    <w:rsid w:val="00DD41A9"/>
    <w:rsid w:val="00DD4671"/>
    <w:rsid w:val="00DD47A7"/>
    <w:rsid w:val="00DD4BF1"/>
    <w:rsid w:val="00DD5AD6"/>
    <w:rsid w:val="00DD648E"/>
    <w:rsid w:val="00DD6953"/>
    <w:rsid w:val="00DD6A30"/>
    <w:rsid w:val="00DE000D"/>
    <w:rsid w:val="00DE05E4"/>
    <w:rsid w:val="00DE0882"/>
    <w:rsid w:val="00DE08E9"/>
    <w:rsid w:val="00DE1011"/>
    <w:rsid w:val="00DE17E5"/>
    <w:rsid w:val="00DE1C98"/>
    <w:rsid w:val="00DE20F8"/>
    <w:rsid w:val="00DE2E8F"/>
    <w:rsid w:val="00DE2FF3"/>
    <w:rsid w:val="00DE4655"/>
    <w:rsid w:val="00DE4675"/>
    <w:rsid w:val="00DE4715"/>
    <w:rsid w:val="00DE4F89"/>
    <w:rsid w:val="00DE5900"/>
    <w:rsid w:val="00DE5928"/>
    <w:rsid w:val="00DE5DC2"/>
    <w:rsid w:val="00DE5E88"/>
    <w:rsid w:val="00DE604A"/>
    <w:rsid w:val="00DE61AC"/>
    <w:rsid w:val="00DE63C6"/>
    <w:rsid w:val="00DE687F"/>
    <w:rsid w:val="00DE692B"/>
    <w:rsid w:val="00DE6D63"/>
    <w:rsid w:val="00DE6E3D"/>
    <w:rsid w:val="00DE7099"/>
    <w:rsid w:val="00DE7327"/>
    <w:rsid w:val="00DE74C0"/>
    <w:rsid w:val="00DE79C1"/>
    <w:rsid w:val="00DF0F03"/>
    <w:rsid w:val="00DF1B12"/>
    <w:rsid w:val="00DF1D38"/>
    <w:rsid w:val="00DF1FBD"/>
    <w:rsid w:val="00DF238F"/>
    <w:rsid w:val="00DF25D9"/>
    <w:rsid w:val="00DF3E8D"/>
    <w:rsid w:val="00DF44D9"/>
    <w:rsid w:val="00DF45FE"/>
    <w:rsid w:val="00DF587B"/>
    <w:rsid w:val="00DF75C3"/>
    <w:rsid w:val="00DF7BE2"/>
    <w:rsid w:val="00DF7C97"/>
    <w:rsid w:val="00E001E5"/>
    <w:rsid w:val="00E01782"/>
    <w:rsid w:val="00E01B07"/>
    <w:rsid w:val="00E01DAF"/>
    <w:rsid w:val="00E01DC5"/>
    <w:rsid w:val="00E01F68"/>
    <w:rsid w:val="00E02156"/>
    <w:rsid w:val="00E024C1"/>
    <w:rsid w:val="00E02619"/>
    <w:rsid w:val="00E029F9"/>
    <w:rsid w:val="00E03081"/>
    <w:rsid w:val="00E03484"/>
    <w:rsid w:val="00E03B9F"/>
    <w:rsid w:val="00E03E0A"/>
    <w:rsid w:val="00E04367"/>
    <w:rsid w:val="00E0459A"/>
    <w:rsid w:val="00E04FBA"/>
    <w:rsid w:val="00E05990"/>
    <w:rsid w:val="00E05F09"/>
    <w:rsid w:val="00E064CF"/>
    <w:rsid w:val="00E075DF"/>
    <w:rsid w:val="00E07697"/>
    <w:rsid w:val="00E07C6A"/>
    <w:rsid w:val="00E1018D"/>
    <w:rsid w:val="00E1021C"/>
    <w:rsid w:val="00E104E1"/>
    <w:rsid w:val="00E10A08"/>
    <w:rsid w:val="00E10A16"/>
    <w:rsid w:val="00E10BA3"/>
    <w:rsid w:val="00E11021"/>
    <w:rsid w:val="00E1169D"/>
    <w:rsid w:val="00E12A40"/>
    <w:rsid w:val="00E12C80"/>
    <w:rsid w:val="00E12DC8"/>
    <w:rsid w:val="00E1341C"/>
    <w:rsid w:val="00E13513"/>
    <w:rsid w:val="00E13919"/>
    <w:rsid w:val="00E13AE9"/>
    <w:rsid w:val="00E14C09"/>
    <w:rsid w:val="00E14C96"/>
    <w:rsid w:val="00E14D55"/>
    <w:rsid w:val="00E14D6A"/>
    <w:rsid w:val="00E15746"/>
    <w:rsid w:val="00E15EAA"/>
    <w:rsid w:val="00E15EDE"/>
    <w:rsid w:val="00E160A1"/>
    <w:rsid w:val="00E1649A"/>
    <w:rsid w:val="00E164BA"/>
    <w:rsid w:val="00E164F2"/>
    <w:rsid w:val="00E16565"/>
    <w:rsid w:val="00E166C2"/>
    <w:rsid w:val="00E16928"/>
    <w:rsid w:val="00E16AF3"/>
    <w:rsid w:val="00E17114"/>
    <w:rsid w:val="00E1744A"/>
    <w:rsid w:val="00E1781E"/>
    <w:rsid w:val="00E17985"/>
    <w:rsid w:val="00E17F8D"/>
    <w:rsid w:val="00E20478"/>
    <w:rsid w:val="00E205C1"/>
    <w:rsid w:val="00E205EB"/>
    <w:rsid w:val="00E2070C"/>
    <w:rsid w:val="00E2074A"/>
    <w:rsid w:val="00E20BBC"/>
    <w:rsid w:val="00E20EF4"/>
    <w:rsid w:val="00E21054"/>
    <w:rsid w:val="00E2133A"/>
    <w:rsid w:val="00E21369"/>
    <w:rsid w:val="00E21AD8"/>
    <w:rsid w:val="00E21F89"/>
    <w:rsid w:val="00E226FD"/>
    <w:rsid w:val="00E22AEC"/>
    <w:rsid w:val="00E230FE"/>
    <w:rsid w:val="00E23979"/>
    <w:rsid w:val="00E23F95"/>
    <w:rsid w:val="00E24041"/>
    <w:rsid w:val="00E24668"/>
    <w:rsid w:val="00E24CE5"/>
    <w:rsid w:val="00E25104"/>
    <w:rsid w:val="00E25244"/>
    <w:rsid w:val="00E253F9"/>
    <w:rsid w:val="00E255E8"/>
    <w:rsid w:val="00E25C6D"/>
    <w:rsid w:val="00E25E7D"/>
    <w:rsid w:val="00E26048"/>
    <w:rsid w:val="00E26948"/>
    <w:rsid w:val="00E2755A"/>
    <w:rsid w:val="00E277EC"/>
    <w:rsid w:val="00E27B47"/>
    <w:rsid w:val="00E302E9"/>
    <w:rsid w:val="00E30E46"/>
    <w:rsid w:val="00E311CA"/>
    <w:rsid w:val="00E31387"/>
    <w:rsid w:val="00E31FA5"/>
    <w:rsid w:val="00E322BD"/>
    <w:rsid w:val="00E32AE7"/>
    <w:rsid w:val="00E32CE0"/>
    <w:rsid w:val="00E32DAC"/>
    <w:rsid w:val="00E33214"/>
    <w:rsid w:val="00E33311"/>
    <w:rsid w:val="00E33AD3"/>
    <w:rsid w:val="00E33BE7"/>
    <w:rsid w:val="00E341BF"/>
    <w:rsid w:val="00E34205"/>
    <w:rsid w:val="00E347D0"/>
    <w:rsid w:val="00E34911"/>
    <w:rsid w:val="00E34976"/>
    <w:rsid w:val="00E35B21"/>
    <w:rsid w:val="00E36135"/>
    <w:rsid w:val="00E361D8"/>
    <w:rsid w:val="00E365C0"/>
    <w:rsid w:val="00E3661D"/>
    <w:rsid w:val="00E36711"/>
    <w:rsid w:val="00E37BDE"/>
    <w:rsid w:val="00E40066"/>
    <w:rsid w:val="00E40DA8"/>
    <w:rsid w:val="00E40EAC"/>
    <w:rsid w:val="00E40FF6"/>
    <w:rsid w:val="00E4168E"/>
    <w:rsid w:val="00E4236C"/>
    <w:rsid w:val="00E42A79"/>
    <w:rsid w:val="00E42BE0"/>
    <w:rsid w:val="00E42E02"/>
    <w:rsid w:val="00E43511"/>
    <w:rsid w:val="00E435CB"/>
    <w:rsid w:val="00E4367B"/>
    <w:rsid w:val="00E43A4D"/>
    <w:rsid w:val="00E44140"/>
    <w:rsid w:val="00E45769"/>
    <w:rsid w:val="00E4588C"/>
    <w:rsid w:val="00E45AB4"/>
    <w:rsid w:val="00E4628B"/>
    <w:rsid w:val="00E4678B"/>
    <w:rsid w:val="00E46A48"/>
    <w:rsid w:val="00E46B91"/>
    <w:rsid w:val="00E47188"/>
    <w:rsid w:val="00E47727"/>
    <w:rsid w:val="00E47A5D"/>
    <w:rsid w:val="00E47BDF"/>
    <w:rsid w:val="00E50904"/>
    <w:rsid w:val="00E50BCB"/>
    <w:rsid w:val="00E50DFA"/>
    <w:rsid w:val="00E52A9D"/>
    <w:rsid w:val="00E52D2E"/>
    <w:rsid w:val="00E52D83"/>
    <w:rsid w:val="00E52DA8"/>
    <w:rsid w:val="00E53C9B"/>
    <w:rsid w:val="00E53D43"/>
    <w:rsid w:val="00E53FC7"/>
    <w:rsid w:val="00E54E44"/>
    <w:rsid w:val="00E551B0"/>
    <w:rsid w:val="00E55437"/>
    <w:rsid w:val="00E5591E"/>
    <w:rsid w:val="00E559FE"/>
    <w:rsid w:val="00E55A5D"/>
    <w:rsid w:val="00E55B9B"/>
    <w:rsid w:val="00E55E09"/>
    <w:rsid w:val="00E55F75"/>
    <w:rsid w:val="00E56386"/>
    <w:rsid w:val="00E56D07"/>
    <w:rsid w:val="00E575CE"/>
    <w:rsid w:val="00E57C2D"/>
    <w:rsid w:val="00E60052"/>
    <w:rsid w:val="00E60B2F"/>
    <w:rsid w:val="00E6116A"/>
    <w:rsid w:val="00E61797"/>
    <w:rsid w:val="00E61CD2"/>
    <w:rsid w:val="00E61D7C"/>
    <w:rsid w:val="00E61EFF"/>
    <w:rsid w:val="00E62610"/>
    <w:rsid w:val="00E62BAB"/>
    <w:rsid w:val="00E62DC4"/>
    <w:rsid w:val="00E63147"/>
    <w:rsid w:val="00E63A0E"/>
    <w:rsid w:val="00E64442"/>
    <w:rsid w:val="00E648D1"/>
    <w:rsid w:val="00E66D1C"/>
    <w:rsid w:val="00E66EAE"/>
    <w:rsid w:val="00E67FB6"/>
    <w:rsid w:val="00E70139"/>
    <w:rsid w:val="00E702F8"/>
    <w:rsid w:val="00E70A1F"/>
    <w:rsid w:val="00E70E0B"/>
    <w:rsid w:val="00E710EE"/>
    <w:rsid w:val="00E715A5"/>
    <w:rsid w:val="00E7296C"/>
    <w:rsid w:val="00E7333B"/>
    <w:rsid w:val="00E738BF"/>
    <w:rsid w:val="00E73CF7"/>
    <w:rsid w:val="00E74577"/>
    <w:rsid w:val="00E74A2B"/>
    <w:rsid w:val="00E7534B"/>
    <w:rsid w:val="00E758E4"/>
    <w:rsid w:val="00E766E2"/>
    <w:rsid w:val="00E76E18"/>
    <w:rsid w:val="00E772BA"/>
    <w:rsid w:val="00E772E5"/>
    <w:rsid w:val="00E7736A"/>
    <w:rsid w:val="00E7796D"/>
    <w:rsid w:val="00E77C85"/>
    <w:rsid w:val="00E8039C"/>
    <w:rsid w:val="00E80727"/>
    <w:rsid w:val="00E8105C"/>
    <w:rsid w:val="00E8130D"/>
    <w:rsid w:val="00E81DC2"/>
    <w:rsid w:val="00E824B4"/>
    <w:rsid w:val="00E82A96"/>
    <w:rsid w:val="00E836FC"/>
    <w:rsid w:val="00E84B67"/>
    <w:rsid w:val="00E8534E"/>
    <w:rsid w:val="00E854E2"/>
    <w:rsid w:val="00E856CD"/>
    <w:rsid w:val="00E860E1"/>
    <w:rsid w:val="00E8650A"/>
    <w:rsid w:val="00E8682E"/>
    <w:rsid w:val="00E86E16"/>
    <w:rsid w:val="00E870D7"/>
    <w:rsid w:val="00E871F0"/>
    <w:rsid w:val="00E9005E"/>
    <w:rsid w:val="00E9073A"/>
    <w:rsid w:val="00E90766"/>
    <w:rsid w:val="00E90D57"/>
    <w:rsid w:val="00E90DB1"/>
    <w:rsid w:val="00E91AF5"/>
    <w:rsid w:val="00E91CFE"/>
    <w:rsid w:val="00E926DB"/>
    <w:rsid w:val="00E92891"/>
    <w:rsid w:val="00E92DFA"/>
    <w:rsid w:val="00E934FE"/>
    <w:rsid w:val="00E93885"/>
    <w:rsid w:val="00E939E0"/>
    <w:rsid w:val="00E93B17"/>
    <w:rsid w:val="00E93BE9"/>
    <w:rsid w:val="00E93FD8"/>
    <w:rsid w:val="00E94D08"/>
    <w:rsid w:val="00E95077"/>
    <w:rsid w:val="00E95199"/>
    <w:rsid w:val="00E953E3"/>
    <w:rsid w:val="00E9554E"/>
    <w:rsid w:val="00E9593E"/>
    <w:rsid w:val="00E95970"/>
    <w:rsid w:val="00E95CBF"/>
    <w:rsid w:val="00E95DD0"/>
    <w:rsid w:val="00E96149"/>
    <w:rsid w:val="00E96319"/>
    <w:rsid w:val="00E96384"/>
    <w:rsid w:val="00E969A7"/>
    <w:rsid w:val="00E96E50"/>
    <w:rsid w:val="00E972E0"/>
    <w:rsid w:val="00E97312"/>
    <w:rsid w:val="00E97471"/>
    <w:rsid w:val="00E9766B"/>
    <w:rsid w:val="00E979CC"/>
    <w:rsid w:val="00E97E8D"/>
    <w:rsid w:val="00EA035F"/>
    <w:rsid w:val="00EA058B"/>
    <w:rsid w:val="00EA107F"/>
    <w:rsid w:val="00EA155B"/>
    <w:rsid w:val="00EA174B"/>
    <w:rsid w:val="00EA19AD"/>
    <w:rsid w:val="00EA20DB"/>
    <w:rsid w:val="00EA2228"/>
    <w:rsid w:val="00EA2A07"/>
    <w:rsid w:val="00EA2B4C"/>
    <w:rsid w:val="00EA38D3"/>
    <w:rsid w:val="00EA397E"/>
    <w:rsid w:val="00EA3D33"/>
    <w:rsid w:val="00EA45D5"/>
    <w:rsid w:val="00EA49B6"/>
    <w:rsid w:val="00EA4BC0"/>
    <w:rsid w:val="00EA4BFA"/>
    <w:rsid w:val="00EA52A1"/>
    <w:rsid w:val="00EA54E6"/>
    <w:rsid w:val="00EA5691"/>
    <w:rsid w:val="00EA5A27"/>
    <w:rsid w:val="00EA5FE7"/>
    <w:rsid w:val="00EA6194"/>
    <w:rsid w:val="00EA65E1"/>
    <w:rsid w:val="00EA6F82"/>
    <w:rsid w:val="00EA72D8"/>
    <w:rsid w:val="00EA7A43"/>
    <w:rsid w:val="00EA7AB7"/>
    <w:rsid w:val="00EA7DBF"/>
    <w:rsid w:val="00EB0228"/>
    <w:rsid w:val="00EB0314"/>
    <w:rsid w:val="00EB03C8"/>
    <w:rsid w:val="00EB04E1"/>
    <w:rsid w:val="00EB085A"/>
    <w:rsid w:val="00EB0E4E"/>
    <w:rsid w:val="00EB1021"/>
    <w:rsid w:val="00EB16A9"/>
    <w:rsid w:val="00EB172B"/>
    <w:rsid w:val="00EB189A"/>
    <w:rsid w:val="00EB1EE7"/>
    <w:rsid w:val="00EB2741"/>
    <w:rsid w:val="00EB2E42"/>
    <w:rsid w:val="00EB2F5B"/>
    <w:rsid w:val="00EB3184"/>
    <w:rsid w:val="00EB39DC"/>
    <w:rsid w:val="00EB4300"/>
    <w:rsid w:val="00EB483C"/>
    <w:rsid w:val="00EB49D9"/>
    <w:rsid w:val="00EB4F15"/>
    <w:rsid w:val="00EB578E"/>
    <w:rsid w:val="00EB5B76"/>
    <w:rsid w:val="00EB5D42"/>
    <w:rsid w:val="00EB613D"/>
    <w:rsid w:val="00EB74BC"/>
    <w:rsid w:val="00EB769D"/>
    <w:rsid w:val="00EB7BB5"/>
    <w:rsid w:val="00EB7D88"/>
    <w:rsid w:val="00EC048C"/>
    <w:rsid w:val="00EC0638"/>
    <w:rsid w:val="00EC0A42"/>
    <w:rsid w:val="00EC1008"/>
    <w:rsid w:val="00EC129C"/>
    <w:rsid w:val="00EC1699"/>
    <w:rsid w:val="00EC1F88"/>
    <w:rsid w:val="00EC337C"/>
    <w:rsid w:val="00EC3827"/>
    <w:rsid w:val="00EC3920"/>
    <w:rsid w:val="00EC39E2"/>
    <w:rsid w:val="00EC3A6A"/>
    <w:rsid w:val="00EC4020"/>
    <w:rsid w:val="00EC44D1"/>
    <w:rsid w:val="00EC48AA"/>
    <w:rsid w:val="00EC4944"/>
    <w:rsid w:val="00EC51F1"/>
    <w:rsid w:val="00EC55FB"/>
    <w:rsid w:val="00EC5ACB"/>
    <w:rsid w:val="00EC686A"/>
    <w:rsid w:val="00EC6F2A"/>
    <w:rsid w:val="00EC7319"/>
    <w:rsid w:val="00EC7488"/>
    <w:rsid w:val="00EC7A64"/>
    <w:rsid w:val="00ED02D4"/>
    <w:rsid w:val="00ED0318"/>
    <w:rsid w:val="00ED0353"/>
    <w:rsid w:val="00ED0762"/>
    <w:rsid w:val="00ED0769"/>
    <w:rsid w:val="00ED0BEB"/>
    <w:rsid w:val="00ED0D60"/>
    <w:rsid w:val="00ED0D62"/>
    <w:rsid w:val="00ED0DE5"/>
    <w:rsid w:val="00ED10B1"/>
    <w:rsid w:val="00ED11D9"/>
    <w:rsid w:val="00ED15F3"/>
    <w:rsid w:val="00ED218B"/>
    <w:rsid w:val="00ED3EA9"/>
    <w:rsid w:val="00ED41F2"/>
    <w:rsid w:val="00ED4F46"/>
    <w:rsid w:val="00ED55C6"/>
    <w:rsid w:val="00ED6261"/>
    <w:rsid w:val="00ED66C1"/>
    <w:rsid w:val="00ED6E0E"/>
    <w:rsid w:val="00ED7242"/>
    <w:rsid w:val="00ED7E35"/>
    <w:rsid w:val="00EE0373"/>
    <w:rsid w:val="00EE07E5"/>
    <w:rsid w:val="00EE08FE"/>
    <w:rsid w:val="00EE0B0F"/>
    <w:rsid w:val="00EE0DEC"/>
    <w:rsid w:val="00EE10FE"/>
    <w:rsid w:val="00EE15FC"/>
    <w:rsid w:val="00EE16B0"/>
    <w:rsid w:val="00EE1822"/>
    <w:rsid w:val="00EE2054"/>
    <w:rsid w:val="00EE231A"/>
    <w:rsid w:val="00EE33E4"/>
    <w:rsid w:val="00EE359D"/>
    <w:rsid w:val="00EE43C7"/>
    <w:rsid w:val="00EE4507"/>
    <w:rsid w:val="00EE4616"/>
    <w:rsid w:val="00EE47F3"/>
    <w:rsid w:val="00EE48DA"/>
    <w:rsid w:val="00EE5D28"/>
    <w:rsid w:val="00EE64CD"/>
    <w:rsid w:val="00EE72D2"/>
    <w:rsid w:val="00EF08C0"/>
    <w:rsid w:val="00EF0A0A"/>
    <w:rsid w:val="00EF0F18"/>
    <w:rsid w:val="00EF115C"/>
    <w:rsid w:val="00EF1160"/>
    <w:rsid w:val="00EF17E8"/>
    <w:rsid w:val="00EF18FE"/>
    <w:rsid w:val="00EF1B55"/>
    <w:rsid w:val="00EF1D85"/>
    <w:rsid w:val="00EF2103"/>
    <w:rsid w:val="00EF212F"/>
    <w:rsid w:val="00EF29D4"/>
    <w:rsid w:val="00EF35D5"/>
    <w:rsid w:val="00EF39C2"/>
    <w:rsid w:val="00EF3C04"/>
    <w:rsid w:val="00EF4CBB"/>
    <w:rsid w:val="00EF5161"/>
    <w:rsid w:val="00EF5CB9"/>
    <w:rsid w:val="00EF5D7B"/>
    <w:rsid w:val="00EF5EEF"/>
    <w:rsid w:val="00EF60D5"/>
    <w:rsid w:val="00EF6140"/>
    <w:rsid w:val="00EF6781"/>
    <w:rsid w:val="00EF7067"/>
    <w:rsid w:val="00EF7486"/>
    <w:rsid w:val="00EF7BC1"/>
    <w:rsid w:val="00F0046D"/>
    <w:rsid w:val="00F00754"/>
    <w:rsid w:val="00F00D72"/>
    <w:rsid w:val="00F012C4"/>
    <w:rsid w:val="00F01FE6"/>
    <w:rsid w:val="00F02B03"/>
    <w:rsid w:val="00F03469"/>
    <w:rsid w:val="00F03709"/>
    <w:rsid w:val="00F03719"/>
    <w:rsid w:val="00F03F1D"/>
    <w:rsid w:val="00F040ED"/>
    <w:rsid w:val="00F042F5"/>
    <w:rsid w:val="00F043CB"/>
    <w:rsid w:val="00F044AA"/>
    <w:rsid w:val="00F04537"/>
    <w:rsid w:val="00F047C9"/>
    <w:rsid w:val="00F04A4E"/>
    <w:rsid w:val="00F04AB0"/>
    <w:rsid w:val="00F04AFA"/>
    <w:rsid w:val="00F04C7F"/>
    <w:rsid w:val="00F04D50"/>
    <w:rsid w:val="00F06283"/>
    <w:rsid w:val="00F063BD"/>
    <w:rsid w:val="00F065B4"/>
    <w:rsid w:val="00F06F50"/>
    <w:rsid w:val="00F06F6D"/>
    <w:rsid w:val="00F0710F"/>
    <w:rsid w:val="00F07371"/>
    <w:rsid w:val="00F07993"/>
    <w:rsid w:val="00F079C6"/>
    <w:rsid w:val="00F10C93"/>
    <w:rsid w:val="00F11917"/>
    <w:rsid w:val="00F11A01"/>
    <w:rsid w:val="00F11D4F"/>
    <w:rsid w:val="00F12369"/>
    <w:rsid w:val="00F1238C"/>
    <w:rsid w:val="00F12CE0"/>
    <w:rsid w:val="00F12F8D"/>
    <w:rsid w:val="00F13150"/>
    <w:rsid w:val="00F1319C"/>
    <w:rsid w:val="00F132E4"/>
    <w:rsid w:val="00F14812"/>
    <w:rsid w:val="00F148D6"/>
    <w:rsid w:val="00F14B4D"/>
    <w:rsid w:val="00F14FB4"/>
    <w:rsid w:val="00F150AF"/>
    <w:rsid w:val="00F150BA"/>
    <w:rsid w:val="00F15664"/>
    <w:rsid w:val="00F160FC"/>
    <w:rsid w:val="00F16369"/>
    <w:rsid w:val="00F16697"/>
    <w:rsid w:val="00F1681A"/>
    <w:rsid w:val="00F1683F"/>
    <w:rsid w:val="00F16B7D"/>
    <w:rsid w:val="00F16DD8"/>
    <w:rsid w:val="00F16DEE"/>
    <w:rsid w:val="00F17410"/>
    <w:rsid w:val="00F17546"/>
    <w:rsid w:val="00F17A9F"/>
    <w:rsid w:val="00F215EA"/>
    <w:rsid w:val="00F22A57"/>
    <w:rsid w:val="00F22F7E"/>
    <w:rsid w:val="00F2394C"/>
    <w:rsid w:val="00F23CC5"/>
    <w:rsid w:val="00F23FD2"/>
    <w:rsid w:val="00F24136"/>
    <w:rsid w:val="00F24BF4"/>
    <w:rsid w:val="00F25444"/>
    <w:rsid w:val="00F258A9"/>
    <w:rsid w:val="00F25CCC"/>
    <w:rsid w:val="00F260F9"/>
    <w:rsid w:val="00F26315"/>
    <w:rsid w:val="00F266F3"/>
    <w:rsid w:val="00F26A6B"/>
    <w:rsid w:val="00F26FE1"/>
    <w:rsid w:val="00F2710C"/>
    <w:rsid w:val="00F271F3"/>
    <w:rsid w:val="00F27599"/>
    <w:rsid w:val="00F30C8C"/>
    <w:rsid w:val="00F310EF"/>
    <w:rsid w:val="00F31A4A"/>
    <w:rsid w:val="00F31E13"/>
    <w:rsid w:val="00F31E8B"/>
    <w:rsid w:val="00F322EE"/>
    <w:rsid w:val="00F325EB"/>
    <w:rsid w:val="00F32727"/>
    <w:rsid w:val="00F32F41"/>
    <w:rsid w:val="00F32F5F"/>
    <w:rsid w:val="00F32F6A"/>
    <w:rsid w:val="00F33663"/>
    <w:rsid w:val="00F337DF"/>
    <w:rsid w:val="00F33AD8"/>
    <w:rsid w:val="00F33F42"/>
    <w:rsid w:val="00F3463E"/>
    <w:rsid w:val="00F34A8E"/>
    <w:rsid w:val="00F34DB7"/>
    <w:rsid w:val="00F353AF"/>
    <w:rsid w:val="00F361A0"/>
    <w:rsid w:val="00F3692C"/>
    <w:rsid w:val="00F36F75"/>
    <w:rsid w:val="00F36FB4"/>
    <w:rsid w:val="00F37828"/>
    <w:rsid w:val="00F416DC"/>
    <w:rsid w:val="00F41C8B"/>
    <w:rsid w:val="00F41E82"/>
    <w:rsid w:val="00F41EC4"/>
    <w:rsid w:val="00F41F2F"/>
    <w:rsid w:val="00F42638"/>
    <w:rsid w:val="00F4265A"/>
    <w:rsid w:val="00F42EDE"/>
    <w:rsid w:val="00F42FE2"/>
    <w:rsid w:val="00F4334E"/>
    <w:rsid w:val="00F437E1"/>
    <w:rsid w:val="00F43908"/>
    <w:rsid w:val="00F43B43"/>
    <w:rsid w:val="00F4402C"/>
    <w:rsid w:val="00F441A7"/>
    <w:rsid w:val="00F452BA"/>
    <w:rsid w:val="00F45524"/>
    <w:rsid w:val="00F45D17"/>
    <w:rsid w:val="00F460CA"/>
    <w:rsid w:val="00F462EB"/>
    <w:rsid w:val="00F46300"/>
    <w:rsid w:val="00F46A99"/>
    <w:rsid w:val="00F46FC7"/>
    <w:rsid w:val="00F47499"/>
    <w:rsid w:val="00F478A8"/>
    <w:rsid w:val="00F47E96"/>
    <w:rsid w:val="00F503B9"/>
    <w:rsid w:val="00F51457"/>
    <w:rsid w:val="00F51807"/>
    <w:rsid w:val="00F5196D"/>
    <w:rsid w:val="00F51BC3"/>
    <w:rsid w:val="00F52322"/>
    <w:rsid w:val="00F524B8"/>
    <w:rsid w:val="00F524EE"/>
    <w:rsid w:val="00F536EE"/>
    <w:rsid w:val="00F54570"/>
    <w:rsid w:val="00F549DD"/>
    <w:rsid w:val="00F55311"/>
    <w:rsid w:val="00F55DF5"/>
    <w:rsid w:val="00F5657C"/>
    <w:rsid w:val="00F56736"/>
    <w:rsid w:val="00F56DCA"/>
    <w:rsid w:val="00F56FEA"/>
    <w:rsid w:val="00F57164"/>
    <w:rsid w:val="00F5789B"/>
    <w:rsid w:val="00F578F2"/>
    <w:rsid w:val="00F57985"/>
    <w:rsid w:val="00F57A19"/>
    <w:rsid w:val="00F57AB2"/>
    <w:rsid w:val="00F57AC6"/>
    <w:rsid w:val="00F57FD8"/>
    <w:rsid w:val="00F6006D"/>
    <w:rsid w:val="00F602BC"/>
    <w:rsid w:val="00F606AD"/>
    <w:rsid w:val="00F60860"/>
    <w:rsid w:val="00F6117A"/>
    <w:rsid w:val="00F61D11"/>
    <w:rsid w:val="00F61D8D"/>
    <w:rsid w:val="00F623FC"/>
    <w:rsid w:val="00F63321"/>
    <w:rsid w:val="00F6394C"/>
    <w:rsid w:val="00F63E2E"/>
    <w:rsid w:val="00F63EFF"/>
    <w:rsid w:val="00F63F4C"/>
    <w:rsid w:val="00F64463"/>
    <w:rsid w:val="00F64647"/>
    <w:rsid w:val="00F64AB1"/>
    <w:rsid w:val="00F64C37"/>
    <w:rsid w:val="00F65279"/>
    <w:rsid w:val="00F659A3"/>
    <w:rsid w:val="00F6667D"/>
    <w:rsid w:val="00F66B19"/>
    <w:rsid w:val="00F673B5"/>
    <w:rsid w:val="00F67B6C"/>
    <w:rsid w:val="00F7065E"/>
    <w:rsid w:val="00F719D5"/>
    <w:rsid w:val="00F71D86"/>
    <w:rsid w:val="00F71F66"/>
    <w:rsid w:val="00F7241D"/>
    <w:rsid w:val="00F724F9"/>
    <w:rsid w:val="00F726F0"/>
    <w:rsid w:val="00F7311C"/>
    <w:rsid w:val="00F731DA"/>
    <w:rsid w:val="00F73266"/>
    <w:rsid w:val="00F740A9"/>
    <w:rsid w:val="00F7446A"/>
    <w:rsid w:val="00F74A42"/>
    <w:rsid w:val="00F74AB4"/>
    <w:rsid w:val="00F74C4B"/>
    <w:rsid w:val="00F74EBC"/>
    <w:rsid w:val="00F7508F"/>
    <w:rsid w:val="00F7574B"/>
    <w:rsid w:val="00F75879"/>
    <w:rsid w:val="00F75900"/>
    <w:rsid w:val="00F76020"/>
    <w:rsid w:val="00F76130"/>
    <w:rsid w:val="00F769ED"/>
    <w:rsid w:val="00F77188"/>
    <w:rsid w:val="00F77DBA"/>
    <w:rsid w:val="00F8008F"/>
    <w:rsid w:val="00F8094A"/>
    <w:rsid w:val="00F80A04"/>
    <w:rsid w:val="00F8174C"/>
    <w:rsid w:val="00F817C7"/>
    <w:rsid w:val="00F8286D"/>
    <w:rsid w:val="00F82AEA"/>
    <w:rsid w:val="00F83108"/>
    <w:rsid w:val="00F8319D"/>
    <w:rsid w:val="00F834AE"/>
    <w:rsid w:val="00F8360A"/>
    <w:rsid w:val="00F83923"/>
    <w:rsid w:val="00F83BAC"/>
    <w:rsid w:val="00F83CB8"/>
    <w:rsid w:val="00F83F94"/>
    <w:rsid w:val="00F84455"/>
    <w:rsid w:val="00F84EDE"/>
    <w:rsid w:val="00F85582"/>
    <w:rsid w:val="00F855DC"/>
    <w:rsid w:val="00F85914"/>
    <w:rsid w:val="00F85B95"/>
    <w:rsid w:val="00F8622D"/>
    <w:rsid w:val="00F86909"/>
    <w:rsid w:val="00F869C3"/>
    <w:rsid w:val="00F86B5D"/>
    <w:rsid w:val="00F8759C"/>
    <w:rsid w:val="00F87F75"/>
    <w:rsid w:val="00F9006F"/>
    <w:rsid w:val="00F9039D"/>
    <w:rsid w:val="00F9049A"/>
    <w:rsid w:val="00F90BCC"/>
    <w:rsid w:val="00F90E5A"/>
    <w:rsid w:val="00F90EB7"/>
    <w:rsid w:val="00F914F2"/>
    <w:rsid w:val="00F916AB"/>
    <w:rsid w:val="00F919BE"/>
    <w:rsid w:val="00F91EA6"/>
    <w:rsid w:val="00F9261A"/>
    <w:rsid w:val="00F9349D"/>
    <w:rsid w:val="00F93A43"/>
    <w:rsid w:val="00F93E49"/>
    <w:rsid w:val="00F941DF"/>
    <w:rsid w:val="00F946E9"/>
    <w:rsid w:val="00F94848"/>
    <w:rsid w:val="00F94DAB"/>
    <w:rsid w:val="00F95DAF"/>
    <w:rsid w:val="00F95F52"/>
    <w:rsid w:val="00F971FD"/>
    <w:rsid w:val="00F97460"/>
    <w:rsid w:val="00F97482"/>
    <w:rsid w:val="00F97797"/>
    <w:rsid w:val="00F978D8"/>
    <w:rsid w:val="00F979AD"/>
    <w:rsid w:val="00F97B60"/>
    <w:rsid w:val="00F97EB7"/>
    <w:rsid w:val="00FA068C"/>
    <w:rsid w:val="00FA151A"/>
    <w:rsid w:val="00FA16B8"/>
    <w:rsid w:val="00FA246D"/>
    <w:rsid w:val="00FA32C1"/>
    <w:rsid w:val="00FA3338"/>
    <w:rsid w:val="00FA3394"/>
    <w:rsid w:val="00FA3ABC"/>
    <w:rsid w:val="00FA3ECF"/>
    <w:rsid w:val="00FA3ED5"/>
    <w:rsid w:val="00FA40D7"/>
    <w:rsid w:val="00FA4E8D"/>
    <w:rsid w:val="00FA4F11"/>
    <w:rsid w:val="00FA512B"/>
    <w:rsid w:val="00FA5F52"/>
    <w:rsid w:val="00FA5F83"/>
    <w:rsid w:val="00FA6945"/>
    <w:rsid w:val="00FA7445"/>
    <w:rsid w:val="00FB07BA"/>
    <w:rsid w:val="00FB0F98"/>
    <w:rsid w:val="00FB175A"/>
    <w:rsid w:val="00FB177F"/>
    <w:rsid w:val="00FB191A"/>
    <w:rsid w:val="00FB1A6E"/>
    <w:rsid w:val="00FB1C78"/>
    <w:rsid w:val="00FB2147"/>
    <w:rsid w:val="00FB2B1C"/>
    <w:rsid w:val="00FB2D11"/>
    <w:rsid w:val="00FB33AC"/>
    <w:rsid w:val="00FB344B"/>
    <w:rsid w:val="00FB3C20"/>
    <w:rsid w:val="00FB412D"/>
    <w:rsid w:val="00FB434C"/>
    <w:rsid w:val="00FB4E4F"/>
    <w:rsid w:val="00FB527E"/>
    <w:rsid w:val="00FB52A8"/>
    <w:rsid w:val="00FB56F1"/>
    <w:rsid w:val="00FB64F0"/>
    <w:rsid w:val="00FB678D"/>
    <w:rsid w:val="00FB701C"/>
    <w:rsid w:val="00FB7922"/>
    <w:rsid w:val="00FB7975"/>
    <w:rsid w:val="00FC0C63"/>
    <w:rsid w:val="00FC0DAA"/>
    <w:rsid w:val="00FC1206"/>
    <w:rsid w:val="00FC1A56"/>
    <w:rsid w:val="00FC1BFF"/>
    <w:rsid w:val="00FC1FF2"/>
    <w:rsid w:val="00FC226D"/>
    <w:rsid w:val="00FC24A8"/>
    <w:rsid w:val="00FC25E5"/>
    <w:rsid w:val="00FC279C"/>
    <w:rsid w:val="00FC2920"/>
    <w:rsid w:val="00FC2926"/>
    <w:rsid w:val="00FC2F38"/>
    <w:rsid w:val="00FC33E6"/>
    <w:rsid w:val="00FC505A"/>
    <w:rsid w:val="00FC540C"/>
    <w:rsid w:val="00FC5E8F"/>
    <w:rsid w:val="00FC6C8B"/>
    <w:rsid w:val="00FC7340"/>
    <w:rsid w:val="00FC7494"/>
    <w:rsid w:val="00FC79EC"/>
    <w:rsid w:val="00FC7AE4"/>
    <w:rsid w:val="00FC7DD6"/>
    <w:rsid w:val="00FD075A"/>
    <w:rsid w:val="00FD1867"/>
    <w:rsid w:val="00FD24BF"/>
    <w:rsid w:val="00FD259A"/>
    <w:rsid w:val="00FD2AEF"/>
    <w:rsid w:val="00FD33D5"/>
    <w:rsid w:val="00FD3656"/>
    <w:rsid w:val="00FD3931"/>
    <w:rsid w:val="00FD440A"/>
    <w:rsid w:val="00FD4A9F"/>
    <w:rsid w:val="00FD4E9C"/>
    <w:rsid w:val="00FD51F9"/>
    <w:rsid w:val="00FD5B98"/>
    <w:rsid w:val="00FD61FC"/>
    <w:rsid w:val="00FD673F"/>
    <w:rsid w:val="00FD6C09"/>
    <w:rsid w:val="00FD6FF2"/>
    <w:rsid w:val="00FD7069"/>
    <w:rsid w:val="00FD70AD"/>
    <w:rsid w:val="00FD716F"/>
    <w:rsid w:val="00FD7697"/>
    <w:rsid w:val="00FD7C6E"/>
    <w:rsid w:val="00FE0247"/>
    <w:rsid w:val="00FE0297"/>
    <w:rsid w:val="00FE06E0"/>
    <w:rsid w:val="00FE139B"/>
    <w:rsid w:val="00FE2529"/>
    <w:rsid w:val="00FE2E39"/>
    <w:rsid w:val="00FE2EFD"/>
    <w:rsid w:val="00FE2FFA"/>
    <w:rsid w:val="00FE309C"/>
    <w:rsid w:val="00FE32BD"/>
    <w:rsid w:val="00FE334F"/>
    <w:rsid w:val="00FE3642"/>
    <w:rsid w:val="00FE39CF"/>
    <w:rsid w:val="00FE3F17"/>
    <w:rsid w:val="00FE48C9"/>
    <w:rsid w:val="00FE4CAF"/>
    <w:rsid w:val="00FE55A1"/>
    <w:rsid w:val="00FE6C82"/>
    <w:rsid w:val="00FE6E3B"/>
    <w:rsid w:val="00FE75E2"/>
    <w:rsid w:val="00FE775E"/>
    <w:rsid w:val="00FE795B"/>
    <w:rsid w:val="00FF0583"/>
    <w:rsid w:val="00FF0E96"/>
    <w:rsid w:val="00FF235B"/>
    <w:rsid w:val="00FF23B7"/>
    <w:rsid w:val="00FF2530"/>
    <w:rsid w:val="00FF2622"/>
    <w:rsid w:val="00FF28F0"/>
    <w:rsid w:val="00FF2D51"/>
    <w:rsid w:val="00FF3D9C"/>
    <w:rsid w:val="00FF3F11"/>
    <w:rsid w:val="00FF40F7"/>
    <w:rsid w:val="00FF41D0"/>
    <w:rsid w:val="00FF4381"/>
    <w:rsid w:val="00FF4C1D"/>
    <w:rsid w:val="00FF4DC9"/>
    <w:rsid w:val="00FF5609"/>
    <w:rsid w:val="00FF60A0"/>
    <w:rsid w:val="00FF64E6"/>
    <w:rsid w:val="00FF68AE"/>
    <w:rsid w:val="00FF6C58"/>
    <w:rsid w:val="00FF759B"/>
    <w:rsid w:val="00FF7DF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F9F62"/>
  <w15:docId w15:val="{9BF7B1B9-18F5-41F6-A098-DD8AAC11B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C0C34"/>
  </w:style>
  <w:style w:type="paragraph" w:styleId="Titolo1">
    <w:name w:val="heading 1"/>
    <w:basedOn w:val="Normale"/>
    <w:next w:val="Normale"/>
    <w:link w:val="Titolo1Carattere"/>
    <w:uiPriority w:val="9"/>
    <w:qFormat/>
    <w:rsid w:val="00CC4B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E6B08"/>
    <w:pPr>
      <w:ind w:left="720"/>
      <w:contextualSpacing/>
    </w:pPr>
  </w:style>
  <w:style w:type="paragraph" w:styleId="Intestazione">
    <w:name w:val="header"/>
    <w:basedOn w:val="Normale"/>
    <w:link w:val="IntestazioneCarattere"/>
    <w:uiPriority w:val="99"/>
    <w:unhideWhenUsed/>
    <w:rsid w:val="000442C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442C7"/>
  </w:style>
  <w:style w:type="paragraph" w:styleId="Pidipagina">
    <w:name w:val="footer"/>
    <w:basedOn w:val="Normale"/>
    <w:link w:val="PidipaginaCarattere"/>
    <w:uiPriority w:val="99"/>
    <w:unhideWhenUsed/>
    <w:rsid w:val="000442C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442C7"/>
  </w:style>
  <w:style w:type="paragraph" w:styleId="Testofumetto">
    <w:name w:val="Balloon Text"/>
    <w:basedOn w:val="Normale"/>
    <w:link w:val="TestofumettoCarattere"/>
    <w:uiPriority w:val="99"/>
    <w:semiHidden/>
    <w:unhideWhenUsed/>
    <w:rsid w:val="0010334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03341"/>
    <w:rPr>
      <w:rFonts w:ascii="Tahoma" w:hAnsi="Tahoma" w:cs="Tahoma"/>
      <w:sz w:val="16"/>
      <w:szCs w:val="16"/>
    </w:rPr>
  </w:style>
  <w:style w:type="paragraph" w:styleId="Testonotaapidipagina">
    <w:name w:val="footnote text"/>
    <w:basedOn w:val="Normale"/>
    <w:link w:val="TestonotaapidipaginaCarattere"/>
    <w:uiPriority w:val="99"/>
    <w:unhideWhenUsed/>
    <w:rsid w:val="004511D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4511D0"/>
    <w:rPr>
      <w:sz w:val="20"/>
      <w:szCs w:val="20"/>
    </w:rPr>
  </w:style>
  <w:style w:type="character" w:styleId="Rimandonotaapidipagina">
    <w:name w:val="footnote reference"/>
    <w:basedOn w:val="Carpredefinitoparagrafo"/>
    <w:uiPriority w:val="99"/>
    <w:semiHidden/>
    <w:unhideWhenUsed/>
    <w:rsid w:val="004511D0"/>
    <w:rPr>
      <w:vertAlign w:val="superscript"/>
    </w:rPr>
  </w:style>
  <w:style w:type="character" w:customStyle="1" w:styleId="Titolo1Carattere">
    <w:name w:val="Titolo 1 Carattere"/>
    <w:basedOn w:val="Carpredefinitoparagrafo"/>
    <w:link w:val="Titolo1"/>
    <w:uiPriority w:val="9"/>
    <w:rsid w:val="00CC4B64"/>
    <w:rPr>
      <w:rFonts w:asciiTheme="majorHAnsi" w:eastAsiaTheme="majorEastAsia" w:hAnsiTheme="majorHAnsi" w:cstheme="majorBidi"/>
      <w:b/>
      <w:bCs/>
      <w:color w:val="365F91" w:themeColor="accent1" w:themeShade="BF"/>
      <w:sz w:val="28"/>
      <w:szCs w:val="28"/>
    </w:rPr>
  </w:style>
  <w:style w:type="table" w:styleId="Grigliatabella">
    <w:name w:val="Table Grid"/>
    <w:basedOn w:val="Tabellanormale"/>
    <w:uiPriority w:val="59"/>
    <w:rsid w:val="00CA3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semiHidden/>
    <w:unhideWhenUsed/>
    <w:qFormat/>
    <w:rsid w:val="004A5523"/>
    <w:pPr>
      <w:outlineLvl w:val="9"/>
    </w:pPr>
    <w:rPr>
      <w:lang w:eastAsia="it-IT"/>
    </w:rPr>
  </w:style>
  <w:style w:type="paragraph" w:styleId="Sommario1">
    <w:name w:val="toc 1"/>
    <w:basedOn w:val="Normale"/>
    <w:next w:val="Normale"/>
    <w:autoRedefine/>
    <w:uiPriority w:val="39"/>
    <w:unhideWhenUsed/>
    <w:rsid w:val="004A5523"/>
    <w:pPr>
      <w:spacing w:after="100"/>
    </w:pPr>
  </w:style>
  <w:style w:type="character" w:styleId="Collegamentoipertestuale">
    <w:name w:val="Hyperlink"/>
    <w:basedOn w:val="Carpredefinitoparagrafo"/>
    <w:uiPriority w:val="99"/>
    <w:unhideWhenUsed/>
    <w:rsid w:val="004A55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71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7.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8.emf"/></Relationships>
</file>

<file path=word/_rels/footnotes.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hyperlink" Target="https://it.wikipedia.org/wiki/1966" TargetMode="External"/><Relationship Id="rId1" Type="http://schemas.openxmlformats.org/officeDocument/2006/relationships/hyperlink" Target="https://it.wikipedia.org/wiki/1965"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07748-97AD-4242-A91C-CC30502AC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27</Pages>
  <Words>6654</Words>
  <Characters>37929</Characters>
  <Application>Microsoft Office Word</Application>
  <DocSecurity>0</DocSecurity>
  <Lines>316</Lines>
  <Paragraphs>88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ugo</dc:creator>
  <cp:lastModifiedBy>Emanuele Maria Carluccio</cp:lastModifiedBy>
  <cp:revision>2</cp:revision>
  <dcterms:created xsi:type="dcterms:W3CDTF">2020-02-04T18:28:00Z</dcterms:created>
  <dcterms:modified xsi:type="dcterms:W3CDTF">2020-02-04T18:28:00Z</dcterms:modified>
</cp:coreProperties>
</file>