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A96" w:rsidRPr="00437944" w:rsidRDefault="00592376" w:rsidP="0057599A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37944">
        <w:rPr>
          <w:rFonts w:ascii="Times New Roman" w:hAnsi="Times New Roman" w:cs="Times New Roman"/>
          <w:b/>
          <w:sz w:val="26"/>
          <w:szCs w:val="26"/>
        </w:rPr>
        <w:t>MIO PROFILO</w:t>
      </w:r>
    </w:p>
    <w:p w:rsidR="0057599A" w:rsidRPr="0057599A" w:rsidRDefault="0057599A" w:rsidP="0057599A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57599A" w:rsidRDefault="0057599A" w:rsidP="0057599A">
      <w:pPr>
        <w:ind w:right="1133"/>
        <w:rPr>
          <w:rFonts w:ascii="Times New Roman" w:hAnsi="Times New Roman" w:cs="Times New Roman"/>
          <w:smallCaps/>
          <w:sz w:val="26"/>
          <w:szCs w:val="26"/>
        </w:rPr>
      </w:pPr>
      <w:r w:rsidRPr="000E5D63">
        <w:rPr>
          <w:rFonts w:ascii="Times New Roman" w:hAnsi="Times New Roman" w:cs="Times New Roman"/>
          <w:smallCaps/>
          <w:sz w:val="26"/>
          <w:szCs w:val="26"/>
        </w:rPr>
        <w:t>Ugo Pomante</w:t>
      </w:r>
    </w:p>
    <w:p w:rsidR="000E5D63" w:rsidRPr="000E5D63" w:rsidRDefault="000E5D63" w:rsidP="0057599A">
      <w:pPr>
        <w:ind w:right="1133"/>
        <w:rPr>
          <w:rFonts w:ascii="Times New Roman" w:hAnsi="Times New Roman" w:cs="Times New Roman"/>
          <w:smallCaps/>
          <w:sz w:val="26"/>
          <w:szCs w:val="26"/>
        </w:rPr>
      </w:pPr>
    </w:p>
    <w:tbl>
      <w:tblPr>
        <w:tblStyle w:val="Grigliatabella"/>
        <w:tblW w:w="9072" w:type="dxa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57599A" w:rsidTr="00597ECE">
        <w:tc>
          <w:tcPr>
            <w:tcW w:w="9072" w:type="dxa"/>
          </w:tcPr>
          <w:p w:rsidR="0057599A" w:rsidRPr="0057599A" w:rsidRDefault="0057599A" w:rsidP="00592376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7599A">
              <w:rPr>
                <w:rFonts w:ascii="Times New Roman" w:hAnsi="Times New Roman" w:cs="Times New Roman"/>
                <w:b/>
                <w:sz w:val="26"/>
                <w:szCs w:val="26"/>
              </w:rPr>
              <w:t>Partner</w:t>
            </w:r>
          </w:p>
        </w:tc>
      </w:tr>
      <w:tr w:rsidR="0057599A" w:rsidTr="00597ECE">
        <w:tc>
          <w:tcPr>
            <w:tcW w:w="9072" w:type="dxa"/>
          </w:tcPr>
          <w:p w:rsidR="0057599A" w:rsidRDefault="0057599A" w:rsidP="0059237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+39 0258328666</w:t>
            </w:r>
          </w:p>
          <w:p w:rsidR="0057599A" w:rsidRDefault="0057599A" w:rsidP="0059237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+39 3389240358</w:t>
            </w:r>
          </w:p>
        </w:tc>
      </w:tr>
      <w:tr w:rsidR="0057599A" w:rsidTr="00597ECE">
        <w:tc>
          <w:tcPr>
            <w:tcW w:w="9072" w:type="dxa"/>
          </w:tcPr>
          <w:p w:rsidR="0057599A" w:rsidRDefault="00261A23" w:rsidP="0059237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7" w:history="1">
              <w:r w:rsidR="00592376" w:rsidRPr="00D12A4C">
                <w:rPr>
                  <w:rStyle w:val="Collegamentoipertestuale"/>
                  <w:rFonts w:ascii="Times New Roman" w:hAnsi="Times New Roman" w:cs="Times New Roman"/>
                  <w:sz w:val="26"/>
                  <w:szCs w:val="26"/>
                </w:rPr>
                <w:t>pomante@benchmarkandstyle.com</w:t>
              </w:r>
            </w:hyperlink>
          </w:p>
        </w:tc>
      </w:tr>
      <w:tr w:rsidR="0057599A" w:rsidTr="00597ECE">
        <w:tc>
          <w:tcPr>
            <w:tcW w:w="9072" w:type="dxa"/>
          </w:tcPr>
          <w:p w:rsidR="0057599A" w:rsidRDefault="0057599A" w:rsidP="0059237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7599A" w:rsidTr="00597ECE">
        <w:tc>
          <w:tcPr>
            <w:tcW w:w="9072" w:type="dxa"/>
          </w:tcPr>
          <w:p w:rsidR="0057599A" w:rsidRDefault="0057599A" w:rsidP="0059237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7599A">
              <w:rPr>
                <w:rFonts w:ascii="Times New Roman" w:hAnsi="Times New Roman" w:cs="Times New Roman"/>
                <w:b/>
                <w:sz w:val="26"/>
                <w:szCs w:val="26"/>
              </w:rPr>
              <w:t>Focus: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Modelli di Asset Allocation Strategica e Tattica, Asset &amp; Liability Management, Goal Based Investing, Risk Management</w:t>
            </w:r>
          </w:p>
        </w:tc>
      </w:tr>
      <w:tr w:rsidR="0057599A" w:rsidTr="00597ECE">
        <w:tc>
          <w:tcPr>
            <w:tcW w:w="9072" w:type="dxa"/>
          </w:tcPr>
          <w:p w:rsidR="0057599A" w:rsidRDefault="0057599A" w:rsidP="0059237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7599A" w:rsidTr="00597ECE">
        <w:tc>
          <w:tcPr>
            <w:tcW w:w="9072" w:type="dxa"/>
          </w:tcPr>
          <w:p w:rsidR="0057599A" w:rsidRPr="0057599A" w:rsidRDefault="0057599A" w:rsidP="00592376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7599A">
              <w:rPr>
                <w:rFonts w:ascii="Times New Roman" w:hAnsi="Times New Roman" w:cs="Times New Roman"/>
                <w:b/>
                <w:sz w:val="26"/>
                <w:szCs w:val="26"/>
              </w:rPr>
              <w:t>Competenze</w:t>
            </w:r>
          </w:p>
          <w:p w:rsidR="0057599A" w:rsidRDefault="0057599A" w:rsidP="0059237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È partner di Benchmark &amp; Style dal </w:t>
            </w:r>
            <w:r w:rsidR="00592376">
              <w:rPr>
                <w:rFonts w:ascii="Times New Roman" w:hAnsi="Times New Roman" w:cs="Times New Roman"/>
                <w:sz w:val="26"/>
                <w:szCs w:val="26"/>
              </w:rPr>
              <w:t>1999</w:t>
            </w:r>
          </w:p>
        </w:tc>
      </w:tr>
      <w:tr w:rsidR="0057599A" w:rsidTr="00597ECE">
        <w:tc>
          <w:tcPr>
            <w:tcW w:w="9072" w:type="dxa"/>
          </w:tcPr>
          <w:p w:rsidR="0057599A" w:rsidRDefault="0057599A" w:rsidP="007D1A4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Professore Ordinario di “Economia degli Intermediari Finanziari” presso l’Università di Roma “Tor Vergata”, dove ha ricoperto l’incarico di Direttore d</w:t>
            </w:r>
            <w:r w:rsidR="007D1A42">
              <w:rPr>
                <w:rFonts w:ascii="Times New Roman" w:hAnsi="Times New Roman" w:cs="Times New Roman"/>
                <w:sz w:val="26"/>
                <w:szCs w:val="26"/>
              </w:rPr>
              <w:t>el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Dipartimento</w:t>
            </w:r>
            <w:r w:rsidR="007D1A42">
              <w:rPr>
                <w:rFonts w:ascii="Times New Roman" w:hAnsi="Times New Roman" w:cs="Times New Roman"/>
                <w:sz w:val="26"/>
                <w:szCs w:val="26"/>
              </w:rPr>
              <w:t xml:space="preserve"> di “Management e Diritto”</w:t>
            </w:r>
          </w:p>
        </w:tc>
      </w:tr>
      <w:tr w:rsidR="0057599A" w:rsidTr="00597ECE">
        <w:tc>
          <w:tcPr>
            <w:tcW w:w="9072" w:type="dxa"/>
          </w:tcPr>
          <w:p w:rsidR="0057599A" w:rsidRDefault="00592376" w:rsidP="0059237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92376">
              <w:rPr>
                <w:rFonts w:ascii="Times New Roman" w:hAnsi="Times New Roman" w:cs="Times New Roman"/>
                <w:sz w:val="26"/>
                <w:szCs w:val="26"/>
              </w:rPr>
              <w:t>La sua esperienza professionale si è sviluppata in diversi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ambiti del settore finanziario:</w:t>
            </w:r>
          </w:p>
          <w:p w:rsidR="00592376" w:rsidRDefault="00592376" w:rsidP="00592376">
            <w:pPr>
              <w:pStyle w:val="Paragrafoelenco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Docenza </w:t>
            </w:r>
            <w:r w:rsidR="007D1A42">
              <w:rPr>
                <w:rFonts w:ascii="Times New Roman" w:hAnsi="Times New Roman" w:cs="Times New Roman"/>
                <w:sz w:val="26"/>
                <w:szCs w:val="26"/>
              </w:rPr>
              <w:t xml:space="preserve">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ambito Asset Management e Risk Management</w:t>
            </w:r>
          </w:p>
          <w:p w:rsidR="00592376" w:rsidRDefault="00592376" w:rsidP="00592376">
            <w:pPr>
              <w:pStyle w:val="Paragrafoelenco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Supporto strategico allo sviluppo di modelli di consulenza finanziaria</w:t>
            </w:r>
          </w:p>
          <w:p w:rsidR="00592376" w:rsidRDefault="00592376" w:rsidP="00592376">
            <w:pPr>
              <w:pStyle w:val="Paragrafoelenco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Asset Allocation Strategic</w:t>
            </w:r>
            <w:r w:rsidR="007D1A42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  <w:p w:rsidR="00592376" w:rsidRDefault="00592376" w:rsidP="00592376">
            <w:pPr>
              <w:pStyle w:val="Paragrafoelenco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Asset Allocation Tattica</w:t>
            </w:r>
          </w:p>
          <w:p w:rsidR="00592376" w:rsidRDefault="007D1A42" w:rsidP="00592376">
            <w:pPr>
              <w:pStyle w:val="Paragrafoelenco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="00592376">
              <w:rPr>
                <w:rFonts w:ascii="Times New Roman" w:hAnsi="Times New Roman" w:cs="Times New Roman"/>
                <w:sz w:val="26"/>
                <w:szCs w:val="26"/>
              </w:rPr>
              <w:t>odelli di risk management, rendicontazione periodica e performance decomposition</w:t>
            </w:r>
          </w:p>
          <w:p w:rsidR="00592376" w:rsidRPr="00592376" w:rsidRDefault="00592376" w:rsidP="00592376">
            <w:pPr>
              <w:pStyle w:val="Paragrafoelenco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Realizzazione di modelli di ALM e Goal Based Investing</w:t>
            </w:r>
          </w:p>
        </w:tc>
      </w:tr>
      <w:tr w:rsidR="0057599A" w:rsidTr="00597ECE">
        <w:tc>
          <w:tcPr>
            <w:tcW w:w="9072" w:type="dxa"/>
          </w:tcPr>
          <w:p w:rsidR="0057599A" w:rsidRDefault="0057599A" w:rsidP="0059237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97ECE" w:rsidTr="00597ECE">
        <w:tc>
          <w:tcPr>
            <w:tcW w:w="9072" w:type="dxa"/>
          </w:tcPr>
          <w:p w:rsidR="00597ECE" w:rsidRDefault="00597ECE" w:rsidP="0059237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7599A" w:rsidTr="00597ECE">
        <w:tc>
          <w:tcPr>
            <w:tcW w:w="9072" w:type="dxa"/>
          </w:tcPr>
          <w:p w:rsidR="0057599A" w:rsidRDefault="0057599A" w:rsidP="0059237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7599A">
              <w:rPr>
                <w:rFonts w:ascii="Times New Roman" w:hAnsi="Times New Roman" w:cs="Times New Roman"/>
                <w:b/>
                <w:sz w:val="26"/>
                <w:szCs w:val="26"/>
              </w:rPr>
              <w:t>Qualifiche e attività accademica</w:t>
            </w:r>
          </w:p>
        </w:tc>
      </w:tr>
      <w:tr w:rsidR="0057599A" w:rsidTr="00597ECE">
        <w:tc>
          <w:tcPr>
            <w:tcW w:w="9072" w:type="dxa"/>
          </w:tcPr>
          <w:p w:rsidR="0057599A" w:rsidRDefault="0057599A" w:rsidP="0059237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Laurea in “Economia Aziendale” presso l’Università “Luigi Bocconi”</w:t>
            </w:r>
          </w:p>
          <w:p w:rsidR="0057599A" w:rsidRDefault="0057599A" w:rsidP="0059237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Dottorato in “Banca e Finanza” presso l’Università degli </w:t>
            </w:r>
            <w:r w:rsidR="00592376">
              <w:rPr>
                <w:rFonts w:ascii="Times New Roman" w:hAnsi="Times New Roman" w:cs="Times New Roman"/>
                <w:sz w:val="26"/>
                <w:szCs w:val="26"/>
              </w:rPr>
              <w:t>Studi di Siena</w:t>
            </w:r>
          </w:p>
        </w:tc>
      </w:tr>
      <w:tr w:rsidR="0057599A" w:rsidTr="00597ECE">
        <w:tc>
          <w:tcPr>
            <w:tcW w:w="9072" w:type="dxa"/>
          </w:tcPr>
          <w:p w:rsidR="0057599A" w:rsidRDefault="00592376" w:rsidP="0059237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Membro del Comitato Scientifico dell’Albo Consulenti Finanziari (OCF)</w:t>
            </w:r>
          </w:p>
          <w:p w:rsidR="00592376" w:rsidRDefault="00592376" w:rsidP="0059237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Membro dell’Advisory Board di fondi di investimento mobiliar</w:t>
            </w:r>
            <w:r w:rsidR="000E4103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e immobiliar</w:t>
            </w:r>
            <w:r w:rsidR="000E4103">
              <w:rPr>
                <w:rFonts w:ascii="Times New Roman" w:hAnsi="Times New Roman" w:cs="Times New Roman"/>
                <w:sz w:val="26"/>
                <w:szCs w:val="26"/>
              </w:rPr>
              <w:t>i</w:t>
            </w:r>
          </w:p>
          <w:p w:rsidR="00592376" w:rsidRDefault="00592376" w:rsidP="0059237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7599A" w:rsidTr="00597ECE">
        <w:tc>
          <w:tcPr>
            <w:tcW w:w="9072" w:type="dxa"/>
          </w:tcPr>
          <w:p w:rsidR="0057599A" w:rsidRDefault="0057599A" w:rsidP="0057599A">
            <w:pPr>
              <w:ind w:right="113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92376" w:rsidRDefault="00592376" w:rsidP="0057599A">
      <w:pPr>
        <w:ind w:right="1133"/>
        <w:rPr>
          <w:rFonts w:ascii="Times New Roman" w:hAnsi="Times New Roman" w:cs="Times New Roman"/>
          <w:sz w:val="26"/>
          <w:szCs w:val="26"/>
        </w:rPr>
      </w:pPr>
    </w:p>
    <w:p w:rsidR="00592376" w:rsidRDefault="0059237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57599A" w:rsidRPr="005C5026" w:rsidRDefault="006657DD" w:rsidP="005C5026">
      <w:pPr>
        <w:spacing w:after="0" w:line="240" w:lineRule="auto"/>
        <w:ind w:left="1276" w:right="-1" w:hanging="1276"/>
        <w:rPr>
          <w:rFonts w:ascii="Times New Roman" w:hAnsi="Times New Roman" w:cs="Times New Roman"/>
          <w:b/>
          <w:smallCaps/>
          <w:sz w:val="26"/>
          <w:szCs w:val="26"/>
        </w:rPr>
      </w:pPr>
      <w:r w:rsidRPr="005C5026">
        <w:rPr>
          <w:rFonts w:ascii="Times New Roman" w:hAnsi="Times New Roman" w:cs="Times New Roman"/>
          <w:b/>
          <w:smallCaps/>
          <w:sz w:val="26"/>
          <w:szCs w:val="26"/>
        </w:rPr>
        <w:lastRenderedPageBreak/>
        <w:t>Sezione:</w:t>
      </w:r>
      <w:r w:rsidR="005C5026">
        <w:rPr>
          <w:rFonts w:ascii="Times New Roman" w:hAnsi="Times New Roman" w:cs="Times New Roman"/>
          <w:b/>
          <w:smallCaps/>
          <w:sz w:val="26"/>
          <w:szCs w:val="26"/>
        </w:rPr>
        <w:tab/>
      </w:r>
      <w:r w:rsidRPr="005C5026">
        <w:rPr>
          <w:rFonts w:ascii="Times New Roman" w:hAnsi="Times New Roman" w:cs="Times New Roman"/>
          <w:b/>
          <w:smallCaps/>
          <w:sz w:val="26"/>
          <w:szCs w:val="26"/>
        </w:rPr>
        <w:t>Servizi di consulenza alla clientela istituzionale e ai family office</w:t>
      </w:r>
    </w:p>
    <w:p w:rsidR="006657DD" w:rsidRDefault="006657DD" w:rsidP="0057599A">
      <w:pPr>
        <w:spacing w:after="0" w:line="240" w:lineRule="auto"/>
        <w:ind w:right="1133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437944" w:rsidRDefault="00437944" w:rsidP="0057599A">
      <w:pPr>
        <w:spacing w:after="0" w:line="240" w:lineRule="auto"/>
        <w:ind w:right="1133"/>
        <w:rPr>
          <w:rFonts w:ascii="Times New Roman" w:hAnsi="Times New Roman" w:cs="Times New Roman"/>
          <w:sz w:val="26"/>
          <w:szCs w:val="26"/>
        </w:rPr>
      </w:pPr>
    </w:p>
    <w:p w:rsidR="00437944" w:rsidRDefault="00437944" w:rsidP="0057599A">
      <w:pPr>
        <w:spacing w:after="0" w:line="240" w:lineRule="auto"/>
        <w:ind w:right="1133"/>
        <w:rPr>
          <w:rFonts w:ascii="Times New Roman" w:hAnsi="Times New Roman" w:cs="Times New Roman"/>
          <w:sz w:val="26"/>
          <w:szCs w:val="26"/>
        </w:rPr>
      </w:pPr>
    </w:p>
    <w:p w:rsidR="00437944" w:rsidRDefault="00437944" w:rsidP="0057599A">
      <w:pPr>
        <w:spacing w:after="0" w:line="240" w:lineRule="auto"/>
        <w:ind w:right="1133"/>
        <w:rPr>
          <w:rFonts w:ascii="Times New Roman" w:hAnsi="Times New Roman" w:cs="Times New Roman"/>
          <w:sz w:val="26"/>
          <w:szCs w:val="26"/>
        </w:rPr>
      </w:pPr>
    </w:p>
    <w:p w:rsidR="00437944" w:rsidRDefault="00437944" w:rsidP="0057599A">
      <w:pPr>
        <w:spacing w:after="0" w:line="240" w:lineRule="auto"/>
        <w:ind w:right="1133"/>
        <w:rPr>
          <w:rFonts w:ascii="Times New Roman" w:hAnsi="Times New Roman" w:cs="Times New Roman"/>
          <w:sz w:val="26"/>
          <w:szCs w:val="26"/>
        </w:rPr>
      </w:pPr>
    </w:p>
    <w:p w:rsidR="006657DD" w:rsidRDefault="006657DD" w:rsidP="0057599A">
      <w:pPr>
        <w:spacing w:after="0" w:line="240" w:lineRule="auto"/>
        <w:ind w:right="1133"/>
        <w:rPr>
          <w:rFonts w:ascii="Times New Roman" w:hAnsi="Times New Roman" w:cs="Times New Roman"/>
          <w:sz w:val="26"/>
          <w:szCs w:val="26"/>
        </w:rPr>
      </w:pPr>
    </w:p>
    <w:p w:rsidR="006657DD" w:rsidRDefault="002A32C6" w:rsidP="002A32C6">
      <w:pPr>
        <w:spacing w:after="0" w:line="240" w:lineRule="auto"/>
        <w:ind w:right="113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Grazie alle consolidate competenze nell’ambito dell’Asset Management e del Risk Management, Benchmark &amp; Style è un partner affidabile per gli investitori istituzionali (enti previdenziali, fondi pensione e family office) che desiderano sviluppare un</w:t>
      </w:r>
      <w:r w:rsidR="00A914CF">
        <w:rPr>
          <w:rFonts w:ascii="Times New Roman" w:hAnsi="Times New Roman" w:cs="Times New Roman"/>
          <w:sz w:val="26"/>
          <w:szCs w:val="26"/>
        </w:rPr>
        <w:t xml:space="preserve"> robusto processo di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914CF">
        <w:rPr>
          <w:rFonts w:ascii="Times New Roman" w:hAnsi="Times New Roman" w:cs="Times New Roman"/>
          <w:sz w:val="26"/>
          <w:szCs w:val="26"/>
        </w:rPr>
        <w:t xml:space="preserve">investimento. </w:t>
      </w:r>
    </w:p>
    <w:p w:rsidR="006657DD" w:rsidRDefault="006657DD" w:rsidP="0057599A">
      <w:pPr>
        <w:spacing w:after="0" w:line="240" w:lineRule="auto"/>
        <w:ind w:right="1133"/>
        <w:rPr>
          <w:rFonts w:ascii="Times New Roman" w:hAnsi="Times New Roman" w:cs="Times New Roman"/>
          <w:sz w:val="26"/>
          <w:szCs w:val="26"/>
        </w:rPr>
      </w:pPr>
    </w:p>
    <w:p w:rsidR="00A914CF" w:rsidRDefault="008801A4" w:rsidP="004B56E6">
      <w:pPr>
        <w:spacing w:after="0" w:line="240" w:lineRule="auto"/>
        <w:ind w:right="113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Il modello di consulenza di Benchmark &amp; Style è </w:t>
      </w:r>
      <w:r w:rsidR="004B56E6">
        <w:rPr>
          <w:rFonts w:ascii="Times New Roman" w:hAnsi="Times New Roman" w:cs="Times New Roman"/>
          <w:sz w:val="26"/>
          <w:szCs w:val="26"/>
        </w:rPr>
        <w:t>improntato alla personalizzazione del servizio: grazie al contributo diretto e costante dei Partner</w:t>
      </w:r>
      <w:r w:rsidR="00066FD5">
        <w:rPr>
          <w:rFonts w:ascii="Times New Roman" w:hAnsi="Times New Roman" w:cs="Times New Roman"/>
          <w:sz w:val="26"/>
          <w:szCs w:val="26"/>
        </w:rPr>
        <w:t xml:space="preserve"> -</w:t>
      </w:r>
      <w:r w:rsidR="004B56E6">
        <w:rPr>
          <w:rFonts w:ascii="Times New Roman" w:hAnsi="Times New Roman" w:cs="Times New Roman"/>
          <w:sz w:val="26"/>
          <w:szCs w:val="26"/>
        </w:rPr>
        <w:t xml:space="preserve"> che curano direttamente i rapporti con le controparti</w:t>
      </w:r>
      <w:r w:rsidR="00066FD5">
        <w:rPr>
          <w:rFonts w:ascii="Times New Roman" w:hAnsi="Times New Roman" w:cs="Times New Roman"/>
          <w:sz w:val="26"/>
          <w:szCs w:val="26"/>
        </w:rPr>
        <w:t xml:space="preserve"> -</w:t>
      </w:r>
      <w:r w:rsidR="004B56E6">
        <w:rPr>
          <w:rFonts w:ascii="Times New Roman" w:hAnsi="Times New Roman" w:cs="Times New Roman"/>
          <w:sz w:val="26"/>
          <w:szCs w:val="26"/>
        </w:rPr>
        <w:t xml:space="preserve"> </w:t>
      </w:r>
      <w:r w:rsidR="006B431F">
        <w:rPr>
          <w:rFonts w:ascii="Times New Roman" w:hAnsi="Times New Roman" w:cs="Times New Roman"/>
          <w:sz w:val="26"/>
          <w:szCs w:val="26"/>
        </w:rPr>
        <w:t>vengono sviluppati modelli finanziari perfettamente tagliati sulle specifiche esigenze della clientela.</w:t>
      </w:r>
    </w:p>
    <w:p w:rsidR="00066FD5" w:rsidRDefault="00066FD5" w:rsidP="004B56E6">
      <w:pPr>
        <w:spacing w:after="0" w:line="240" w:lineRule="auto"/>
        <w:ind w:right="1133"/>
        <w:jc w:val="both"/>
        <w:rPr>
          <w:rFonts w:ascii="Times New Roman" w:hAnsi="Times New Roman" w:cs="Times New Roman"/>
          <w:sz w:val="26"/>
          <w:szCs w:val="26"/>
        </w:rPr>
      </w:pPr>
    </w:p>
    <w:p w:rsidR="00066FD5" w:rsidRDefault="00066FD5" w:rsidP="004B56E6">
      <w:pPr>
        <w:spacing w:after="0" w:line="240" w:lineRule="auto"/>
        <w:ind w:right="113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 servizi di Benchmark &amp; Style rivolti alla clientela istituzionale si sviluppano su due specifici </w:t>
      </w:r>
      <w:r w:rsidR="003E4B28">
        <w:rPr>
          <w:rFonts w:ascii="Times New Roman" w:hAnsi="Times New Roman" w:cs="Times New Roman"/>
          <w:sz w:val="26"/>
          <w:szCs w:val="26"/>
        </w:rPr>
        <w:t>piani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066FD5" w:rsidRDefault="00066FD5" w:rsidP="00066FD5">
      <w:pPr>
        <w:pStyle w:val="Paragrafoelenco"/>
        <w:numPr>
          <w:ilvl w:val="0"/>
          <w:numId w:val="1"/>
        </w:numPr>
        <w:spacing w:after="0" w:line="240" w:lineRule="auto"/>
        <w:ind w:right="113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Investment Advisory</w:t>
      </w:r>
    </w:p>
    <w:p w:rsidR="00066FD5" w:rsidRDefault="00066FD5" w:rsidP="00066FD5">
      <w:pPr>
        <w:pStyle w:val="Paragrafoelenco"/>
        <w:numPr>
          <w:ilvl w:val="0"/>
          <w:numId w:val="1"/>
        </w:numPr>
        <w:spacing w:after="0" w:line="240" w:lineRule="auto"/>
        <w:ind w:right="113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Risk Advisory</w:t>
      </w:r>
    </w:p>
    <w:p w:rsidR="00066FD5" w:rsidRDefault="00066FD5" w:rsidP="00066FD5">
      <w:pPr>
        <w:spacing w:after="0" w:line="240" w:lineRule="auto"/>
        <w:ind w:right="1133"/>
        <w:jc w:val="both"/>
        <w:rPr>
          <w:rFonts w:ascii="Times New Roman" w:hAnsi="Times New Roman" w:cs="Times New Roman"/>
          <w:sz w:val="26"/>
          <w:szCs w:val="26"/>
        </w:rPr>
      </w:pPr>
    </w:p>
    <w:p w:rsidR="00066FD5" w:rsidRDefault="005C5026" w:rsidP="00066FD5">
      <w:pPr>
        <w:spacing w:after="0" w:line="240" w:lineRule="auto"/>
        <w:ind w:right="113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mallCaps/>
          <w:sz w:val="26"/>
          <w:szCs w:val="26"/>
        </w:rPr>
        <w:t>Investment Advisory</w:t>
      </w:r>
    </w:p>
    <w:p w:rsidR="00066FD5" w:rsidRDefault="005C5026" w:rsidP="00066FD5">
      <w:pPr>
        <w:spacing w:after="0" w:line="240" w:lineRule="auto"/>
        <w:ind w:right="113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 riferimento alla creazione delle soluzioni di investimento</w:t>
      </w:r>
      <w:r w:rsidR="000E5D63">
        <w:rPr>
          <w:rFonts w:ascii="Times New Roman" w:hAnsi="Times New Roman" w:cs="Times New Roman"/>
          <w:sz w:val="26"/>
          <w:szCs w:val="26"/>
        </w:rPr>
        <w:t>, Benchmark &amp; Style è in grado di offrire un supporto nelle seguenti fasi:</w:t>
      </w:r>
    </w:p>
    <w:p w:rsidR="000E5D63" w:rsidRDefault="00DA7338" w:rsidP="00437944">
      <w:pPr>
        <w:pStyle w:val="Paragrafoelenco"/>
        <w:numPr>
          <w:ilvl w:val="0"/>
          <w:numId w:val="3"/>
        </w:numPr>
        <w:spacing w:after="0" w:line="240" w:lineRule="auto"/>
        <w:ind w:right="1133"/>
        <w:jc w:val="both"/>
        <w:rPr>
          <w:rFonts w:ascii="Times New Roman" w:hAnsi="Times New Roman" w:cs="Times New Roman"/>
          <w:sz w:val="26"/>
          <w:szCs w:val="26"/>
        </w:rPr>
      </w:pPr>
      <w:r w:rsidRPr="00017AE9">
        <w:rPr>
          <w:rFonts w:ascii="Times New Roman" w:hAnsi="Times New Roman" w:cs="Times New Roman"/>
          <w:sz w:val="26"/>
          <w:szCs w:val="26"/>
          <w:u w:val="single"/>
        </w:rPr>
        <w:t>Sviluppo di modelli Asset &amp; Liability Management (ALM)</w:t>
      </w:r>
      <w:r>
        <w:rPr>
          <w:rFonts w:ascii="Times New Roman" w:hAnsi="Times New Roman" w:cs="Times New Roman"/>
          <w:sz w:val="26"/>
          <w:szCs w:val="26"/>
        </w:rPr>
        <w:t>, finalizzati alla creazione di soluzioni di investimento in grado di compensare i flussi futuri in uscita, che assicurano la sostenibilità finanziaria di lunghissimo termine.</w:t>
      </w:r>
    </w:p>
    <w:p w:rsidR="00DA7338" w:rsidRDefault="00DA7338" w:rsidP="00437944">
      <w:pPr>
        <w:pStyle w:val="Paragrafoelenco"/>
        <w:numPr>
          <w:ilvl w:val="0"/>
          <w:numId w:val="3"/>
        </w:numPr>
        <w:spacing w:after="0" w:line="240" w:lineRule="auto"/>
        <w:ind w:right="1133"/>
        <w:jc w:val="both"/>
        <w:rPr>
          <w:rFonts w:ascii="Times New Roman" w:hAnsi="Times New Roman" w:cs="Times New Roman"/>
          <w:sz w:val="26"/>
          <w:szCs w:val="26"/>
        </w:rPr>
      </w:pPr>
      <w:r w:rsidRPr="00017AE9">
        <w:rPr>
          <w:rFonts w:ascii="Times New Roman" w:hAnsi="Times New Roman" w:cs="Times New Roman"/>
          <w:sz w:val="26"/>
          <w:szCs w:val="26"/>
          <w:u w:val="single"/>
        </w:rPr>
        <w:t>Creazione di Asset Allocation Strategiche</w:t>
      </w:r>
      <w:r>
        <w:rPr>
          <w:rFonts w:ascii="Times New Roman" w:hAnsi="Times New Roman" w:cs="Times New Roman"/>
          <w:sz w:val="26"/>
          <w:szCs w:val="26"/>
        </w:rPr>
        <w:t xml:space="preserve"> coerenti con i profili di rischio dell’investitore target, tramite l’utilizzo alle più efficaci metodologie di costruzione del portafoglio (Modello di Black-Litterman, tecniche euristiche, quali ottimizzazioni vincolate e ricampionamento), in grado di restituire solu</w:t>
      </w:r>
      <w:r w:rsidR="009D4D81">
        <w:rPr>
          <w:rFonts w:ascii="Times New Roman" w:hAnsi="Times New Roman" w:cs="Times New Roman"/>
          <w:sz w:val="26"/>
          <w:szCs w:val="26"/>
        </w:rPr>
        <w:t>zioni ragionevoli, stabili e poc</w:t>
      </w:r>
      <w:r>
        <w:rPr>
          <w:rFonts w:ascii="Times New Roman" w:hAnsi="Times New Roman" w:cs="Times New Roman"/>
          <w:sz w:val="26"/>
          <w:szCs w:val="26"/>
        </w:rPr>
        <w:t>o espost</w:t>
      </w:r>
      <w:r w:rsidR="000E4103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 xml:space="preserve"> all’errore di stima.</w:t>
      </w:r>
      <w:r w:rsidR="00017AE9">
        <w:rPr>
          <w:rFonts w:ascii="Times New Roman" w:hAnsi="Times New Roman" w:cs="Times New Roman"/>
          <w:sz w:val="26"/>
          <w:szCs w:val="26"/>
        </w:rPr>
        <w:t xml:space="preserve"> Benchmark &amp; Style è in grado di creare anche soluzioni di Asset Allocation Dinamica basati su modelli di Goal Based Investing.</w:t>
      </w:r>
    </w:p>
    <w:p w:rsidR="00DA7338" w:rsidRDefault="00DA7338" w:rsidP="00437944">
      <w:pPr>
        <w:pStyle w:val="Paragrafoelenco"/>
        <w:numPr>
          <w:ilvl w:val="0"/>
          <w:numId w:val="3"/>
        </w:numPr>
        <w:spacing w:after="0" w:line="240" w:lineRule="auto"/>
        <w:ind w:right="1133"/>
        <w:jc w:val="both"/>
        <w:rPr>
          <w:rFonts w:ascii="Times New Roman" w:hAnsi="Times New Roman" w:cs="Times New Roman"/>
          <w:sz w:val="26"/>
          <w:szCs w:val="26"/>
        </w:rPr>
      </w:pPr>
      <w:r w:rsidRPr="00017AE9">
        <w:rPr>
          <w:rFonts w:ascii="Times New Roman" w:hAnsi="Times New Roman" w:cs="Times New Roman"/>
          <w:sz w:val="26"/>
          <w:szCs w:val="26"/>
          <w:u w:val="single"/>
        </w:rPr>
        <w:t>Creazione di efficaci tecniche di Asset Allocation Tattica</w:t>
      </w:r>
      <w:r>
        <w:rPr>
          <w:rFonts w:ascii="Times New Roman" w:hAnsi="Times New Roman" w:cs="Times New Roman"/>
          <w:sz w:val="26"/>
          <w:szCs w:val="26"/>
        </w:rPr>
        <w:t xml:space="preserve">, grazie alle quali governare le scelte di correzione di breve termine del portafoglio, finalizzate a trarre profitto dalle aspettative di breve termine dei mercati. In tale ambito, Benchmark &amp; Style propone diverse soluzioni </w:t>
      </w:r>
      <w:r w:rsidR="00EE60DE">
        <w:rPr>
          <w:rFonts w:ascii="Times New Roman" w:hAnsi="Times New Roman" w:cs="Times New Roman"/>
          <w:sz w:val="26"/>
          <w:szCs w:val="26"/>
        </w:rPr>
        <w:t xml:space="preserve">metodologiche e supporta la controparte nella scelta della metodologia più efficace e contribuisce alla definizione di efficaci limiti che </w:t>
      </w:r>
      <w:r w:rsidR="000E4103">
        <w:rPr>
          <w:rFonts w:ascii="Times New Roman" w:hAnsi="Times New Roman" w:cs="Times New Roman"/>
          <w:sz w:val="26"/>
          <w:szCs w:val="26"/>
        </w:rPr>
        <w:t>governano</w:t>
      </w:r>
      <w:r w:rsidR="00EE60DE">
        <w:rPr>
          <w:rFonts w:ascii="Times New Roman" w:hAnsi="Times New Roman" w:cs="Times New Roman"/>
          <w:sz w:val="26"/>
          <w:szCs w:val="26"/>
        </w:rPr>
        <w:t xml:space="preserve"> le modifiche tattiche.</w:t>
      </w:r>
    </w:p>
    <w:p w:rsidR="00EE60DE" w:rsidRDefault="00EE60DE" w:rsidP="00437944">
      <w:pPr>
        <w:pStyle w:val="Paragrafoelenco"/>
        <w:numPr>
          <w:ilvl w:val="0"/>
          <w:numId w:val="3"/>
        </w:numPr>
        <w:spacing w:after="0" w:line="240" w:lineRule="auto"/>
        <w:ind w:right="1133"/>
        <w:jc w:val="both"/>
        <w:rPr>
          <w:rFonts w:ascii="Times New Roman" w:hAnsi="Times New Roman" w:cs="Times New Roman"/>
          <w:sz w:val="26"/>
          <w:szCs w:val="26"/>
        </w:rPr>
      </w:pPr>
      <w:r w:rsidRPr="00017AE9">
        <w:rPr>
          <w:rFonts w:ascii="Times New Roman" w:hAnsi="Times New Roman" w:cs="Times New Roman"/>
          <w:sz w:val="26"/>
          <w:szCs w:val="26"/>
          <w:u w:val="single"/>
        </w:rPr>
        <w:t xml:space="preserve">Sviluppo di </w:t>
      </w:r>
      <w:r w:rsidR="00017AE9" w:rsidRPr="00017AE9">
        <w:rPr>
          <w:rFonts w:ascii="Times New Roman" w:hAnsi="Times New Roman" w:cs="Times New Roman"/>
          <w:sz w:val="26"/>
          <w:szCs w:val="26"/>
          <w:u w:val="single"/>
        </w:rPr>
        <w:t xml:space="preserve">robusti </w:t>
      </w:r>
      <w:r w:rsidRPr="00017AE9">
        <w:rPr>
          <w:rFonts w:ascii="Times New Roman" w:hAnsi="Times New Roman" w:cs="Times New Roman"/>
          <w:sz w:val="26"/>
          <w:szCs w:val="26"/>
          <w:u w:val="single"/>
        </w:rPr>
        <w:t xml:space="preserve">modelli </w:t>
      </w:r>
      <w:r w:rsidR="00017AE9" w:rsidRPr="00017AE9">
        <w:rPr>
          <w:rFonts w:ascii="Times New Roman" w:hAnsi="Times New Roman" w:cs="Times New Roman"/>
          <w:sz w:val="26"/>
          <w:szCs w:val="26"/>
          <w:u w:val="single"/>
        </w:rPr>
        <w:t>di selezione dei gestori</w:t>
      </w:r>
      <w:r w:rsidR="00017AE9">
        <w:rPr>
          <w:rFonts w:ascii="Times New Roman" w:hAnsi="Times New Roman" w:cs="Times New Roman"/>
          <w:sz w:val="26"/>
          <w:szCs w:val="26"/>
        </w:rPr>
        <w:t xml:space="preserve">, in grado di incorporare sia fattori di natura qualitativa (bontà del management, reputation del gestore, qualità dei modelli di risk management) sia fattori di natura </w:t>
      </w:r>
      <w:r w:rsidR="00017AE9">
        <w:rPr>
          <w:rFonts w:ascii="Times New Roman" w:hAnsi="Times New Roman" w:cs="Times New Roman"/>
          <w:sz w:val="26"/>
          <w:szCs w:val="26"/>
        </w:rPr>
        <w:lastRenderedPageBreak/>
        <w:t>quantitativa (performance passata, rischi assoluti e relativi assunti e stile di gestione).</w:t>
      </w:r>
    </w:p>
    <w:p w:rsidR="00EE60DE" w:rsidRDefault="00EE60DE" w:rsidP="00EE60DE">
      <w:pPr>
        <w:spacing w:after="0" w:line="240" w:lineRule="auto"/>
        <w:ind w:right="1133"/>
        <w:jc w:val="both"/>
        <w:rPr>
          <w:rFonts w:ascii="Times New Roman" w:hAnsi="Times New Roman" w:cs="Times New Roman"/>
          <w:sz w:val="26"/>
          <w:szCs w:val="26"/>
        </w:rPr>
      </w:pPr>
    </w:p>
    <w:p w:rsidR="00EE60DE" w:rsidRDefault="00EE60DE" w:rsidP="00EE60DE">
      <w:pPr>
        <w:spacing w:after="0" w:line="240" w:lineRule="auto"/>
        <w:ind w:right="1133"/>
        <w:jc w:val="both"/>
        <w:rPr>
          <w:rFonts w:ascii="Times New Roman" w:hAnsi="Times New Roman" w:cs="Times New Roman"/>
          <w:sz w:val="26"/>
          <w:szCs w:val="26"/>
        </w:rPr>
      </w:pPr>
    </w:p>
    <w:p w:rsidR="00EE60DE" w:rsidRDefault="00EE60DE" w:rsidP="00EE60DE">
      <w:pPr>
        <w:spacing w:after="0" w:line="240" w:lineRule="auto"/>
        <w:ind w:right="113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mallCaps/>
          <w:sz w:val="26"/>
          <w:szCs w:val="26"/>
        </w:rPr>
        <w:t>Risk Advisory</w:t>
      </w:r>
    </w:p>
    <w:p w:rsidR="00EE60DE" w:rsidRDefault="00EE60DE" w:rsidP="00EE60DE">
      <w:pPr>
        <w:spacing w:after="0" w:line="240" w:lineRule="auto"/>
        <w:ind w:right="113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Con riferimento alla </w:t>
      </w:r>
      <w:r w:rsidR="00017AE9">
        <w:rPr>
          <w:rFonts w:ascii="Times New Roman" w:hAnsi="Times New Roman" w:cs="Times New Roman"/>
          <w:sz w:val="26"/>
          <w:szCs w:val="26"/>
        </w:rPr>
        <w:t xml:space="preserve">fase di verifica </w:t>
      </w:r>
      <w:r w:rsidR="00437944">
        <w:rPr>
          <w:rFonts w:ascii="Times New Roman" w:hAnsi="Times New Roman" w:cs="Times New Roman"/>
          <w:sz w:val="26"/>
          <w:szCs w:val="26"/>
        </w:rPr>
        <w:t xml:space="preserve">ex-post </w:t>
      </w:r>
      <w:r w:rsidR="00017AE9">
        <w:rPr>
          <w:rFonts w:ascii="Times New Roman" w:hAnsi="Times New Roman" w:cs="Times New Roman"/>
          <w:sz w:val="26"/>
          <w:szCs w:val="26"/>
        </w:rPr>
        <w:t xml:space="preserve">dei risultati conseguiti da un investimento, Benchmark &amp; Style è in grado di offrire </w:t>
      </w:r>
      <w:r w:rsidR="00437944">
        <w:rPr>
          <w:rFonts w:ascii="Times New Roman" w:hAnsi="Times New Roman" w:cs="Times New Roman"/>
          <w:sz w:val="26"/>
          <w:szCs w:val="26"/>
        </w:rPr>
        <w:t>un robusto supporto che si sviluppa nei seguenti ambiti:</w:t>
      </w:r>
    </w:p>
    <w:p w:rsidR="00437944" w:rsidRDefault="00377D8F" w:rsidP="00437944">
      <w:pPr>
        <w:pStyle w:val="Paragrafoelenco"/>
        <w:numPr>
          <w:ilvl w:val="0"/>
          <w:numId w:val="4"/>
        </w:numPr>
        <w:spacing w:after="0" w:line="240" w:lineRule="auto"/>
        <w:ind w:right="113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Rendicontazione della performance conseguita</w:t>
      </w:r>
      <w:r w:rsidR="00437944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e annesse verifiche del tracking error rispetto al benchmark e della scomposizione della performance per singoli prodotti </w:t>
      </w:r>
      <w:r w:rsidR="003E4B28"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 xml:space="preserve"> singole asset class</w:t>
      </w:r>
      <w:r w:rsidR="00437944">
        <w:rPr>
          <w:rFonts w:ascii="Times New Roman" w:hAnsi="Times New Roman" w:cs="Times New Roman"/>
          <w:sz w:val="26"/>
          <w:szCs w:val="26"/>
        </w:rPr>
        <w:t>.</w:t>
      </w:r>
    </w:p>
    <w:p w:rsidR="00377D8F" w:rsidRDefault="00377D8F" w:rsidP="00437944">
      <w:pPr>
        <w:pStyle w:val="Paragrafoelenco"/>
        <w:numPr>
          <w:ilvl w:val="0"/>
          <w:numId w:val="4"/>
        </w:numPr>
        <w:spacing w:after="0" w:line="240" w:lineRule="auto"/>
        <w:ind w:right="113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Performance Attribution</w:t>
      </w:r>
      <w:r w:rsidRPr="00377D8F">
        <w:rPr>
          <w:rFonts w:ascii="Times New Roman" w:hAnsi="Times New Roman" w:cs="Times New Roman"/>
          <w:sz w:val="26"/>
          <w:szCs w:val="26"/>
        </w:rPr>
        <w:t xml:space="preserve">, finalizzata a verificare il contributo reddituale </w:t>
      </w:r>
      <w:r>
        <w:rPr>
          <w:rFonts w:ascii="Times New Roman" w:hAnsi="Times New Roman" w:cs="Times New Roman"/>
          <w:sz w:val="26"/>
          <w:szCs w:val="26"/>
        </w:rPr>
        <w:t xml:space="preserve">riconducibile alle fasi di Asset Allocation Strategica, Asset </w:t>
      </w:r>
      <w:r w:rsidR="003E4B28"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>llocation Tattica e Selezione dei Prodotti.</w:t>
      </w:r>
    </w:p>
    <w:p w:rsidR="00377D8F" w:rsidRDefault="00377D8F" w:rsidP="00437944">
      <w:pPr>
        <w:pStyle w:val="Paragrafoelenco"/>
        <w:numPr>
          <w:ilvl w:val="0"/>
          <w:numId w:val="4"/>
        </w:numPr>
        <w:spacing w:after="0" w:line="240" w:lineRule="auto"/>
        <w:ind w:right="113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Risk Management</w:t>
      </w:r>
      <w:r w:rsidRPr="00377D8F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e annesse verifiche del differenziale di rischio rispetto al benchmark e della scomposizione del rischio per singoli prodotti </w:t>
      </w:r>
      <w:r w:rsidR="003E4B28"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 xml:space="preserve"> singole asset class; Benchmark &amp; Style ricorre, congiuntamente, ad una pluralità di misure di rischio che coprono anche la famiglia delle misure di perdita potenziale quali VaR, Conditionale VaR e Drawdown.</w:t>
      </w:r>
      <w:r w:rsidR="005B6BDA">
        <w:rPr>
          <w:rFonts w:ascii="Times New Roman" w:hAnsi="Times New Roman" w:cs="Times New Roman"/>
          <w:sz w:val="26"/>
          <w:szCs w:val="26"/>
        </w:rPr>
        <w:t xml:space="preserve"> Il servizio copre anche la verifica del rispetto di eventuali soglie di rischio definite a livello di portafoglio complessivo o a livello di singolo gestore.</w:t>
      </w:r>
    </w:p>
    <w:p w:rsidR="00EE60DE" w:rsidRDefault="00EE60DE" w:rsidP="00EE60DE">
      <w:pPr>
        <w:spacing w:after="0" w:line="240" w:lineRule="auto"/>
        <w:ind w:right="1133"/>
        <w:jc w:val="both"/>
        <w:rPr>
          <w:rFonts w:ascii="Times New Roman" w:hAnsi="Times New Roman" w:cs="Times New Roman"/>
          <w:sz w:val="26"/>
          <w:szCs w:val="26"/>
        </w:rPr>
      </w:pPr>
    </w:p>
    <w:p w:rsidR="005B6BDA" w:rsidRDefault="005B6BDA" w:rsidP="00EE60DE">
      <w:pPr>
        <w:spacing w:after="0" w:line="240" w:lineRule="auto"/>
        <w:ind w:right="1133"/>
        <w:jc w:val="both"/>
        <w:rPr>
          <w:rFonts w:ascii="Times New Roman" w:hAnsi="Times New Roman" w:cs="Times New Roman"/>
          <w:sz w:val="26"/>
          <w:szCs w:val="26"/>
        </w:rPr>
      </w:pPr>
    </w:p>
    <w:p w:rsidR="005B6BDA" w:rsidRDefault="005B6BDA" w:rsidP="00EE60DE">
      <w:pPr>
        <w:spacing w:after="0" w:line="240" w:lineRule="auto"/>
        <w:ind w:right="1133"/>
        <w:jc w:val="both"/>
        <w:rPr>
          <w:rFonts w:ascii="Times New Roman" w:hAnsi="Times New Roman" w:cs="Times New Roman"/>
          <w:sz w:val="26"/>
          <w:szCs w:val="26"/>
        </w:rPr>
      </w:pPr>
    </w:p>
    <w:p w:rsidR="003E4B28" w:rsidRDefault="003E4B2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3E4B28" w:rsidRPr="005C5026" w:rsidRDefault="003E4B28" w:rsidP="003E4B28">
      <w:pPr>
        <w:spacing w:after="0" w:line="240" w:lineRule="auto"/>
        <w:ind w:left="1276" w:right="-1" w:hanging="1276"/>
        <w:rPr>
          <w:rFonts w:ascii="Times New Roman" w:hAnsi="Times New Roman" w:cs="Times New Roman"/>
          <w:b/>
          <w:smallCaps/>
          <w:sz w:val="26"/>
          <w:szCs w:val="26"/>
        </w:rPr>
      </w:pPr>
      <w:r>
        <w:rPr>
          <w:rFonts w:ascii="Times New Roman" w:hAnsi="Times New Roman" w:cs="Times New Roman"/>
          <w:b/>
          <w:smallCaps/>
          <w:sz w:val="26"/>
          <w:szCs w:val="26"/>
        </w:rPr>
        <w:lastRenderedPageBreak/>
        <w:t xml:space="preserve">Grafici per “abbellire” </w:t>
      </w:r>
      <w:r w:rsidR="00DE1933">
        <w:rPr>
          <w:rFonts w:ascii="Times New Roman" w:hAnsi="Times New Roman" w:cs="Times New Roman"/>
          <w:b/>
          <w:smallCaps/>
          <w:sz w:val="26"/>
          <w:szCs w:val="26"/>
        </w:rPr>
        <w:t xml:space="preserve">eventualmente </w:t>
      </w:r>
      <w:r>
        <w:rPr>
          <w:rFonts w:ascii="Times New Roman" w:hAnsi="Times New Roman" w:cs="Times New Roman"/>
          <w:b/>
          <w:smallCaps/>
          <w:sz w:val="26"/>
          <w:szCs w:val="26"/>
        </w:rPr>
        <w:t>la sezione</w:t>
      </w:r>
    </w:p>
    <w:p w:rsidR="003E4B28" w:rsidRDefault="003E4B28" w:rsidP="003E4B28">
      <w:pPr>
        <w:spacing w:after="0" w:line="240" w:lineRule="auto"/>
        <w:ind w:right="1133"/>
        <w:rPr>
          <w:rFonts w:ascii="Times New Roman" w:hAnsi="Times New Roman" w:cs="Times New Roman"/>
          <w:sz w:val="26"/>
          <w:szCs w:val="26"/>
        </w:rPr>
      </w:pPr>
    </w:p>
    <w:p w:rsidR="005B6BDA" w:rsidRDefault="00E52DF4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zh-CN" w:bidi="th-TH"/>
        </w:rPr>
        <w:drawing>
          <wp:inline distT="0" distB="0" distL="0" distR="0" wp14:anchorId="5EA52C32">
            <wp:extent cx="3733800" cy="2120622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539" cy="21238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E4B28" w:rsidRDefault="003E4B28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</w:p>
    <w:p w:rsidR="003E4B28" w:rsidRDefault="00E52DF4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zh-CN" w:bidi="th-TH"/>
        </w:rPr>
        <w:drawing>
          <wp:inline distT="0" distB="0" distL="0" distR="0" wp14:anchorId="5F2808DB">
            <wp:extent cx="2938506" cy="221742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892" cy="22245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E4B28" w:rsidRDefault="003E4B28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</w:p>
    <w:p w:rsidR="003E4B28" w:rsidRDefault="00D8758E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  <w:r w:rsidRPr="00D8758E">
        <w:rPr>
          <w:noProof/>
          <w:lang w:eastAsia="zh-CN" w:bidi="th-TH"/>
        </w:rPr>
        <w:drawing>
          <wp:inline distT="0" distB="0" distL="0" distR="0">
            <wp:extent cx="4596198" cy="300037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210" cy="3001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B28" w:rsidRDefault="003E4B28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</w:p>
    <w:p w:rsidR="003E4B28" w:rsidRDefault="003E4B28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</w:p>
    <w:p w:rsidR="003E4B28" w:rsidRDefault="003E4B28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</w:p>
    <w:p w:rsidR="00D8758E" w:rsidRDefault="00D8758E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</w:p>
    <w:p w:rsidR="00D8758E" w:rsidRDefault="00D8758E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  <w:r w:rsidRPr="00D8758E">
        <w:rPr>
          <w:noProof/>
          <w:lang w:eastAsia="zh-CN" w:bidi="th-TH"/>
        </w:rPr>
        <w:lastRenderedPageBreak/>
        <w:drawing>
          <wp:inline distT="0" distB="0" distL="0" distR="0">
            <wp:extent cx="6120130" cy="2145349"/>
            <wp:effectExtent l="0" t="0" r="0" b="762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45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B28" w:rsidRDefault="003E4B28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</w:p>
    <w:p w:rsidR="00D8758E" w:rsidRDefault="00D8758E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</w:p>
    <w:p w:rsidR="00D8758E" w:rsidRDefault="00D8758E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  <w:r w:rsidRPr="00D8758E">
        <w:rPr>
          <w:noProof/>
          <w:lang w:eastAsia="zh-CN" w:bidi="th-TH"/>
        </w:rPr>
        <w:drawing>
          <wp:inline distT="0" distB="0" distL="0" distR="0">
            <wp:extent cx="6120130" cy="213709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3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58E" w:rsidRDefault="00D8758E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</w:p>
    <w:p w:rsidR="00D8758E" w:rsidRDefault="00D8758E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  <w:r w:rsidRPr="00D8758E">
        <w:rPr>
          <w:noProof/>
          <w:lang w:eastAsia="zh-CN" w:bidi="th-TH"/>
        </w:rPr>
        <w:drawing>
          <wp:inline distT="0" distB="0" distL="0" distR="0">
            <wp:extent cx="6120130" cy="3590576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90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58E" w:rsidRDefault="00D8758E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</w:p>
    <w:p w:rsidR="00D8758E" w:rsidRDefault="00D8758E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</w:p>
    <w:p w:rsidR="00DE1933" w:rsidRDefault="00DE1933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  <w:r w:rsidRPr="00DE1933">
        <w:rPr>
          <w:noProof/>
          <w:lang w:eastAsia="zh-CN" w:bidi="th-TH"/>
        </w:rPr>
        <w:lastRenderedPageBreak/>
        <w:drawing>
          <wp:inline distT="0" distB="0" distL="0" distR="0">
            <wp:extent cx="6120130" cy="2786108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86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933" w:rsidRDefault="00DE1933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  <w:r w:rsidRPr="00DE1933">
        <w:rPr>
          <w:noProof/>
          <w:lang w:eastAsia="zh-CN" w:bidi="th-TH"/>
        </w:rPr>
        <w:drawing>
          <wp:inline distT="0" distB="0" distL="0" distR="0">
            <wp:extent cx="6120130" cy="3602215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0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933" w:rsidRDefault="00DE1933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</w:p>
    <w:p w:rsidR="00DE1933" w:rsidRDefault="00DE1933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  <w:r w:rsidRPr="00DE1933">
        <w:rPr>
          <w:noProof/>
          <w:lang w:eastAsia="zh-CN" w:bidi="th-TH"/>
        </w:rPr>
        <w:drawing>
          <wp:inline distT="0" distB="0" distL="0" distR="0">
            <wp:extent cx="6120130" cy="2086579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86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933" w:rsidRDefault="00DE1933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</w:p>
    <w:p w:rsidR="00DE1933" w:rsidRDefault="00DE1933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  <w:r w:rsidRPr="00DE1933">
        <w:rPr>
          <w:noProof/>
          <w:lang w:eastAsia="zh-CN" w:bidi="th-TH"/>
        </w:rPr>
        <w:lastRenderedPageBreak/>
        <w:drawing>
          <wp:inline distT="0" distB="0" distL="0" distR="0">
            <wp:extent cx="6120130" cy="3453239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3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933" w:rsidRDefault="00DE1933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</w:p>
    <w:p w:rsidR="00DE1933" w:rsidRDefault="003879F2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  <w:r w:rsidRPr="003879F2">
        <w:rPr>
          <w:rFonts w:ascii="Times New Roman" w:hAnsi="Times New Roman" w:cs="Times New Roman"/>
          <w:noProof/>
          <w:sz w:val="26"/>
          <w:szCs w:val="26"/>
          <w:lang w:eastAsia="zh-CN" w:bidi="th-TH"/>
        </w:rPr>
        <w:drawing>
          <wp:inline distT="0" distB="0" distL="0" distR="0">
            <wp:extent cx="4522470" cy="3378655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026" cy="3381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9F2" w:rsidRDefault="003879F2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  <w:r w:rsidRPr="003879F2">
        <w:rPr>
          <w:rFonts w:ascii="Times New Roman" w:hAnsi="Times New Roman" w:cs="Times New Roman"/>
          <w:noProof/>
          <w:sz w:val="26"/>
          <w:szCs w:val="26"/>
          <w:lang w:eastAsia="zh-CN" w:bidi="th-TH"/>
        </w:rPr>
        <w:lastRenderedPageBreak/>
        <w:drawing>
          <wp:inline distT="0" distB="0" distL="0" distR="0">
            <wp:extent cx="3688080" cy="2755297"/>
            <wp:effectExtent l="0" t="0" r="7620" b="698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377" cy="2757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9F2" w:rsidRDefault="003879F2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</w:p>
    <w:p w:rsidR="003879F2" w:rsidRDefault="003879F2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</w:p>
    <w:p w:rsidR="003879F2" w:rsidRDefault="003879F2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  <w:r w:rsidRPr="003879F2">
        <w:rPr>
          <w:rFonts w:ascii="Times New Roman" w:hAnsi="Times New Roman" w:cs="Times New Roman"/>
          <w:noProof/>
          <w:sz w:val="26"/>
          <w:szCs w:val="26"/>
          <w:lang w:eastAsia="zh-CN" w:bidi="th-TH"/>
        </w:rPr>
        <w:drawing>
          <wp:inline distT="0" distB="0" distL="0" distR="0">
            <wp:extent cx="4166572" cy="3112770"/>
            <wp:effectExtent l="0" t="0" r="5715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98" cy="3114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9F2" w:rsidRDefault="003879F2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</w:p>
    <w:p w:rsidR="003879F2" w:rsidRDefault="003879F2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</w:p>
    <w:p w:rsidR="003879F2" w:rsidRDefault="003879F2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  <w:r w:rsidRPr="003879F2">
        <w:rPr>
          <w:rFonts w:ascii="Times New Roman" w:hAnsi="Times New Roman" w:cs="Times New Roman"/>
          <w:noProof/>
          <w:sz w:val="26"/>
          <w:szCs w:val="26"/>
          <w:lang w:eastAsia="zh-CN" w:bidi="th-TH"/>
        </w:rPr>
        <w:lastRenderedPageBreak/>
        <w:drawing>
          <wp:inline distT="0" distB="0" distL="0" distR="0">
            <wp:extent cx="4088130" cy="3054167"/>
            <wp:effectExtent l="0" t="0" r="762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05" cy="3056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9F2" w:rsidRDefault="003879F2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</w:p>
    <w:p w:rsidR="003879F2" w:rsidRDefault="003879F2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</w:p>
    <w:p w:rsidR="003879F2" w:rsidRDefault="003879F2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  <w:r w:rsidRPr="003879F2">
        <w:rPr>
          <w:rFonts w:ascii="Times New Roman" w:hAnsi="Times New Roman" w:cs="Times New Roman"/>
          <w:noProof/>
          <w:sz w:val="26"/>
          <w:szCs w:val="26"/>
          <w:lang w:eastAsia="zh-CN" w:bidi="th-TH"/>
        </w:rPr>
        <w:drawing>
          <wp:inline distT="0" distB="0" distL="0" distR="0">
            <wp:extent cx="4347210" cy="3247721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9" cy="324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9F2" w:rsidRDefault="003879F2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</w:p>
    <w:p w:rsidR="003879F2" w:rsidRDefault="003879F2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zh-CN" w:bidi="th-TH"/>
        </w:rPr>
        <w:lastRenderedPageBreak/>
        <w:drawing>
          <wp:inline distT="0" distB="0" distL="0" distR="0" wp14:anchorId="70DED348">
            <wp:extent cx="6117242" cy="3994150"/>
            <wp:effectExtent l="0" t="0" r="0" b="635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054" cy="39966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879F2" w:rsidRDefault="003879F2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</w:p>
    <w:p w:rsidR="003879F2" w:rsidRDefault="003879F2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zh-CN" w:bidi="th-TH"/>
        </w:rPr>
        <w:drawing>
          <wp:inline distT="0" distB="0" distL="0" distR="0" wp14:anchorId="018F7868">
            <wp:extent cx="5691272" cy="3716020"/>
            <wp:effectExtent l="0" t="0" r="508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455" cy="37180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879F2" w:rsidRDefault="003879F2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</w:p>
    <w:p w:rsidR="003879F2" w:rsidRPr="00EE60DE" w:rsidRDefault="003879F2" w:rsidP="00E52DF4">
      <w:pPr>
        <w:spacing w:after="0" w:line="240" w:lineRule="auto"/>
        <w:ind w:right="1133"/>
        <w:jc w:val="center"/>
        <w:rPr>
          <w:rFonts w:ascii="Times New Roman" w:hAnsi="Times New Roman" w:cs="Times New Roman"/>
          <w:sz w:val="26"/>
          <w:szCs w:val="26"/>
        </w:rPr>
      </w:pPr>
    </w:p>
    <w:sectPr w:rsidR="003879F2" w:rsidRPr="00EE60DE">
      <w:footerReference w:type="default" r:id="rId2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1A23" w:rsidRDefault="00261A23" w:rsidP="00437944">
      <w:pPr>
        <w:spacing w:after="0" w:line="240" w:lineRule="auto"/>
      </w:pPr>
      <w:r>
        <w:separator/>
      </w:r>
    </w:p>
  </w:endnote>
  <w:endnote w:type="continuationSeparator" w:id="0">
    <w:p w:rsidR="00261A23" w:rsidRDefault="00261A23" w:rsidP="00437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Bloomberg Fixed Unicode K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7944" w:rsidRDefault="00437944">
    <w:pPr>
      <w:pStyle w:val="Pidipa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27468A">
      <w:rPr>
        <w:caps/>
        <w:noProof/>
        <w:color w:val="5B9BD5" w:themeColor="accent1"/>
      </w:rPr>
      <w:t>4</w:t>
    </w:r>
    <w:r>
      <w:rPr>
        <w:caps/>
        <w:color w:val="5B9BD5" w:themeColor="accent1"/>
      </w:rPr>
      <w:fldChar w:fldCharType="end"/>
    </w:r>
  </w:p>
  <w:p w:rsidR="00437944" w:rsidRDefault="0043794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1A23" w:rsidRDefault="00261A23" w:rsidP="00437944">
      <w:pPr>
        <w:spacing w:after="0" w:line="240" w:lineRule="auto"/>
      </w:pPr>
      <w:r>
        <w:separator/>
      </w:r>
    </w:p>
  </w:footnote>
  <w:footnote w:type="continuationSeparator" w:id="0">
    <w:p w:rsidR="00261A23" w:rsidRDefault="00261A23" w:rsidP="004379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5168A8"/>
    <w:multiLevelType w:val="hybridMultilevel"/>
    <w:tmpl w:val="AA422828"/>
    <w:lvl w:ilvl="0" w:tplc="7248D5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6F6CA0"/>
    <w:multiLevelType w:val="hybridMultilevel"/>
    <w:tmpl w:val="296EEB2A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B33F80"/>
    <w:multiLevelType w:val="hybridMultilevel"/>
    <w:tmpl w:val="CA22280C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565F35"/>
    <w:multiLevelType w:val="hybridMultilevel"/>
    <w:tmpl w:val="296EEB2A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956"/>
    <w:rsid w:val="00017AE9"/>
    <w:rsid w:val="00066FD5"/>
    <w:rsid w:val="000E4103"/>
    <w:rsid w:val="000E5D63"/>
    <w:rsid w:val="00261A23"/>
    <w:rsid w:val="0027468A"/>
    <w:rsid w:val="002A32C6"/>
    <w:rsid w:val="00377D8F"/>
    <w:rsid w:val="003879F2"/>
    <w:rsid w:val="003E4B28"/>
    <w:rsid w:val="00437944"/>
    <w:rsid w:val="004B56E6"/>
    <w:rsid w:val="00542AA9"/>
    <w:rsid w:val="0057599A"/>
    <w:rsid w:val="00592376"/>
    <w:rsid w:val="00597ECE"/>
    <w:rsid w:val="005B6BDA"/>
    <w:rsid w:val="005C5026"/>
    <w:rsid w:val="006657DD"/>
    <w:rsid w:val="00685D68"/>
    <w:rsid w:val="006B431F"/>
    <w:rsid w:val="006F633B"/>
    <w:rsid w:val="007D1A42"/>
    <w:rsid w:val="007D47E2"/>
    <w:rsid w:val="00845956"/>
    <w:rsid w:val="008801A4"/>
    <w:rsid w:val="00995A96"/>
    <w:rsid w:val="009D4D81"/>
    <w:rsid w:val="00A914CF"/>
    <w:rsid w:val="00D8758E"/>
    <w:rsid w:val="00DA7338"/>
    <w:rsid w:val="00DC211C"/>
    <w:rsid w:val="00DE1933"/>
    <w:rsid w:val="00E52DF4"/>
    <w:rsid w:val="00EE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DFA24E"/>
  <w15:chartTrackingRefBased/>
  <w15:docId w15:val="{9C7A168F-7073-4D52-A7E1-D4D00F6A0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759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592376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92376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43794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37944"/>
  </w:style>
  <w:style w:type="paragraph" w:styleId="Pidipagina">
    <w:name w:val="footer"/>
    <w:basedOn w:val="Normale"/>
    <w:link w:val="PidipaginaCarattere"/>
    <w:uiPriority w:val="99"/>
    <w:unhideWhenUsed/>
    <w:rsid w:val="0043794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37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emf"/><Relationship Id="rId7" Type="http://schemas.openxmlformats.org/officeDocument/2006/relationships/hyperlink" Target="mailto:pomante@benchmarkandstyle.com" TargetMode="Externa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23" Type="http://schemas.openxmlformats.org/officeDocument/2006/relationships/image" Target="media/image16.png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ugo.pomante@libero.it</dc:creator>
  <cp:keywords/>
  <dc:description/>
  <cp:lastModifiedBy>Administrator</cp:lastModifiedBy>
  <cp:revision>34</cp:revision>
  <dcterms:created xsi:type="dcterms:W3CDTF">2022-01-18T10:28:00Z</dcterms:created>
  <dcterms:modified xsi:type="dcterms:W3CDTF">2022-03-25T13:09:00Z</dcterms:modified>
</cp:coreProperties>
</file>