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Proyecto Integrador - Módulo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y Modelado de Ventas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u w:val="single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Alejandro N. Herrera Soria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Tecnologías utilizadas</w:t>
      </w:r>
      <w:r w:rsidDel="00000000" w:rsidR="00000000" w:rsidRPr="00000000">
        <w:rPr>
          <w:rtl w:val="0"/>
        </w:rPr>
        <w:t xml:space="preserve">: SQL (MySQL), Python, Pandas, Jupyter Notebook (VSC), GitHub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Este proyecto aborda la exploración, transformación, automatización y preparación de datos de ventas para su posterior análisis y modelado. Se divide en tres avances técnicos complementarios y progresivos que profundizan desde consultas SQL hasta ingeniería de features en Python.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1: Consultas SQL Avanzadas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Explorar el conjunto de datos mediante consultas avanzadas con: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Funciones de agregación y ventana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Análisis de concentración de ventas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Identificación de productos líderes, clientes y vendedores clave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Destacados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Ranking de productos más vendidos y sus vendedores top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Distribución de clientes por producto y adopción relativa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Proporción de ventas dentro de categorías (con funciones ventana)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Ranking de productos dentro de cada categoría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*Se entrega script SQL completo + capturas y análisis breves de cada consulta.*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2: Automatización y Optimización SQL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Mejorar la eficiencia operativa y trazabilidad del sistema de ventas.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Componentes clave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- Vistas: creación de vistas reutilizables para las consultas críticas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 Procedimientos almacenados: automatización de operaciones de extracción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 Trigger: activación que registra si un producto supera las 200.000 unidades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- Benchmarking: comparación de tiempos de ejecución antes y después de aplicar índices estratégicos (individuales y compuestos)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*Se entrega script completo con comparación de tiempos comentados en el propio script*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3: Limpieza, Feature Engineering y Preparación para ML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Transformar los datos en un dataset listo para un proyecto de machine learning.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Procesos realizados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 Carga de datasets en Pandas desde archivos `.csv`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 Limpieza y validación (nulos, descuentos anómalos, precios cero)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Cálculo de `TotalPriceCalculated` desde `Quantity`, `Price` y `Discount`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 Detección de outliers vía IQR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 Análisis temporal: hora de venta + clasificación "entre semana / fin de semana"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- Feature engineering:</w:t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Edad al momento de contratación (`EdadContratacion`)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Años de experiencia al momento de venta (`AniosExperiencia`)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 Generación de `dataset_modelado.csv` para modelos de ML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Transformaciones finales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- Variables categóricas transformadas con one-hot encoding (`TipoDia`)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 Variables numéricas conservadas (con opción a escalar si el modelo lo requiere)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- `TotalPriceCalculated` permanece sin modificar como variable objetivo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Entregados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- `.venv` 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- `avance1_consultas.sql` 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- `avance2_automatizacion_y_triggers.sql` 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 `avance3_notebook.ipynb` 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- `data`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- ‘script_sql’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- ‘.gitignore’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- `</w:t>
      </w:r>
      <w:r w:rsidDel="00000000" w:rsidR="00000000" w:rsidRPr="00000000">
        <w:rPr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- ‘requirements.txt’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