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A624C" w14:textId="77777777" w:rsidR="007D5638" w:rsidRDefault="007D5638" w:rsidP="007D5638">
      <w:pPr>
        <w:pStyle w:val="Paragrafoelenco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49177315"/>
      <w:r>
        <w:rPr>
          <w:rFonts w:ascii="Times New Roman" w:hAnsi="Times New Roman" w:cs="Times New Roman"/>
          <w:b/>
          <w:bCs/>
          <w:sz w:val="28"/>
          <w:szCs w:val="28"/>
        </w:rPr>
        <w:t>Strutture monometalliche</w:t>
      </w:r>
      <w:bookmarkEnd w:id="0"/>
    </w:p>
    <w:p w14:paraId="7189C696" w14:textId="77777777" w:rsidR="007D5638" w:rsidRPr="00E328CF" w:rsidRDefault="007D5638" w:rsidP="007D56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94658C" w14:textId="3D8806BF" w:rsidR="007D5638" w:rsidRDefault="007D5638" w:rsidP="007D56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Dopo aver ottenuto gli spettri XPS presso la linea di luce </w:t>
      </w:r>
      <w:proofErr w:type="spellStart"/>
      <w:r w:rsidR="00A36DB7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LOISA</w:t>
      </w:r>
      <w:proofErr w:type="spellEnd"/>
      <w:r>
        <w:rPr>
          <w:rFonts w:ascii="Times New Roman" w:hAnsi="Times New Roman" w:cs="Times New Roman"/>
        </w:rPr>
        <w:t xml:space="preserve"> dovevamo comprendere la fisica del sistema, e quindi capire come fittare ogni spettro.</w:t>
      </w:r>
    </w:p>
    <w:p w14:paraId="51088BD8" w14:textId="3E29A4D7" w:rsidR="007D5638" w:rsidRDefault="007D5638" w:rsidP="007D56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Basandoci sul lavoro di Yang Li </w:t>
      </w:r>
      <w:bookmarkStart w:id="1" w:name="_Hlk46987753"/>
      <w:r>
        <w:rPr>
          <w:rFonts w:ascii="Times New Roman" w:hAnsi="Times New Roman" w:cs="Times New Roman"/>
        </w:rPr>
        <w:t xml:space="preserve">[25], </w:t>
      </w:r>
      <w:bookmarkEnd w:id="1"/>
      <w:r>
        <w:rPr>
          <w:rFonts w:ascii="Times New Roman" w:hAnsi="Times New Roman" w:cs="Times New Roman"/>
        </w:rPr>
        <w:t xml:space="preserve">il miglior </w:t>
      </w:r>
      <w:proofErr w:type="spellStart"/>
      <w:r>
        <w:rPr>
          <w:rFonts w:ascii="Times New Roman" w:hAnsi="Times New Roman" w:cs="Times New Roman"/>
        </w:rPr>
        <w:t>fit</w:t>
      </w:r>
      <w:proofErr w:type="spellEnd"/>
      <w:r>
        <w:rPr>
          <w:rFonts w:ascii="Times New Roman" w:hAnsi="Times New Roman" w:cs="Times New Roman"/>
        </w:rPr>
        <w:t xml:space="preserve"> degli spettri del livello di core 1s dell’azoto è stato ottenuto utilizzando come funzione di </w:t>
      </w:r>
      <w:proofErr w:type="spellStart"/>
      <w:r>
        <w:rPr>
          <w:rFonts w:ascii="Times New Roman" w:hAnsi="Times New Roman" w:cs="Times New Roman"/>
        </w:rPr>
        <w:t>fit</w:t>
      </w:r>
      <w:proofErr w:type="spellEnd"/>
      <w:r>
        <w:rPr>
          <w:rFonts w:ascii="Times New Roman" w:hAnsi="Times New Roman" w:cs="Times New Roman"/>
        </w:rPr>
        <w:t xml:space="preserve"> la somma di due </w:t>
      </w:r>
      <w:proofErr w:type="spellStart"/>
      <w:r w:rsidR="006E3D9C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oigt</w:t>
      </w:r>
      <w:proofErr w:type="spellEnd"/>
      <w:r>
        <w:rPr>
          <w:rFonts w:ascii="Times New Roman" w:hAnsi="Times New Roman" w:cs="Times New Roman"/>
        </w:rPr>
        <w:t xml:space="preserve"> e di un profilo gaussiano. Le prime sono state utilizzate per la descrizione del contributo dell’azoto pirrolico e piridinico</w:t>
      </w:r>
      <w:r>
        <w:rPr>
          <w:rStyle w:val="Rimandonotaapidipagina"/>
          <w:rFonts w:ascii="Times New Roman" w:hAnsi="Times New Roman" w:cs="Times New Roman"/>
        </w:rPr>
        <w:footnoteReference w:id="1"/>
      </w:r>
      <w:r>
        <w:rPr>
          <w:rFonts w:ascii="Times New Roman" w:hAnsi="Times New Roman" w:cs="Times New Roman"/>
        </w:rPr>
        <w:t xml:space="preserve">, la gaussiana è stata introdotta per la descrizione del contributo </w:t>
      </w:r>
      <w:proofErr w:type="spellStart"/>
      <w:r>
        <w:rPr>
          <w:rFonts w:ascii="Times New Roman" w:hAnsi="Times New Roman" w:cs="Times New Roman"/>
        </w:rPr>
        <w:t>inlastico</w:t>
      </w:r>
      <w:proofErr w:type="spellEnd"/>
      <w:r>
        <w:rPr>
          <w:rFonts w:ascii="Times New Roman" w:hAnsi="Times New Roman" w:cs="Times New Roman"/>
        </w:rPr>
        <w:t>.</w:t>
      </w:r>
    </w:p>
    <w:p w14:paraId="4FE9AB18" w14:textId="318184C0" w:rsidR="007D5638" w:rsidRDefault="007D5638" w:rsidP="007D56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Le due </w:t>
      </w:r>
      <w:proofErr w:type="spellStart"/>
      <w:r w:rsidR="00AE221D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oigt</w:t>
      </w:r>
      <w:proofErr w:type="spellEnd"/>
      <w:r>
        <w:rPr>
          <w:rFonts w:ascii="Times New Roman" w:hAnsi="Times New Roman" w:cs="Times New Roman"/>
        </w:rPr>
        <w:t xml:space="preserve"> presentano la stessa forma di riga perché abbiamo supposto, in prima approssimazione, che il diverso ambiente chimico della componente pirrolica e piridinica non andasse a influenzare il tempo di vita medio e l’allargamento gaussiano.</w:t>
      </w:r>
    </w:p>
    <w:p w14:paraId="52559873" w14:textId="3A12DCB6" w:rsidR="007D5638" w:rsidRDefault="007D5638" w:rsidP="007D56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Introducendo una seconda approssimazione considerando la stechiometria della molecola </w:t>
      </w:r>
      <w:proofErr w:type="spellStart"/>
      <w:r>
        <w:rPr>
          <w:rFonts w:ascii="Times New Roman" w:hAnsi="Times New Roman" w:cs="Times New Roman"/>
        </w:rPr>
        <w:t>PyP</w:t>
      </w:r>
      <w:proofErr w:type="spellEnd"/>
      <w:r>
        <w:rPr>
          <w:rFonts w:ascii="Times New Roman" w:hAnsi="Times New Roman" w:cs="Times New Roman"/>
        </w:rPr>
        <w:t xml:space="preserve">, abbiamo imposto che le </w:t>
      </w:r>
      <w:proofErr w:type="spellStart"/>
      <w:r w:rsidR="006E3D9C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oigt</w:t>
      </w:r>
      <w:proofErr w:type="spellEnd"/>
      <w:r>
        <w:rPr>
          <w:rFonts w:ascii="Times New Roman" w:hAnsi="Times New Roman" w:cs="Times New Roman"/>
        </w:rPr>
        <w:t xml:space="preserve"> avessero la stessa ampiezza.</w:t>
      </w:r>
    </w:p>
    <w:p w14:paraId="38C660B9" w14:textId="77777777" w:rsidR="007D5638" w:rsidRDefault="007D5638" w:rsidP="007D56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Prendiamo in considerazione i sistemi a temperatura ambiente e concentriamoci sul sistema </w:t>
      </w:r>
      <w:proofErr w:type="spellStart"/>
      <w:r>
        <w:rPr>
          <w:rFonts w:ascii="Times New Roman" w:hAnsi="Times New Roman" w:cs="Times New Roman"/>
        </w:rPr>
        <w:t>CoTPyP</w:t>
      </w:r>
      <w:proofErr w:type="spellEnd"/>
      <w:r>
        <w:rPr>
          <w:rFonts w:ascii="Times New Roman" w:hAnsi="Times New Roman" w:cs="Times New Roman"/>
        </w:rPr>
        <w:t>/Gr/</w:t>
      </w:r>
      <w:proofErr w:type="spellStart"/>
      <w:r>
        <w:rPr>
          <w:rFonts w:ascii="Times New Roman" w:hAnsi="Times New Roman" w:cs="Times New Roman"/>
        </w:rPr>
        <w:t>Ir</w:t>
      </w:r>
      <w:proofErr w:type="spellEnd"/>
      <w:r>
        <w:rPr>
          <w:rFonts w:ascii="Times New Roman" w:hAnsi="Times New Roman" w:cs="Times New Roman"/>
        </w:rPr>
        <w:t>(111) (fig. 3.1). In questo caso l’azoto pirrolico risulta essere centrato a 398.6 eV e l’azoto piridinico a 398.9 eV, mentre il contributo inelastico a 399.6 eV.</w:t>
      </w:r>
    </w:p>
    <w:p w14:paraId="2D797718" w14:textId="0501353F" w:rsidR="007D5638" w:rsidRDefault="007D5638" w:rsidP="007D56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Il valore della </w:t>
      </w:r>
      <w:proofErr w:type="spellStart"/>
      <w:r>
        <w:rPr>
          <w:rFonts w:ascii="Times New Roman" w:hAnsi="Times New Roman" w:cs="Times New Roman"/>
        </w:rPr>
        <w:t>lorentziana</w:t>
      </w:r>
      <w:proofErr w:type="spellEnd"/>
      <w:r>
        <w:rPr>
          <w:rFonts w:ascii="Times New Roman" w:hAnsi="Times New Roman" w:cs="Times New Roman"/>
        </w:rPr>
        <w:t xml:space="preserve"> ottenuta dal </w:t>
      </w:r>
      <w:proofErr w:type="spellStart"/>
      <w:r>
        <w:rPr>
          <w:rFonts w:ascii="Times New Roman" w:hAnsi="Times New Roman" w:cs="Times New Roman"/>
        </w:rPr>
        <w:t>fit</w:t>
      </w:r>
      <w:proofErr w:type="spellEnd"/>
      <w:r>
        <w:rPr>
          <w:rFonts w:ascii="Times New Roman" w:hAnsi="Times New Roman" w:cs="Times New Roman"/>
        </w:rPr>
        <w:t xml:space="preserve"> è </w:t>
      </w:r>
      <m:oMath>
        <m:r>
          <m:rPr>
            <m:sty m:val="p"/>
          </m:rPr>
          <w:rPr>
            <w:rFonts w:ascii="Cambria Math" w:hAnsi="Cambria Math" w:cs="Times New Roman"/>
          </w:rPr>
          <m:t>Γ</m:t>
        </m:r>
        <m:r>
          <w:rPr>
            <w:rFonts w:ascii="Cambria Math" w:hAnsi="Cambria Math" w:cs="Times New Roman"/>
          </w:rPr>
          <m:t>=0.083 ± 0.014</m:t>
        </m:r>
      </m:oMath>
      <w:r>
        <w:rPr>
          <w:rFonts w:ascii="Times New Roman" w:eastAsiaTheme="minorEastAsia" w:hAnsi="Times New Roman" w:cs="Times New Roman"/>
        </w:rPr>
        <w:t xml:space="preserve"> eV. Per ridurre i gradi di libertà nel sistema </w:t>
      </w:r>
      <w:proofErr w:type="spellStart"/>
      <w:r>
        <w:rPr>
          <w:rFonts w:ascii="Times New Roman" w:hAnsi="Times New Roman" w:cs="Times New Roman"/>
        </w:rPr>
        <w:t>FeTPyP</w:t>
      </w:r>
      <w:proofErr w:type="spellEnd"/>
      <w:r>
        <w:rPr>
          <w:rFonts w:ascii="Times New Roman" w:hAnsi="Times New Roman" w:cs="Times New Roman"/>
        </w:rPr>
        <w:t>/Gr/</w:t>
      </w:r>
      <w:proofErr w:type="spellStart"/>
      <w:r>
        <w:rPr>
          <w:rFonts w:ascii="Times New Roman" w:hAnsi="Times New Roman" w:cs="Times New Roman"/>
        </w:rPr>
        <w:t>Ir</w:t>
      </w:r>
      <w:proofErr w:type="spellEnd"/>
      <w:r>
        <w:rPr>
          <w:rFonts w:ascii="Times New Roman" w:hAnsi="Times New Roman" w:cs="Times New Roman"/>
        </w:rPr>
        <w:t xml:space="preserve">(111) tale parametro è rimasto </w:t>
      </w:r>
      <w:r w:rsidR="00A36DB7">
        <w:rPr>
          <w:rFonts w:ascii="Times New Roman" w:hAnsi="Times New Roman" w:cs="Times New Roman"/>
        </w:rPr>
        <w:t>inalterato</w:t>
      </w:r>
      <w:r>
        <w:rPr>
          <w:rFonts w:ascii="Times New Roman" w:hAnsi="Times New Roman" w:cs="Times New Roman"/>
        </w:rPr>
        <w:t>.</w:t>
      </w:r>
    </w:p>
    <w:p w14:paraId="27DA9E0D" w14:textId="77777777" w:rsidR="007D5638" w:rsidRDefault="007D5638" w:rsidP="007D56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Per quest’ultimo sistema (fig. 3.2) il contributo pirrolico è centrato a 398.5 eV, mentre il piridinico a 398.9 eV, e lo shake up a </w:t>
      </w:r>
      <w:r w:rsidRPr="001D41A7">
        <w:rPr>
          <w:rFonts w:ascii="Times New Roman" w:hAnsi="Times New Roman" w:cs="Times New Roman"/>
        </w:rPr>
        <w:t>399.9</w:t>
      </w:r>
      <w:r>
        <w:rPr>
          <w:rFonts w:ascii="Times New Roman" w:hAnsi="Times New Roman" w:cs="Times New Roman"/>
        </w:rPr>
        <w:t xml:space="preserve"> eV.</w:t>
      </w:r>
    </w:p>
    <w:p w14:paraId="08EE1365" w14:textId="77777777" w:rsidR="007D5638" w:rsidRDefault="007D5638" w:rsidP="007D5638">
      <w:pPr>
        <w:spacing w:after="0"/>
        <w:rPr>
          <w:rFonts w:ascii="Times New Roman" w:hAnsi="Times New Roman" w:cs="Times New Roman"/>
        </w:rPr>
      </w:pPr>
    </w:p>
    <w:p w14:paraId="306AC5C9" w14:textId="77777777" w:rsidR="007D5638" w:rsidRDefault="007D5638" w:rsidP="007D5638">
      <w:pPr>
        <w:keepNext/>
        <w:spacing w:after="0"/>
        <w:jc w:val="center"/>
      </w:pPr>
      <w:r w:rsidRPr="00F65B0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6262FF" wp14:editId="627C8AEE">
            <wp:extent cx="3546764" cy="5221605"/>
            <wp:effectExtent l="0" t="0" r="0" b="0"/>
            <wp:docPr id="17" name="Immagine 1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TPyP_LI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"/>
                    <a:stretch/>
                  </pic:blipFill>
                  <pic:spPr bwMode="auto">
                    <a:xfrm>
                      <a:off x="0" y="0"/>
                      <a:ext cx="3588705" cy="528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27D6D" w14:textId="77777777" w:rsidR="007D5638" w:rsidRDefault="007D5638" w:rsidP="007D5638">
      <w:pPr>
        <w:keepNext/>
        <w:spacing w:after="0"/>
        <w:jc w:val="center"/>
      </w:pPr>
    </w:p>
    <w:p w14:paraId="2B026410" w14:textId="77777777" w:rsidR="007D5638" w:rsidRDefault="007D5638" w:rsidP="007D5638">
      <w:pPr>
        <w:pStyle w:val="Didascali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FA3A10">
        <w:rPr>
          <w:rFonts w:ascii="Times New Roman" w:hAnsi="Times New Roman" w:cs="Times New Roman"/>
          <w:color w:val="auto"/>
          <w:sz w:val="22"/>
          <w:szCs w:val="22"/>
        </w:rPr>
        <w:t xml:space="preserve">Figura </w:t>
      </w:r>
      <w:r>
        <w:rPr>
          <w:rFonts w:ascii="Times New Roman" w:hAnsi="Times New Roman" w:cs="Times New Roman"/>
          <w:color w:val="auto"/>
          <w:sz w:val="22"/>
          <w:szCs w:val="22"/>
        </w:rPr>
        <w:t>3.1</w:t>
      </w:r>
      <w:r w:rsidRPr="00FA3A10">
        <w:rPr>
          <w:rFonts w:ascii="Times New Roman" w:hAnsi="Times New Roman" w:cs="Times New Roman"/>
          <w:color w:val="auto"/>
          <w:sz w:val="22"/>
          <w:szCs w:val="22"/>
        </w:rPr>
        <w:t xml:space="preserve"> Spettri relativi allo studio dei livelli di core N 1s del sistema </w:t>
      </w:r>
      <w:proofErr w:type="spellStart"/>
      <w:r w:rsidRPr="00FA3A10">
        <w:rPr>
          <w:rFonts w:ascii="Times New Roman" w:hAnsi="Times New Roman" w:cs="Times New Roman"/>
          <w:color w:val="auto"/>
          <w:sz w:val="22"/>
          <w:szCs w:val="22"/>
        </w:rPr>
        <w:t>CoTPyP</w:t>
      </w:r>
      <w:proofErr w:type="spellEnd"/>
      <w:r w:rsidRPr="00FA3A10">
        <w:rPr>
          <w:rFonts w:ascii="Times New Roman" w:hAnsi="Times New Roman" w:cs="Times New Roman"/>
          <w:color w:val="auto"/>
          <w:sz w:val="22"/>
          <w:szCs w:val="22"/>
        </w:rPr>
        <w:t>/Gr/</w:t>
      </w:r>
      <w:proofErr w:type="spellStart"/>
      <w:r w:rsidRPr="00FA3A10">
        <w:rPr>
          <w:rFonts w:ascii="Times New Roman" w:hAnsi="Times New Roman" w:cs="Times New Roman"/>
          <w:color w:val="auto"/>
          <w:sz w:val="22"/>
          <w:szCs w:val="22"/>
        </w:rPr>
        <w:t>Ir</w:t>
      </w:r>
      <w:proofErr w:type="spellEnd"/>
      <w:r w:rsidRPr="00FA3A10">
        <w:rPr>
          <w:rFonts w:ascii="Times New Roman" w:hAnsi="Times New Roman" w:cs="Times New Roman"/>
          <w:color w:val="auto"/>
          <w:sz w:val="22"/>
          <w:szCs w:val="22"/>
        </w:rPr>
        <w:t xml:space="preserve">(111) da temperatura ambiente </w:t>
      </w:r>
      <w:r>
        <w:rPr>
          <w:rFonts w:ascii="Times New Roman" w:hAnsi="Times New Roman" w:cs="Times New Roman"/>
          <w:color w:val="auto"/>
          <w:sz w:val="22"/>
          <w:szCs w:val="22"/>
        </w:rPr>
        <w:t>a</w:t>
      </w:r>
      <w:r w:rsidRPr="00FA3A10">
        <w:rPr>
          <w:rFonts w:ascii="Times New Roman" w:hAnsi="Times New Roman" w:cs="Times New Roman"/>
          <w:color w:val="auto"/>
          <w:sz w:val="22"/>
          <w:szCs w:val="22"/>
        </w:rPr>
        <w:t xml:space="preserve"> 973 K. Colori delle linee: il verde si riferisce all'azoto pirrolico, magenta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all’azoto </w:t>
      </w:r>
      <w:r w:rsidRPr="00FA3A10">
        <w:rPr>
          <w:rFonts w:ascii="Times New Roman" w:hAnsi="Times New Roman" w:cs="Times New Roman"/>
          <w:color w:val="auto"/>
          <w:sz w:val="22"/>
          <w:szCs w:val="22"/>
        </w:rPr>
        <w:t>piridi</w:t>
      </w:r>
      <w:r>
        <w:rPr>
          <w:rFonts w:ascii="Times New Roman" w:hAnsi="Times New Roman" w:cs="Times New Roman"/>
          <w:color w:val="auto"/>
          <w:sz w:val="22"/>
          <w:szCs w:val="22"/>
        </w:rPr>
        <w:t>n</w:t>
      </w:r>
      <w:r w:rsidRPr="00FA3A10">
        <w:rPr>
          <w:rFonts w:ascii="Times New Roman" w:hAnsi="Times New Roman" w:cs="Times New Roman"/>
          <w:color w:val="auto"/>
          <w:sz w:val="22"/>
          <w:szCs w:val="22"/>
        </w:rPr>
        <w:t xml:space="preserve">ico e 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il </w:t>
      </w:r>
      <w:r w:rsidRPr="00FA3A10">
        <w:rPr>
          <w:rFonts w:ascii="Times New Roman" w:hAnsi="Times New Roman" w:cs="Times New Roman"/>
          <w:color w:val="auto"/>
          <w:sz w:val="22"/>
          <w:szCs w:val="22"/>
        </w:rPr>
        <w:t>rosso al picco satellite. L'intensità degli spettri a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648 K e 973 K è stata moltiplicata rispettivamente per un fattore pari a 4 e 3 per rendere lo spettro più comprensibile.</w:t>
      </w:r>
    </w:p>
    <w:p w14:paraId="15C58CC3" w14:textId="77777777" w:rsidR="007D5638" w:rsidRPr="001611C4" w:rsidRDefault="007D5638" w:rsidP="007D5638"/>
    <w:p w14:paraId="56B5CB3D" w14:textId="77777777" w:rsidR="007D5638" w:rsidRDefault="007D5638" w:rsidP="007D56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 entrambi i sistemi il </w:t>
      </w:r>
      <w:proofErr w:type="spellStart"/>
      <w:r>
        <w:rPr>
          <w:rFonts w:ascii="Times New Roman" w:hAnsi="Times New Roman" w:cs="Times New Roman"/>
        </w:rPr>
        <w:t>fit</w:t>
      </w:r>
      <w:proofErr w:type="spellEnd"/>
      <w:r>
        <w:rPr>
          <w:rFonts w:ascii="Times New Roman" w:hAnsi="Times New Roman" w:cs="Times New Roman"/>
        </w:rPr>
        <w:t xml:space="preserve"> fatto dopo il primo riscaldamento (473 K per </w:t>
      </w:r>
      <w:proofErr w:type="spellStart"/>
      <w:r>
        <w:rPr>
          <w:rFonts w:ascii="Times New Roman" w:hAnsi="Times New Roman" w:cs="Times New Roman"/>
        </w:rPr>
        <w:t>CoTPyP</w:t>
      </w:r>
      <w:proofErr w:type="spellEnd"/>
      <w:r>
        <w:rPr>
          <w:rFonts w:ascii="Times New Roman" w:hAnsi="Times New Roman" w:cs="Times New Roman"/>
        </w:rPr>
        <w:t xml:space="preserve"> e 548 K per </w:t>
      </w:r>
      <w:proofErr w:type="spellStart"/>
      <w:r>
        <w:rPr>
          <w:rFonts w:ascii="Times New Roman" w:hAnsi="Times New Roman" w:cs="Times New Roman"/>
        </w:rPr>
        <w:t>FeTPyP</w:t>
      </w:r>
      <w:proofErr w:type="spellEnd"/>
      <w:r>
        <w:rPr>
          <w:rFonts w:ascii="Times New Roman" w:hAnsi="Times New Roman" w:cs="Times New Roman"/>
        </w:rPr>
        <w:t>) è analogo all’approccio utilizzato per lo spettro a RT.</w:t>
      </w:r>
    </w:p>
    <w:p w14:paraId="1742B80F" w14:textId="77777777" w:rsidR="007D5638" w:rsidRDefault="007D5638" w:rsidP="007D56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Abbiamo tenuto bloccato il parametro </w:t>
      </w:r>
      <w:proofErr w:type="spellStart"/>
      <w:r>
        <w:rPr>
          <w:rFonts w:ascii="Times New Roman" w:hAnsi="Times New Roman" w:cs="Times New Roman"/>
        </w:rPr>
        <w:t>lorentziano</w:t>
      </w:r>
      <w:proofErr w:type="spellEnd"/>
      <w:r>
        <w:rPr>
          <w:rFonts w:ascii="Times New Roman" w:hAnsi="Times New Roman" w:cs="Times New Roman"/>
        </w:rPr>
        <w:t xml:space="preserve"> a quello del caso precedente, mentre la componente gaussiana è lasciata libera in quanto al crescere della temperatura ci si aspetta un riordinamento geometrico del sistema.</w:t>
      </w:r>
    </w:p>
    <w:p w14:paraId="759BC334" w14:textId="77777777" w:rsidR="007D5638" w:rsidRDefault="007D5638" w:rsidP="007D563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     Tale riordinamento però non è significativo, la larghezza gaussiana G, passa da </w:t>
      </w:r>
      <m:oMath>
        <m:r>
          <w:rPr>
            <w:rFonts w:ascii="Cambria Math" w:hAnsi="Cambria Math" w:cs="Times New Roman"/>
          </w:rPr>
          <m:t>0.75±0.10</m:t>
        </m:r>
      </m:oMath>
      <w:r>
        <w:rPr>
          <w:rFonts w:ascii="Times New Roman" w:eastAsiaTheme="minorEastAsia" w:hAnsi="Times New Roman" w:cs="Times New Roman"/>
        </w:rPr>
        <w:t xml:space="preserve"> eV </w:t>
      </w:r>
      <w:r>
        <w:rPr>
          <w:rFonts w:ascii="Times New Roman" w:hAnsi="Times New Roman" w:cs="Times New Roman"/>
        </w:rPr>
        <w:t xml:space="preserve">a </w:t>
      </w:r>
      <m:oMath>
        <m:r>
          <w:rPr>
            <w:rFonts w:ascii="Cambria Math" w:hAnsi="Cambria Math" w:cs="Times New Roman"/>
          </w:rPr>
          <m:t>0.69±</m:t>
        </m:r>
        <m:r>
          <w:rPr>
            <w:rFonts w:ascii="Cambria Math" w:eastAsiaTheme="minorEastAsia" w:hAnsi="Cambria Math" w:cs="Times New Roman"/>
          </w:rPr>
          <m:t>0.04</m:t>
        </m:r>
      </m:oMath>
      <w:r>
        <w:rPr>
          <w:rFonts w:ascii="Times New Roman" w:eastAsiaTheme="minorEastAsia" w:hAnsi="Times New Roman" w:cs="Times New Roman"/>
        </w:rPr>
        <w:t xml:space="preserve"> eV</w:t>
      </w:r>
      <w:r>
        <w:rPr>
          <w:rFonts w:ascii="Times New Roman" w:hAnsi="Times New Roman" w:cs="Times New Roman"/>
        </w:rPr>
        <w:t xml:space="preserve">, nel sistema delle </w:t>
      </w:r>
      <w:proofErr w:type="spellStart"/>
      <w:r>
        <w:rPr>
          <w:rFonts w:ascii="Times New Roman" w:hAnsi="Times New Roman" w:cs="Times New Roman"/>
        </w:rPr>
        <w:t>CoTPyP</w:t>
      </w:r>
      <w:proofErr w:type="spellEnd"/>
      <w:r>
        <w:rPr>
          <w:rFonts w:ascii="Times New Roman" w:hAnsi="Times New Roman" w:cs="Times New Roman"/>
        </w:rPr>
        <w:t>/Gr/</w:t>
      </w:r>
      <w:proofErr w:type="spellStart"/>
      <w:r>
        <w:rPr>
          <w:rFonts w:ascii="Times New Roman" w:hAnsi="Times New Roman" w:cs="Times New Roman"/>
        </w:rPr>
        <w:t>Ir</w:t>
      </w:r>
      <w:proofErr w:type="spellEnd"/>
      <w:r>
        <w:rPr>
          <w:rFonts w:ascii="Times New Roman" w:hAnsi="Times New Roman" w:cs="Times New Roman"/>
        </w:rPr>
        <w:t>(111) durante la transizione a 473 K, mentre</w:t>
      </w:r>
      <w:r>
        <w:rPr>
          <w:rFonts w:ascii="Times New Roman" w:eastAsiaTheme="minorEastAsia" w:hAnsi="Times New Roman" w:cs="Times New Roman"/>
        </w:rPr>
        <w:t xml:space="preserve"> nel sistema </w:t>
      </w:r>
      <w:proofErr w:type="spellStart"/>
      <w:r>
        <w:rPr>
          <w:rFonts w:ascii="Times New Roman" w:eastAsiaTheme="minorEastAsia" w:hAnsi="Times New Roman" w:cs="Times New Roman"/>
        </w:rPr>
        <w:t>FeTPyP</w:t>
      </w:r>
      <w:proofErr w:type="spellEnd"/>
      <w:r>
        <w:rPr>
          <w:rFonts w:ascii="Times New Roman" w:eastAsiaTheme="minorEastAsia" w:hAnsi="Times New Roman" w:cs="Times New Roman"/>
        </w:rPr>
        <w:t>/Gr/</w:t>
      </w:r>
      <w:proofErr w:type="spellStart"/>
      <w:r>
        <w:rPr>
          <w:rFonts w:ascii="Times New Roman" w:eastAsiaTheme="minorEastAsia" w:hAnsi="Times New Roman" w:cs="Times New Roman"/>
        </w:rPr>
        <w:t>Ir</w:t>
      </w:r>
      <w:proofErr w:type="spellEnd"/>
      <w:r>
        <w:rPr>
          <w:rFonts w:ascii="Times New Roman" w:eastAsiaTheme="minorEastAsia" w:hAnsi="Times New Roman" w:cs="Times New Roman"/>
        </w:rPr>
        <w:t xml:space="preserve">(111) a 548 K si è passati da </w:t>
      </w:r>
      <m:oMath>
        <m:r>
          <w:rPr>
            <w:rFonts w:ascii="Cambria Math" w:hAnsi="Cambria Math" w:cs="Times New Roman"/>
          </w:rPr>
          <m:t>0.77±</m:t>
        </m:r>
        <m:r>
          <w:rPr>
            <w:rFonts w:ascii="Cambria Math" w:eastAsiaTheme="minorEastAsia" w:hAnsi="Cambria Math" w:cs="Times New Roman"/>
          </w:rPr>
          <m:t>0.03</m:t>
        </m:r>
      </m:oMath>
      <w:r>
        <w:rPr>
          <w:rFonts w:ascii="Times New Roman" w:eastAsiaTheme="minorEastAsia" w:hAnsi="Times New Roman" w:cs="Times New Roman"/>
        </w:rPr>
        <w:t xml:space="preserve"> eV a </w:t>
      </w:r>
      <m:oMath>
        <m:r>
          <w:rPr>
            <w:rFonts w:ascii="Cambria Math" w:hAnsi="Cambria Math" w:cs="Times New Roman"/>
          </w:rPr>
          <m:t>0.79±</m:t>
        </m:r>
        <m:r>
          <w:rPr>
            <w:rFonts w:ascii="Cambria Math" w:eastAsiaTheme="minorEastAsia" w:hAnsi="Cambria Math" w:cs="Times New Roman"/>
          </w:rPr>
          <m:t>0.06</m:t>
        </m:r>
      </m:oMath>
      <w:r>
        <w:rPr>
          <w:rFonts w:ascii="Times New Roman" w:eastAsiaTheme="minorEastAsia" w:hAnsi="Times New Roman" w:cs="Times New Roman"/>
        </w:rPr>
        <w:t xml:space="preserve"> eV.</w:t>
      </w:r>
    </w:p>
    <w:p w14:paraId="739CA516" w14:textId="77777777" w:rsidR="007D5638" w:rsidRDefault="007D5638" w:rsidP="007D563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Per i </w:t>
      </w:r>
      <w:proofErr w:type="spellStart"/>
      <w:r>
        <w:rPr>
          <w:rFonts w:ascii="Times New Roman" w:eastAsiaTheme="minorEastAsia" w:hAnsi="Times New Roman" w:cs="Times New Roman"/>
        </w:rPr>
        <w:t>fit</w:t>
      </w:r>
      <w:proofErr w:type="spellEnd"/>
      <w:r>
        <w:rPr>
          <w:rFonts w:ascii="Times New Roman" w:eastAsiaTheme="minorEastAsia" w:hAnsi="Times New Roman" w:cs="Times New Roman"/>
        </w:rPr>
        <w:t xml:space="preserve"> a temperature maggiori sono stati bloccati i parametri della forma di riga e posizione relativa dei picchi delle varie componenti spettroscopiche, mentre la posizione assoluta dell’intera forma di riga è stata lasciata libera.</w:t>
      </w:r>
    </w:p>
    <w:p w14:paraId="5B763F4B" w14:textId="77777777" w:rsidR="007D5638" w:rsidRDefault="007D5638" w:rsidP="007D563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Nel caso delle </w:t>
      </w:r>
      <w:proofErr w:type="spellStart"/>
      <w:r>
        <w:rPr>
          <w:rFonts w:ascii="Times New Roman" w:eastAsiaTheme="minorEastAsia" w:hAnsi="Times New Roman" w:cs="Times New Roman"/>
        </w:rPr>
        <w:t>CoTPyP</w:t>
      </w:r>
      <w:proofErr w:type="spellEnd"/>
      <w:r>
        <w:rPr>
          <w:rFonts w:ascii="Times New Roman" w:eastAsiaTheme="minorEastAsia" w:hAnsi="Times New Roman" w:cs="Times New Roman"/>
        </w:rPr>
        <w:t>/Gr/</w:t>
      </w:r>
      <w:proofErr w:type="spellStart"/>
      <w:r>
        <w:rPr>
          <w:rFonts w:ascii="Times New Roman" w:eastAsiaTheme="minorEastAsia" w:hAnsi="Times New Roman" w:cs="Times New Roman"/>
        </w:rPr>
        <w:t>Ir</w:t>
      </w:r>
      <w:proofErr w:type="spellEnd"/>
      <w:r>
        <w:rPr>
          <w:rFonts w:ascii="Times New Roman" w:eastAsiaTheme="minorEastAsia" w:hAnsi="Times New Roman" w:cs="Times New Roman"/>
        </w:rPr>
        <w:t>(111) a partire dai</w:t>
      </w:r>
      <w:r w:rsidRPr="00DB550A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548 K è stata aggiunta un’altra funzione di </w:t>
      </w:r>
      <w:proofErr w:type="spellStart"/>
      <w:r>
        <w:rPr>
          <w:rFonts w:ascii="Times New Roman" w:eastAsiaTheme="minorEastAsia" w:hAnsi="Times New Roman" w:cs="Times New Roman"/>
        </w:rPr>
        <w:t>fit</w:t>
      </w:r>
      <w:proofErr w:type="spellEnd"/>
      <w:r>
        <w:rPr>
          <w:rFonts w:ascii="Times New Roman" w:eastAsiaTheme="minorEastAsia" w:hAnsi="Times New Roman" w:cs="Times New Roman"/>
        </w:rPr>
        <w:t xml:space="preserve"> gaussiana a 401.5 eV associata ad un tipo di azoto che rimane incastonato nella maglia di grafene, l’azoto grafitico.   Sebbene sia una componente adiabatica, abbiamo deciso di fittarlo con un profilo gaussiano a causa del basso rapporto segnale-rumore.</w:t>
      </w:r>
    </w:p>
    <w:p w14:paraId="6266F54A" w14:textId="77777777" w:rsidR="007D5638" w:rsidRDefault="007D5638" w:rsidP="007D563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A 973 K è stata aggiunta un ulteriore contributo Voigt a 398.4 eV, associato ad una forte interazione tra alcune specie di azoto con il substrato.</w:t>
      </w:r>
      <w:r w:rsidRPr="00711E5D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Notiamo invece che nelle </w:t>
      </w:r>
      <w:proofErr w:type="spellStart"/>
      <w:r>
        <w:rPr>
          <w:rFonts w:ascii="Times New Roman" w:eastAsiaTheme="minorEastAsia" w:hAnsi="Times New Roman" w:cs="Times New Roman"/>
        </w:rPr>
        <w:t>FeTPyP</w:t>
      </w:r>
      <w:proofErr w:type="spellEnd"/>
      <w:r>
        <w:rPr>
          <w:rFonts w:ascii="Times New Roman" w:eastAsiaTheme="minorEastAsia" w:hAnsi="Times New Roman" w:cs="Times New Roman"/>
        </w:rPr>
        <w:t>/Gr/</w:t>
      </w:r>
      <w:proofErr w:type="spellStart"/>
      <w:r>
        <w:rPr>
          <w:rFonts w:ascii="Times New Roman" w:eastAsiaTheme="minorEastAsia" w:hAnsi="Times New Roman" w:cs="Times New Roman"/>
        </w:rPr>
        <w:t>Ir</w:t>
      </w:r>
      <w:proofErr w:type="spellEnd"/>
      <w:r>
        <w:rPr>
          <w:rFonts w:ascii="Times New Roman" w:eastAsiaTheme="minorEastAsia" w:hAnsi="Times New Roman" w:cs="Times New Roman"/>
        </w:rPr>
        <w:t>(111) a 973 K la specie di azoto pirrolica è l’unica componente rimanente.</w:t>
      </w:r>
      <w:r w:rsidRPr="00DE66C6">
        <w:rPr>
          <w:rFonts w:ascii="Times New Roman" w:eastAsiaTheme="minorEastAsia" w:hAnsi="Times New Roman" w:cs="Times New Roman"/>
          <w:noProof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   </w:t>
      </w:r>
    </w:p>
    <w:p w14:paraId="22DCF7F1" w14:textId="77777777" w:rsidR="007D5638" w:rsidRDefault="007D5638" w:rsidP="007D5638">
      <w:pPr>
        <w:spacing w:after="0"/>
        <w:rPr>
          <w:rFonts w:ascii="Times New Roman" w:eastAsiaTheme="minorEastAsia" w:hAnsi="Times New Roman" w:cs="Times New Roman"/>
        </w:rPr>
      </w:pPr>
    </w:p>
    <w:p w14:paraId="1220AD26" w14:textId="77777777" w:rsidR="007D5638" w:rsidRDefault="007D5638" w:rsidP="007D5638">
      <w:pPr>
        <w:spacing w:after="0"/>
        <w:rPr>
          <w:rFonts w:ascii="Times New Roman" w:eastAsiaTheme="minorEastAsia" w:hAnsi="Times New Roman" w:cs="Times New Roman"/>
        </w:rPr>
      </w:pPr>
    </w:p>
    <w:p w14:paraId="0A9F410E" w14:textId="77777777" w:rsidR="007D5638" w:rsidRDefault="007D5638" w:rsidP="007D563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EEAB270" wp14:editId="6CCC54B1">
            <wp:extent cx="3585845" cy="4794132"/>
            <wp:effectExtent l="0" t="0" r="0" b="6985"/>
            <wp:docPr id="19" name="Immagine 1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TPyP_L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21" cy="48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7D0C" w14:textId="77777777" w:rsidR="007D5638" w:rsidRDefault="007D5638" w:rsidP="007D5638">
      <w:pPr>
        <w:keepNext/>
        <w:spacing w:after="0"/>
        <w:jc w:val="center"/>
      </w:pPr>
    </w:p>
    <w:p w14:paraId="0DBCE95D" w14:textId="77777777" w:rsidR="007D5638" w:rsidRDefault="007D5638" w:rsidP="007D5638">
      <w:pPr>
        <w:pStyle w:val="Didascali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76C79">
        <w:rPr>
          <w:rFonts w:ascii="Times New Roman" w:hAnsi="Times New Roman" w:cs="Times New Roman"/>
          <w:color w:val="auto"/>
          <w:sz w:val="22"/>
          <w:szCs w:val="22"/>
        </w:rPr>
        <w:t xml:space="preserve">Figura 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3.2 </w:t>
      </w:r>
      <w:r w:rsidRPr="00076C79">
        <w:rPr>
          <w:rFonts w:ascii="Times New Roman" w:hAnsi="Times New Roman" w:cs="Times New Roman"/>
          <w:color w:val="auto"/>
          <w:sz w:val="22"/>
          <w:szCs w:val="22"/>
        </w:rPr>
        <w:t xml:space="preserve">Spettri relativi allo studio dei livelli di core N 1s del sistema </w:t>
      </w:r>
      <w:proofErr w:type="spellStart"/>
      <w:r>
        <w:rPr>
          <w:rFonts w:ascii="Times New Roman" w:hAnsi="Times New Roman" w:cs="Times New Roman"/>
          <w:color w:val="auto"/>
          <w:sz w:val="22"/>
          <w:szCs w:val="22"/>
        </w:rPr>
        <w:t>Fe</w:t>
      </w:r>
      <w:r w:rsidRPr="00076C79">
        <w:rPr>
          <w:rFonts w:ascii="Times New Roman" w:hAnsi="Times New Roman" w:cs="Times New Roman"/>
          <w:color w:val="auto"/>
          <w:sz w:val="22"/>
          <w:szCs w:val="22"/>
        </w:rPr>
        <w:t>TPyP</w:t>
      </w:r>
      <w:proofErr w:type="spellEnd"/>
      <w:r w:rsidRPr="00076C79">
        <w:rPr>
          <w:rFonts w:ascii="Times New Roman" w:hAnsi="Times New Roman" w:cs="Times New Roman"/>
          <w:color w:val="auto"/>
          <w:sz w:val="22"/>
          <w:szCs w:val="22"/>
        </w:rPr>
        <w:t>/Gr/</w:t>
      </w:r>
      <w:proofErr w:type="spellStart"/>
      <w:r w:rsidRPr="00076C79">
        <w:rPr>
          <w:rFonts w:ascii="Times New Roman" w:hAnsi="Times New Roman" w:cs="Times New Roman"/>
          <w:color w:val="auto"/>
          <w:sz w:val="22"/>
          <w:szCs w:val="22"/>
        </w:rPr>
        <w:t>Ir</w:t>
      </w:r>
      <w:proofErr w:type="spellEnd"/>
      <w:r w:rsidRPr="00076C79">
        <w:rPr>
          <w:rFonts w:ascii="Times New Roman" w:hAnsi="Times New Roman" w:cs="Times New Roman"/>
          <w:color w:val="auto"/>
          <w:sz w:val="22"/>
          <w:szCs w:val="22"/>
        </w:rPr>
        <w:t xml:space="preserve">(111) da temperatura ambiente </w:t>
      </w:r>
      <w:r>
        <w:rPr>
          <w:rFonts w:ascii="Times New Roman" w:hAnsi="Times New Roman" w:cs="Times New Roman"/>
          <w:color w:val="auto"/>
          <w:sz w:val="22"/>
          <w:szCs w:val="22"/>
        </w:rPr>
        <w:t>a</w:t>
      </w:r>
      <w:r w:rsidRPr="00076C79">
        <w:rPr>
          <w:rFonts w:ascii="Times New Roman" w:hAnsi="Times New Roman" w:cs="Times New Roman"/>
          <w:color w:val="auto"/>
          <w:sz w:val="22"/>
          <w:szCs w:val="22"/>
        </w:rPr>
        <w:t xml:space="preserve"> 973 K. Colori delle linee: il verde si riferisce all'azoto pirrolico, magenta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all’azoto</w:t>
      </w:r>
      <w:r w:rsidRPr="00076C7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76C79">
        <w:rPr>
          <w:rFonts w:ascii="Times New Roman" w:hAnsi="Times New Roman" w:cs="Times New Roman"/>
          <w:color w:val="auto"/>
          <w:sz w:val="22"/>
          <w:szCs w:val="22"/>
        </w:rPr>
        <w:t>piridilico</w:t>
      </w:r>
      <w:proofErr w:type="spellEnd"/>
      <w:r w:rsidRPr="00076C79">
        <w:rPr>
          <w:rFonts w:ascii="Times New Roman" w:hAnsi="Times New Roman" w:cs="Times New Roman"/>
          <w:color w:val="auto"/>
          <w:sz w:val="22"/>
          <w:szCs w:val="22"/>
        </w:rPr>
        <w:t xml:space="preserve"> e rosso al picco satellite. </w:t>
      </w:r>
      <w:r w:rsidRPr="00FA3A10">
        <w:rPr>
          <w:rFonts w:ascii="Times New Roman" w:hAnsi="Times New Roman" w:cs="Times New Roman"/>
          <w:color w:val="auto"/>
          <w:sz w:val="22"/>
          <w:szCs w:val="22"/>
        </w:rPr>
        <w:t>L'intensità degli spettri a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648 K ,698 K e 973 K è stata moltiplicata per un fattore pari a 4 per rendere lo spettro più comprensibile.</w:t>
      </w:r>
    </w:p>
    <w:p w14:paraId="23514A83" w14:textId="77777777" w:rsidR="007D5638" w:rsidRPr="008E442F" w:rsidRDefault="007D5638" w:rsidP="007D5638">
      <w:pPr>
        <w:pStyle w:val="Didascali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eastAsiaTheme="minorEastAsia" w:hAnsi="Times New Roman" w:cs="Times New Roman"/>
        </w:rPr>
        <w:t xml:space="preserve">    </w:t>
      </w:r>
    </w:p>
    <w:p w14:paraId="00A44023" w14:textId="77777777" w:rsidR="007D5638" w:rsidRDefault="007D5638" w:rsidP="007D563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Per entrambi i sistemi le intensità delle componenti spettroscopiche fino a 548 K si sono mantenute circa costanti, chiaro segno di stabilità dei due sistemi.</w:t>
      </w:r>
    </w:p>
    <w:p w14:paraId="383D2933" w14:textId="77777777" w:rsidR="007D5638" w:rsidRDefault="007D5638" w:rsidP="007D563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A temperature molto elevate vediamo che tale intensità tende a diminuire segnale di desorbimento delle porfirine dal grafene, mentre la comparsa di altre specie di N indica la degradazione delle molecole dal grafene.</w:t>
      </w:r>
    </w:p>
    <w:p w14:paraId="25ED51DC" w14:textId="7AD2E20F" w:rsidR="0052391D" w:rsidRDefault="0052391D"/>
    <w:p w14:paraId="07374BA5" w14:textId="6F5DA585" w:rsidR="007D5638" w:rsidRDefault="007D5638"/>
    <w:p w14:paraId="227F1EDB" w14:textId="1B013665" w:rsidR="007D5638" w:rsidRDefault="007D5638" w:rsidP="007D563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[2</w:t>
      </w:r>
      <w:r w:rsidR="00A36DB7">
        <w:rPr>
          <w:rFonts w:ascii="Times New Roman" w:hAnsi="Times New Roman" w:cs="Times New Roman"/>
          <w:noProof/>
        </w:rPr>
        <w:t>4</w:t>
      </w:r>
      <w:r>
        <w:rPr>
          <w:rFonts w:ascii="Times New Roman" w:hAnsi="Times New Roman" w:cs="Times New Roman"/>
          <w:noProof/>
        </w:rPr>
        <w:t xml:space="preserve">] </w:t>
      </w:r>
      <w:r w:rsidRPr="00710C85">
        <w:rPr>
          <w:rFonts w:ascii="Times New Roman" w:hAnsi="Times New Roman" w:cs="Times New Roman"/>
          <w:noProof/>
        </w:rPr>
        <w:t xml:space="preserve">Li, Y., </w:t>
      </w:r>
      <w:r>
        <w:rPr>
          <w:rFonts w:ascii="Times New Roman" w:hAnsi="Times New Roman" w:cs="Times New Roman"/>
          <w:noProof/>
        </w:rPr>
        <w:t xml:space="preserve">et al. "Coordination  and Metalation Bifunctionally of Cu with 5,10,15,20-Tetra(4-pyridyl)porphyrin: Toward a Mixed-Valance Two Dimensional Coordination Network." </w:t>
      </w:r>
      <w:r>
        <w:rPr>
          <w:rFonts w:ascii="Times New Roman" w:hAnsi="Times New Roman" w:cs="Times New Roman"/>
          <w:i/>
          <w:iCs/>
          <w:noProof/>
        </w:rPr>
        <w:t xml:space="preserve">Journal of the America Chemical Society </w:t>
      </w:r>
      <w:r>
        <w:rPr>
          <w:rFonts w:ascii="Times New Roman" w:hAnsi="Times New Roman" w:cs="Times New Roman"/>
          <w:noProof/>
        </w:rPr>
        <w:t xml:space="preserve">134 </w:t>
      </w:r>
      <w:r w:rsidRPr="00710C85">
        <w:rPr>
          <w:rFonts w:ascii="Times New Roman" w:hAnsi="Times New Roman" w:cs="Times New Roman"/>
          <w:noProof/>
        </w:rPr>
        <w:t>(2012)</w:t>
      </w:r>
      <w:r>
        <w:rPr>
          <w:rFonts w:ascii="Times New Roman" w:hAnsi="Times New Roman" w:cs="Times New Roman"/>
          <w:noProof/>
        </w:rPr>
        <w:t xml:space="preserve"> 6401-6408.</w:t>
      </w:r>
    </w:p>
    <w:p w14:paraId="76A3E270" w14:textId="77777777" w:rsidR="007D5638" w:rsidRDefault="007D5638"/>
    <w:sectPr w:rsidR="007D563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90EFD" w14:textId="77777777" w:rsidR="00673733" w:rsidRDefault="00673733" w:rsidP="007D5638">
      <w:pPr>
        <w:spacing w:after="0" w:line="240" w:lineRule="auto"/>
      </w:pPr>
      <w:r>
        <w:separator/>
      </w:r>
    </w:p>
  </w:endnote>
  <w:endnote w:type="continuationSeparator" w:id="0">
    <w:p w14:paraId="033891BA" w14:textId="77777777" w:rsidR="00673733" w:rsidRDefault="00673733" w:rsidP="007D5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D3610" w14:textId="77777777" w:rsidR="00673733" w:rsidRDefault="00673733" w:rsidP="007D5638">
      <w:pPr>
        <w:spacing w:after="0" w:line="240" w:lineRule="auto"/>
      </w:pPr>
      <w:r>
        <w:separator/>
      </w:r>
    </w:p>
  </w:footnote>
  <w:footnote w:type="continuationSeparator" w:id="0">
    <w:p w14:paraId="0FBB3A5D" w14:textId="77777777" w:rsidR="00673733" w:rsidRDefault="00673733" w:rsidP="007D5638">
      <w:pPr>
        <w:spacing w:after="0" w:line="240" w:lineRule="auto"/>
      </w:pPr>
      <w:r>
        <w:continuationSeparator/>
      </w:r>
    </w:p>
  </w:footnote>
  <w:footnote w:id="1">
    <w:p w14:paraId="75D9FA9E" w14:textId="77777777" w:rsidR="007D5638" w:rsidRDefault="007D5638" w:rsidP="007D5638">
      <w:pPr>
        <w:pStyle w:val="Testonotaapidipagina"/>
      </w:pPr>
      <w:r>
        <w:rPr>
          <w:rStyle w:val="Rimandonotaapidipagina"/>
        </w:rPr>
        <w:footnoteRef/>
      </w:r>
      <w:r>
        <w:t xml:space="preserve"> Azoto pirrolico e piridinico sono </w:t>
      </w:r>
      <w:r>
        <w:rPr>
          <w:rFonts w:ascii="Times New Roman" w:hAnsi="Times New Roman" w:cs="Times New Roman"/>
        </w:rPr>
        <w:t xml:space="preserve">due specie di azoto non equivalenti presenti all’interno delle porfirine. Per entrambe le specie ci sono quattro atomi di azoto all’interno di ogni molecola, i primi si trovano all’interno del </w:t>
      </w:r>
      <w:proofErr w:type="spellStart"/>
      <w:r>
        <w:rPr>
          <w:rFonts w:ascii="Times New Roman" w:hAnsi="Times New Roman" w:cs="Times New Roman"/>
        </w:rPr>
        <w:t>macrociclo</w:t>
      </w:r>
      <w:proofErr w:type="spellEnd"/>
      <w:r>
        <w:rPr>
          <w:rFonts w:ascii="Times New Roman" w:hAnsi="Times New Roman" w:cs="Times New Roman"/>
        </w:rPr>
        <w:t xml:space="preserve"> mentre i secondi nei gruppi piridinici.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C5A4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169"/>
    <w:rsid w:val="0010331D"/>
    <w:rsid w:val="001266AD"/>
    <w:rsid w:val="002F1A7F"/>
    <w:rsid w:val="004055B1"/>
    <w:rsid w:val="004B2BA6"/>
    <w:rsid w:val="0052391D"/>
    <w:rsid w:val="00570265"/>
    <w:rsid w:val="00673733"/>
    <w:rsid w:val="00693169"/>
    <w:rsid w:val="006C4F4D"/>
    <w:rsid w:val="006E3D9C"/>
    <w:rsid w:val="00723627"/>
    <w:rsid w:val="007D4A3F"/>
    <w:rsid w:val="007D5638"/>
    <w:rsid w:val="0094125A"/>
    <w:rsid w:val="00A36DB7"/>
    <w:rsid w:val="00AE221D"/>
    <w:rsid w:val="00BC0F2F"/>
    <w:rsid w:val="00D67427"/>
    <w:rsid w:val="00E3333D"/>
    <w:rsid w:val="00FD6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0AABD"/>
  <w15:chartTrackingRefBased/>
  <w15:docId w15:val="{2944A074-F553-447F-89C6-23D173AC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D563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D5638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7D56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D563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D563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D56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670</Words>
  <Characters>3824</Characters>
  <Application>Microsoft Office Word</Application>
  <DocSecurity>0</DocSecurity>
  <Lines>31</Lines>
  <Paragraphs>8</Paragraphs>
  <ScaleCrop>false</ScaleCrop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NAMAR ALESSANDRO [SM2300566]</dc:creator>
  <cp:keywords/>
  <dc:description/>
  <cp:lastModifiedBy>NAMAR ALESSANDRO [SM2300566]</cp:lastModifiedBy>
  <cp:revision>10</cp:revision>
  <dcterms:created xsi:type="dcterms:W3CDTF">2022-04-07T05:13:00Z</dcterms:created>
  <dcterms:modified xsi:type="dcterms:W3CDTF">2022-04-08T05:35:00Z</dcterms:modified>
</cp:coreProperties>
</file>